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9C5CC1E">
      <w:pPr>
        <w:spacing w:before="200" w:after="240"/>
        <w:jc w:val="center"/>
      </w:pPr>
      <w:r>
        <w:rPr>
          <w:rFonts w:ascii="黑体" w:hAnsi="黑体" w:eastAsia="黑体" w:cs="黑体"/>
          <w:b/>
          <w:bCs/>
          <w:sz w:val="36"/>
          <w:szCs w:val="36"/>
        </w:rPr>
        <w:t>《脑与认知科学基础》创新项目设计报告</w:t>
      </w:r>
    </w:p>
    <w:p w14:paraId="56230EFB">
      <w:pPr>
        <w:spacing w:before="80" w:after="80"/>
      </w:pPr>
    </w:p>
    <w:tbl>
      <w:tblPr>
        <w:tblStyle w:val="11"/>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357"/>
        <w:gridCol w:w="7689"/>
      </w:tblGrid>
      <w:tr w14:paraId="3983B7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gridSpan w:val="2"/>
            <w:tcBorders>
              <w:top w:val="single" w:color="auto" w:sz="0" w:space="0"/>
              <w:left w:val="single" w:color="auto" w:sz="0" w:space="0"/>
              <w:bottom w:val="single" w:color="auto" w:sz="0" w:space="0"/>
              <w:right w:val="single" w:color="auto" w:sz="0" w:space="0"/>
            </w:tcBorders>
            <w:shd w:val="solid" w:color="D9E2F3" w:fill="auto"/>
          </w:tcPr>
          <w:p w14:paraId="509E81D7">
            <w:pPr>
              <w:spacing w:before="40" w:after="40"/>
              <w:jc w:val="center"/>
            </w:pPr>
            <w:r>
              <w:rPr>
                <w:rFonts w:ascii="宋体" w:hAnsi="宋体" w:eastAsia="宋体" w:cs="宋体"/>
                <w:b/>
                <w:bCs/>
                <w:sz w:val="21"/>
                <w:szCs w:val="21"/>
              </w:rPr>
              <w:t>《脑与认知科学基础》创新项目设计报告</w:t>
            </w:r>
          </w:p>
        </w:tc>
      </w:tr>
      <w:tr w14:paraId="33D1CB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50" w:type="pct"/>
            <w:tcBorders>
              <w:top w:val="single" w:color="auto" w:sz="0" w:space="0"/>
              <w:left w:val="single" w:color="auto" w:sz="0" w:space="0"/>
              <w:bottom w:val="single" w:color="auto" w:sz="0" w:space="0"/>
              <w:right w:val="single" w:color="auto" w:sz="0" w:space="0"/>
            </w:tcBorders>
          </w:tcPr>
          <w:p w14:paraId="367CD3A6">
            <w:pPr>
              <w:spacing w:before="40" w:after="40"/>
              <w:jc w:val="left"/>
            </w:pPr>
            <w:r>
              <w:rPr>
                <w:rFonts w:ascii="宋体" w:hAnsi="宋体" w:eastAsia="宋体" w:cs="宋体"/>
                <w:b/>
                <w:bCs/>
                <w:sz w:val="21"/>
                <w:szCs w:val="21"/>
              </w:rPr>
              <w:t>项目名称</w:t>
            </w:r>
          </w:p>
        </w:tc>
        <w:tc>
          <w:tcPr>
            <w:tcW w:w="4250" w:type="pct"/>
            <w:tcBorders>
              <w:top w:val="single" w:color="auto" w:sz="0" w:space="0"/>
              <w:left w:val="single" w:color="auto" w:sz="0" w:space="0"/>
              <w:bottom w:val="single" w:color="auto" w:sz="0" w:space="0"/>
              <w:right w:val="single" w:color="auto" w:sz="0" w:space="0"/>
            </w:tcBorders>
          </w:tcPr>
          <w:p w14:paraId="2710E284">
            <w:pPr>
              <w:spacing w:before="40" w:after="40"/>
              <w:jc w:val="left"/>
            </w:pPr>
            <w:r>
              <w:rPr>
                <w:rFonts w:ascii="宋体" w:hAnsi="宋体" w:eastAsia="宋体" w:cs="宋体"/>
                <w:b w:val="0"/>
                <w:bCs w:val="0"/>
                <w:sz w:val="21"/>
                <w:szCs w:val="21"/>
              </w:rPr>
              <w:t>基于视觉注意机制的类脑图像高效识别系统</w:t>
            </w:r>
          </w:p>
        </w:tc>
      </w:tr>
      <w:tr w14:paraId="48D49A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50" w:type="pct"/>
            <w:tcBorders>
              <w:top w:val="single" w:color="auto" w:sz="0" w:space="0"/>
              <w:left w:val="single" w:color="auto" w:sz="0" w:space="0"/>
              <w:bottom w:val="single" w:color="auto" w:sz="0" w:space="0"/>
              <w:right w:val="single" w:color="auto" w:sz="0" w:space="0"/>
            </w:tcBorders>
          </w:tcPr>
          <w:p w14:paraId="1B26A66A">
            <w:pPr>
              <w:spacing w:before="40" w:after="40"/>
              <w:jc w:val="left"/>
            </w:pPr>
            <w:r>
              <w:rPr>
                <w:rFonts w:ascii="宋体" w:hAnsi="宋体" w:eastAsia="宋体" w:cs="宋体"/>
                <w:b/>
                <w:bCs/>
                <w:sz w:val="21"/>
                <w:szCs w:val="21"/>
              </w:rPr>
              <w:t>项目类型</w:t>
            </w:r>
          </w:p>
        </w:tc>
        <w:tc>
          <w:tcPr>
            <w:tcW w:w="4250" w:type="pct"/>
            <w:tcBorders>
              <w:top w:val="single" w:color="auto" w:sz="0" w:space="0"/>
              <w:left w:val="single" w:color="auto" w:sz="0" w:space="0"/>
              <w:bottom w:val="single" w:color="auto" w:sz="0" w:space="0"/>
              <w:right w:val="single" w:color="auto" w:sz="0" w:space="0"/>
            </w:tcBorders>
          </w:tcPr>
          <w:p w14:paraId="63DBC16D">
            <w:pPr>
              <w:spacing w:before="40" w:after="40"/>
              <w:jc w:val="left"/>
            </w:pPr>
            <w:r>
              <w:rPr>
                <w:rFonts w:ascii="宋体" w:hAnsi="宋体" w:eastAsia="宋体" w:cs="宋体"/>
                <w:b w:val="0"/>
                <w:bCs w:val="0"/>
                <w:sz w:val="21"/>
                <w:szCs w:val="21"/>
              </w:rPr>
              <w:t>创新应用类  ☑       算法研发类  □</w:t>
            </w:r>
          </w:p>
        </w:tc>
      </w:tr>
      <w:tr w14:paraId="71FC8C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50" w:type="pct"/>
            <w:tcBorders>
              <w:top w:val="single" w:color="auto" w:sz="0" w:space="0"/>
              <w:left w:val="single" w:color="auto" w:sz="0" w:space="0"/>
              <w:bottom w:val="single" w:color="auto" w:sz="0" w:space="0"/>
              <w:right w:val="single" w:color="auto" w:sz="0" w:space="0"/>
            </w:tcBorders>
          </w:tcPr>
          <w:p w14:paraId="0B73BF52">
            <w:pPr>
              <w:spacing w:before="40" w:after="40"/>
              <w:jc w:val="left"/>
            </w:pPr>
            <w:r>
              <w:rPr>
                <w:rFonts w:ascii="宋体" w:hAnsi="宋体" w:eastAsia="宋体" w:cs="宋体"/>
                <w:b/>
                <w:bCs/>
                <w:sz w:val="21"/>
                <w:szCs w:val="21"/>
              </w:rPr>
              <w:t>项目团队</w:t>
            </w:r>
          </w:p>
        </w:tc>
        <w:tc>
          <w:tcPr>
            <w:tcW w:w="4250" w:type="pct"/>
            <w:tcBorders>
              <w:top w:val="single" w:color="auto" w:sz="0" w:space="0"/>
              <w:left w:val="single" w:color="auto" w:sz="0" w:space="0"/>
              <w:bottom w:val="single" w:color="auto" w:sz="0" w:space="0"/>
              <w:right w:val="single" w:color="auto" w:sz="0" w:space="0"/>
            </w:tcBorders>
          </w:tcPr>
          <w:p w14:paraId="2F902A0E">
            <w:pPr>
              <w:spacing w:before="40" w:after="40"/>
              <w:jc w:val="left"/>
            </w:pPr>
            <w:r>
              <w:rPr>
                <w:rFonts w:ascii="宋体" w:hAnsi="宋体" w:eastAsia="宋体" w:cs="宋体"/>
                <w:b w:val="0"/>
                <w:bCs w:val="0"/>
                <w:sz w:val="21"/>
                <w:szCs w:val="21"/>
              </w:rPr>
              <w:t>姓名：</w:t>
            </w:r>
            <w:r>
              <w:rPr>
                <w:rFonts w:hint="eastAsia" w:cs="宋体"/>
                <w:b w:val="0"/>
                <w:bCs w:val="0"/>
                <w:sz w:val="21"/>
                <w:szCs w:val="21"/>
                <w:lang w:val="en-US" w:eastAsia="zh-CN"/>
              </w:rPr>
              <w:t>王熙</w:t>
            </w:r>
            <w:r>
              <w:rPr>
                <w:rFonts w:ascii="宋体" w:hAnsi="宋体" w:eastAsia="宋体" w:cs="宋体"/>
                <w:b w:val="0"/>
                <w:bCs w:val="0"/>
                <w:sz w:val="21"/>
                <w:szCs w:val="21"/>
              </w:rPr>
              <w:t xml:space="preserve">  学号：2024211965</w:t>
            </w:r>
          </w:p>
          <w:p w14:paraId="208B2E40">
            <w:pPr>
              <w:spacing w:before="40" w:after="40"/>
              <w:jc w:val="left"/>
            </w:pPr>
            <w:r>
              <w:rPr>
                <w:rFonts w:ascii="宋体" w:hAnsi="宋体" w:eastAsia="宋体" w:cs="宋体"/>
                <w:b w:val="0"/>
                <w:bCs w:val="0"/>
                <w:sz w:val="21"/>
                <w:szCs w:val="21"/>
              </w:rPr>
              <w:t>成员1：___________（___________）    成员2：___________（___________）</w:t>
            </w:r>
          </w:p>
        </w:tc>
      </w:tr>
      <w:tr w14:paraId="2CB1AE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50" w:type="pct"/>
            <w:tcBorders>
              <w:top w:val="single" w:color="auto" w:sz="0" w:space="0"/>
              <w:left w:val="single" w:color="auto" w:sz="0" w:space="0"/>
              <w:bottom w:val="single" w:color="auto" w:sz="0" w:space="0"/>
              <w:right w:val="single" w:color="auto" w:sz="0" w:space="0"/>
            </w:tcBorders>
          </w:tcPr>
          <w:p w14:paraId="21C86A22">
            <w:pPr>
              <w:spacing w:before="40" w:after="40"/>
              <w:jc w:val="left"/>
            </w:pPr>
            <w:r>
              <w:rPr>
                <w:rFonts w:ascii="宋体" w:hAnsi="宋体" w:eastAsia="宋体" w:cs="宋体"/>
                <w:b/>
                <w:bCs/>
                <w:sz w:val="21"/>
                <w:szCs w:val="21"/>
              </w:rPr>
              <w:t>项目性质</w:t>
            </w:r>
          </w:p>
        </w:tc>
        <w:tc>
          <w:tcPr>
            <w:tcW w:w="4250" w:type="pct"/>
            <w:tcBorders>
              <w:top w:val="single" w:color="auto" w:sz="0" w:space="0"/>
              <w:left w:val="single" w:color="auto" w:sz="0" w:space="0"/>
              <w:bottom w:val="single" w:color="auto" w:sz="0" w:space="0"/>
              <w:right w:val="single" w:color="auto" w:sz="0" w:space="0"/>
            </w:tcBorders>
          </w:tcPr>
          <w:p w14:paraId="3F8EE1BF">
            <w:pPr>
              <w:spacing w:before="40" w:after="40"/>
              <w:jc w:val="left"/>
            </w:pPr>
            <w:r>
              <w:rPr>
                <w:rFonts w:ascii="宋体" w:hAnsi="宋体" w:eastAsia="宋体" w:cs="宋体"/>
                <w:b w:val="0"/>
                <w:bCs w:val="0"/>
                <w:sz w:val="21"/>
                <w:szCs w:val="21"/>
              </w:rPr>
              <w:t>□硬件    ☑软件    □硬件+软件    □文化创意    ☑理论研究    □其他</w:t>
            </w:r>
          </w:p>
        </w:tc>
      </w:tr>
      <w:tr w14:paraId="02D9C9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50" w:type="pct"/>
            <w:tcBorders>
              <w:top w:val="single" w:color="auto" w:sz="0" w:space="0"/>
              <w:left w:val="single" w:color="auto" w:sz="0" w:space="0"/>
              <w:bottom w:val="single" w:color="auto" w:sz="0" w:space="0"/>
              <w:right w:val="single" w:color="auto" w:sz="0" w:space="0"/>
            </w:tcBorders>
          </w:tcPr>
          <w:p w14:paraId="73397CF8">
            <w:pPr>
              <w:spacing w:before="40" w:after="40"/>
              <w:jc w:val="left"/>
            </w:pPr>
            <w:r>
              <w:rPr>
                <w:rFonts w:ascii="宋体" w:hAnsi="宋体" w:eastAsia="宋体" w:cs="宋体"/>
                <w:b/>
                <w:bCs/>
                <w:sz w:val="21"/>
                <w:szCs w:val="21"/>
              </w:rPr>
              <w:t>项目关联章节</w:t>
            </w:r>
          </w:p>
        </w:tc>
        <w:tc>
          <w:tcPr>
            <w:tcW w:w="4250" w:type="pct"/>
            <w:tcBorders>
              <w:top w:val="single" w:color="auto" w:sz="0" w:space="0"/>
              <w:left w:val="single" w:color="auto" w:sz="0" w:space="0"/>
              <w:bottom w:val="single" w:color="auto" w:sz="0" w:space="0"/>
              <w:right w:val="single" w:color="auto" w:sz="0" w:space="0"/>
            </w:tcBorders>
          </w:tcPr>
          <w:p w14:paraId="14BA0235">
            <w:pPr>
              <w:spacing w:before="40" w:after="40"/>
              <w:jc w:val="left"/>
            </w:pPr>
            <w:r>
              <w:rPr>
                <w:rFonts w:hint="eastAsia" w:cs="宋体"/>
                <w:b w:val="0"/>
                <w:bCs w:val="0"/>
                <w:sz w:val="21"/>
                <w:szCs w:val="21"/>
                <w:lang w:val="en-US" w:eastAsia="zh-CN"/>
              </w:rPr>
              <w:t>第3章 细胞机制与认知，</w:t>
            </w:r>
            <w:r>
              <w:rPr>
                <w:rFonts w:ascii="宋体" w:hAnsi="宋体" w:eastAsia="宋体" w:cs="宋体"/>
                <w:b w:val="0"/>
                <w:bCs w:val="0"/>
                <w:sz w:val="21"/>
                <w:szCs w:val="21"/>
              </w:rPr>
              <w:t>第</w:t>
            </w:r>
            <w:r>
              <w:rPr>
                <w:rFonts w:hint="eastAsia" w:cs="宋体"/>
                <w:b w:val="0"/>
                <w:bCs w:val="0"/>
                <w:sz w:val="21"/>
                <w:szCs w:val="21"/>
                <w:lang w:val="en-US" w:eastAsia="zh-CN"/>
              </w:rPr>
              <w:t>5</w:t>
            </w:r>
            <w:r>
              <w:rPr>
                <w:rFonts w:ascii="宋体" w:hAnsi="宋体" w:eastAsia="宋体" w:cs="宋体"/>
                <w:b w:val="0"/>
                <w:bCs w:val="0"/>
                <w:sz w:val="21"/>
                <w:szCs w:val="21"/>
              </w:rPr>
              <w:t xml:space="preserve">章 </w:t>
            </w:r>
            <w:r>
              <w:rPr>
                <w:rFonts w:hint="eastAsia" w:cs="宋体"/>
                <w:b w:val="0"/>
                <w:bCs w:val="0"/>
                <w:sz w:val="21"/>
                <w:szCs w:val="21"/>
                <w:lang w:val="en-US" w:eastAsia="zh-CN"/>
              </w:rPr>
              <w:t>感觉与感知，第6章 物体识别，</w:t>
            </w:r>
            <w:r>
              <w:rPr>
                <w:rFonts w:ascii="宋体" w:hAnsi="宋体" w:eastAsia="宋体" w:cs="宋体"/>
                <w:b w:val="0"/>
                <w:bCs w:val="0"/>
                <w:sz w:val="21"/>
                <w:szCs w:val="21"/>
              </w:rPr>
              <w:t>第8章 学习与记忆</w:t>
            </w:r>
          </w:p>
        </w:tc>
      </w:tr>
    </w:tbl>
    <w:p w14:paraId="54A2C993">
      <w:pPr>
        <w:spacing w:before="80" w:after="80"/>
      </w:pPr>
    </w:p>
    <w:p w14:paraId="27A0B831">
      <w:pPr>
        <w:pStyle w:val="3"/>
        <w:spacing w:before="240" w:after="120"/>
      </w:pPr>
      <w:r>
        <w:rPr>
          <w:rFonts w:ascii="黑体" w:hAnsi="黑体" w:eastAsia="黑体" w:cs="黑体"/>
          <w:b/>
          <w:bCs/>
          <w:sz w:val="28"/>
          <w:szCs w:val="28"/>
        </w:rPr>
        <w:t>一、研究主题</w:t>
      </w:r>
    </w:p>
    <w:p w14:paraId="32A9B80B">
      <w:pPr>
        <w:pStyle w:val="4"/>
        <w:spacing w:before="180" w:after="80"/>
      </w:pPr>
      <w:r>
        <w:rPr>
          <w:rFonts w:ascii="黑体" w:hAnsi="黑体" w:eastAsia="黑体" w:cs="黑体"/>
          <w:b/>
          <w:bCs/>
          <w:sz w:val="24"/>
          <w:szCs w:val="24"/>
        </w:rPr>
        <w:t>1.1 项目背景</w:t>
      </w:r>
    </w:p>
    <w:p w14:paraId="431E6A0C">
      <w:pPr>
        <w:spacing w:before="40" w:after="40" w:line="360" w:lineRule="auto"/>
        <w:ind w:firstLine="420"/>
      </w:pPr>
      <w:r>
        <w:rPr>
          <w:rFonts w:ascii="宋体" w:hAnsi="宋体" w:eastAsia="宋体" w:cs="宋体"/>
          <w:sz w:val="21"/>
          <w:szCs w:val="21"/>
        </w:rPr>
        <w:t>（一）现实背景</w:t>
      </w:r>
    </w:p>
    <w:p w14:paraId="523F6FCA">
      <w:pPr>
        <w:spacing w:before="40" w:after="40" w:line="360" w:lineRule="auto"/>
        <w:ind w:firstLine="420"/>
      </w:pPr>
      <w:r>
        <w:rPr>
          <w:rFonts w:ascii="宋体" w:hAnsi="宋体" w:eastAsia="宋体" w:cs="宋体"/>
          <w:sz w:val="21"/>
          <w:szCs w:val="21"/>
        </w:rPr>
        <w:t>近年来，深度学习技术在图像识别领域取得了革命性突破。以ResNet、Vision Transformer为代表的深度神经网络在ImageNet等大规模图像数据集上已达到甚至超越了人类水平的识别精度。然而，这种高性能的代价是巨大的计算资源消耗：一个标准的ResNet-50模型处理单张224×224的图像需要进行约38亿次浮点运算，Vision Transformer的计算复杂度更是随着图像分辨率的平方增长。在移动端设备、嵌入式系统和实时安防监控等算力受限场景下，这种"暴力计算"范式面临着严峻挑战。</w:t>
      </w:r>
    </w:p>
    <w:p w14:paraId="4C5FB629">
      <w:pPr>
        <w:spacing w:before="40" w:after="40" w:line="360" w:lineRule="auto"/>
        <w:ind w:firstLine="420"/>
      </w:pPr>
      <w:r>
        <w:rPr>
          <w:rFonts w:ascii="宋体" w:hAnsi="宋体" w:eastAsia="宋体" w:cs="宋体"/>
          <w:sz w:val="21"/>
          <w:szCs w:val="21"/>
        </w:rPr>
        <w:t>与此同时，人类视觉系统以仅约20瓦的功耗即可实现极其高效和鲁棒的视觉感知——人眼能在100毫秒内完成复杂场景的识别与理解，而深度神经网络需要数百瓦功耗的GPU才能实现类似效果。人脑视觉系统之所以如此高效，一个关键原因在于选择性注意（Selective Attention）机制：视觉系统并非对视野中所有信息进行均等处理，而是优先将有限的神经计算资源分配给最相关、最显著的区域。</w:t>
      </w:r>
    </w:p>
    <w:p w14:paraId="0B928ADA">
      <w:pPr>
        <w:spacing w:before="40" w:after="40" w:line="360" w:lineRule="auto"/>
        <w:ind w:firstLine="420"/>
      </w:pPr>
      <w:r>
        <w:rPr>
          <w:rFonts w:ascii="宋体" w:hAnsi="宋体" w:eastAsia="宋体" w:cs="宋体"/>
          <w:sz w:val="21"/>
          <w:szCs w:val="21"/>
        </w:rPr>
        <w:t>（二）理论基础</w:t>
      </w:r>
    </w:p>
    <w:p w14:paraId="045F4C97">
      <w:pPr>
        <w:spacing w:before="40" w:after="40" w:line="360" w:lineRule="auto"/>
        <w:ind w:firstLine="420"/>
      </w:pPr>
      <w:r>
        <w:rPr>
          <w:rFonts w:ascii="宋体" w:hAnsi="宋体" w:eastAsia="宋体" w:cs="宋体"/>
          <w:sz w:val="21"/>
          <w:szCs w:val="21"/>
        </w:rPr>
        <w:t>认知神经科学领域对视觉注意机制已有数十年的深入研究。Treisman与Gelade（1980）提出的特征整合理论（Feature Integration Theory, FIT）是视觉注意研究的里程碑——该理论认为，视觉加工分为两个阶段：前注意阶段（preattentive stage）并行地提取颜色、方向、运动等基本特征；聚焦注意阶段（focused attention stage）则通过空间注意将分散的特征"绑定"为完整的物体表征。这一理论为理解视觉注意的计算本质提供了重要框架。</w:t>
      </w:r>
    </w:p>
    <w:p w14:paraId="7928A0EF">
      <w:pPr>
        <w:spacing w:before="40" w:after="40" w:line="360" w:lineRule="auto"/>
        <w:ind w:firstLine="420"/>
      </w:pPr>
      <w:r>
        <w:rPr>
          <w:rFonts w:ascii="宋体" w:hAnsi="宋体" w:eastAsia="宋体" w:cs="宋体"/>
          <w:sz w:val="21"/>
          <w:szCs w:val="21"/>
        </w:rPr>
        <w:t>Posner（1980）提出了注意的聚光灯模型（Spotlight Model），将空间注意类比为一束在视野中移动的聚光灯——落在聚光灯范围内的信息获得优先加工，而聚光灯之外的信息加工效率显著降低。后续研究进一步区分了内源性注意（endogenous attention，自顶向下、目标驱动）和外源性注意（exogenous attention，自底向上、刺激驱动）两种机制。Koch与Ullman（1985）在此基础上提出了显著性图（Saliency Map）理论，认为视觉系统通过计算图像各区域的"显著性"来引导注意分配，显著性与周围区域差异越大，吸引注意的概率越高。</w:t>
      </w:r>
    </w:p>
    <w:p w14:paraId="6D45C580">
      <w:pPr>
        <w:spacing w:before="40" w:after="40" w:line="360" w:lineRule="auto"/>
        <w:ind w:firstLine="420"/>
      </w:pPr>
      <w:r>
        <w:rPr>
          <w:rFonts w:ascii="宋体" w:hAnsi="宋体" w:eastAsia="宋体" w:cs="宋体"/>
          <w:sz w:val="21"/>
          <w:szCs w:val="21"/>
        </w:rPr>
        <w:t>在计算建模方面，Itti、Koch与Niebur（1998）基于特征整合理论和显著性图理论，提出了首个完整的视觉显著性计算模型。该模型通过多尺度高斯金字塔提取颜色、亮度和方向特征，计算各尺度的特征差异图（center-surround difference），最终融合为统一的显著性图，并通过赢者全取（Winner-Take-All）机制和返回抑制（Inhibition of Return）模拟注意转移过程。这一模型为类脑视觉算法奠定了计算基础。</w:t>
      </w:r>
    </w:p>
    <w:p w14:paraId="14CC302D">
      <w:pPr>
        <w:spacing w:before="40" w:after="40" w:line="360" w:lineRule="auto"/>
        <w:ind w:firstLine="420"/>
      </w:pPr>
      <w:r>
        <w:rPr>
          <w:rFonts w:ascii="宋体" w:hAnsi="宋体" w:eastAsia="宋体" w:cs="宋体"/>
          <w:sz w:val="21"/>
          <w:szCs w:val="21"/>
        </w:rPr>
        <w:t>（三）国内外相关文献分析</w:t>
      </w:r>
    </w:p>
    <w:p w14:paraId="2E8909F1">
      <w:pPr>
        <w:spacing w:before="40" w:after="40" w:line="360" w:lineRule="auto"/>
        <w:ind w:firstLine="420"/>
      </w:pPr>
      <w:r>
        <w:rPr>
          <w:rFonts w:ascii="宋体" w:hAnsi="宋体" w:eastAsia="宋体" w:cs="宋体"/>
          <w:sz w:val="21"/>
          <w:szCs w:val="21"/>
        </w:rPr>
        <w:t>国际上，视觉注意的计算建模研究持续深入。Harel等人（2007）提出了基于图的显著性检测算法（GBVS），利用马尔可夫链的平稳分布计算显著性；Bruce与Tsotsos（2009）基于信息极大化原理提出了AIM模型；Hou与Zhang（2007）在频域中通过频谱残差法检测显著性。近年来，随着深度学习的兴起，Liu等人（2016）提出的DHSNet、Hou等人（2017）的DSS模型以及Cornia等人（2018）的SAM模型将显著性检测性能推向了新高度。同时，Google DeepMind的Mnih等人（2014）提出的循环注意模型（Recurrent Attention Model, RAM）首次将强化学习与视觉注意结合，实现了图像分类中的自适应注意扫描。Vaswani等人（2017）提出的自注意力机制（Self-Attention）在Transformer架构中取得了巨大成功，启发了视觉注意力算法的全新设计范式。</w:t>
      </w:r>
    </w:p>
    <w:p w14:paraId="2DAF3C9D">
      <w:pPr>
        <w:spacing w:before="40" w:after="40" w:line="360" w:lineRule="auto"/>
        <w:ind w:firstLine="420"/>
      </w:pPr>
      <w:r>
        <w:rPr>
          <w:rFonts w:ascii="宋体" w:hAnsi="宋体" w:eastAsia="宋体" w:cs="宋体"/>
          <w:sz w:val="21"/>
          <w:szCs w:val="21"/>
        </w:rPr>
        <w:t>国内方面，中科院自动化研究所的类脑智能研究中心在视觉显著性检测和类脑计算方面开展了系统性研究。清华大学的类脑计算研究中心提出了"天机"类脑芯片架构，将人工神经网络与脉冲神经网络融合，为视觉注意算法的硬件加速提供了新思路。北京大学、上海交通大学等高校也在视觉显著性建模和注意力机制方面积累了丰富的研究成果。总体而言，视觉注意的计算建模已从传统的手工特征方法发展到深度学习驱动的端到端方法，但如何系统性地将认知科学中丰富的注意理论（如特征整合、聚光灯模型、偏向竞争模型等）转化为可解释、可工程化的算法框架，仍是当前研究的前沿课题。</w:t>
      </w:r>
    </w:p>
    <w:p w14:paraId="62850350">
      <w:pPr>
        <w:pStyle w:val="4"/>
        <w:spacing w:before="180" w:after="80"/>
      </w:pPr>
      <w:r>
        <w:rPr>
          <w:rFonts w:ascii="黑体" w:hAnsi="黑体" w:eastAsia="黑体" w:cs="黑体"/>
          <w:b/>
          <w:bCs/>
          <w:sz w:val="24"/>
          <w:szCs w:val="24"/>
        </w:rPr>
        <w:t>1.2 用户与需求分析</w:t>
      </w:r>
    </w:p>
    <w:p w14:paraId="739E6B4D">
      <w:pPr>
        <w:spacing w:before="40" w:after="40" w:line="360" w:lineRule="auto"/>
        <w:ind w:firstLine="420"/>
      </w:pPr>
      <w:r>
        <w:rPr>
          <w:rFonts w:ascii="宋体" w:hAnsi="宋体" w:eastAsia="宋体" w:cs="宋体"/>
          <w:sz w:val="21"/>
          <w:szCs w:val="21"/>
        </w:rPr>
        <w:t>本项目面向的用户群体和需求场景主要包括以下五个方面：</w:t>
      </w:r>
    </w:p>
    <w:p w14:paraId="35F3E1A1">
      <w:pPr>
        <w:spacing w:before="40" w:after="40" w:line="360" w:lineRule="auto"/>
        <w:ind w:firstLine="420"/>
      </w:pPr>
      <w:r>
        <w:rPr>
          <w:rFonts w:ascii="宋体" w:hAnsi="宋体" w:eastAsia="宋体" w:cs="宋体"/>
          <w:sz w:val="21"/>
          <w:szCs w:val="21"/>
        </w:rPr>
        <w:t>（1）AI应用开发者与算法工程师。当前，在移动端、IoT设备上部署深度学习模型时，算力瓶颈是首要挑战。开发者迫切需要一种能在保持识别精度的前提下显著降低计算量的轻量化推理方案。基于视觉注意的识别系统允许模型"先粗后精"——先用轻量的显著性检测定位关键区域，再用重量的识别网络进行精细化分析，从而在整体上实现计算效率的大幅提升。</w:t>
      </w:r>
    </w:p>
    <w:p w14:paraId="18B3F0E2">
      <w:pPr>
        <w:spacing w:before="40" w:after="40" w:line="360" w:lineRule="auto"/>
        <w:ind w:firstLine="420"/>
      </w:pPr>
      <w:r>
        <w:rPr>
          <w:rFonts w:ascii="宋体" w:hAnsi="宋体" w:eastAsia="宋体" w:cs="宋体"/>
          <w:sz w:val="21"/>
          <w:szCs w:val="21"/>
        </w:rPr>
        <w:t>（2）安防监控行业。在城市安防中，数以万计的摄像头实时产生的海量视频数据对后端分析系统构成巨大压力。引入视觉注意机制后，系统可以智能地筛选出包含异常事件（如人员聚集、车辆逆行等显著场景）的关键帧和关键区域，减少无效计算，提升实时响应能力。</w:t>
      </w:r>
    </w:p>
    <w:p w14:paraId="7AF999D8">
      <w:pPr>
        <w:spacing w:before="40" w:after="40" w:line="360" w:lineRule="auto"/>
        <w:ind w:firstLine="420"/>
      </w:pPr>
      <w:r>
        <w:rPr>
          <w:rFonts w:ascii="宋体" w:hAnsi="宋体" w:eastAsia="宋体" w:cs="宋体"/>
          <w:sz w:val="21"/>
          <w:szCs w:val="21"/>
        </w:rPr>
        <w:t>（3）自动驾驶与机器人领域。自动驾驶车辆需要在毫秒级延迟内完成对周围环境的感知与理解。人类的驾驶行为本质上已经利用了视觉注意——驾驶员不会同等关注视野中的每一处细节，而是根据驾驶任务需求动态分配注意力。将这一机制引入自动驾驶感知系统，有助于在有限的车载算力下提升场景理解的效率和安全性。</w:t>
      </w:r>
    </w:p>
    <w:p w14:paraId="588F839E">
      <w:pPr>
        <w:spacing w:before="40" w:after="40" w:line="360" w:lineRule="auto"/>
        <w:ind w:firstLine="420"/>
      </w:pPr>
      <w:r>
        <w:rPr>
          <w:rFonts w:ascii="宋体" w:hAnsi="宋体" w:eastAsia="宋体" w:cs="宋体"/>
          <w:sz w:val="21"/>
          <w:szCs w:val="21"/>
        </w:rPr>
        <w:t>（4）医学影像分析。放射科医生阅片时依赖多年的专业训练形成的"医学注意"模式，能快速定位CT、MRI图像中的可疑病灶区域。构建模拟医学专家注意模式的类脑识别系统，可辅助医生提高诊断效率和准确率，减轻工作负担。</w:t>
      </w:r>
    </w:p>
    <w:p w14:paraId="24A6D5BB">
      <w:pPr>
        <w:spacing w:before="40" w:after="40" w:line="360" w:lineRule="auto"/>
        <w:ind w:firstLine="420"/>
      </w:pPr>
      <w:r>
        <w:rPr>
          <w:rFonts w:ascii="宋体" w:hAnsi="宋体" w:eastAsia="宋体" w:cs="宋体"/>
          <w:sz w:val="21"/>
          <w:szCs w:val="21"/>
        </w:rPr>
        <w:t>（5）普通消费者。智能手机用户期望拍照识物、AR应用等AI功能更加省电、响应更快。基于视觉注意的轻量化推理可让这些功能的体验更流畅，延长手机续航。</w:t>
      </w:r>
    </w:p>
    <w:p w14:paraId="37042ACC">
      <w:pPr>
        <w:pStyle w:val="4"/>
        <w:spacing w:before="180" w:after="80"/>
      </w:pPr>
      <w:r>
        <w:rPr>
          <w:rFonts w:ascii="黑体" w:hAnsi="黑体" w:eastAsia="黑体" w:cs="黑体"/>
          <w:b/>
          <w:bCs/>
          <w:sz w:val="24"/>
          <w:szCs w:val="24"/>
        </w:rPr>
        <w:t>1.3 项目目的与意义</w:t>
      </w:r>
    </w:p>
    <w:p w14:paraId="1A91841A">
      <w:pPr>
        <w:spacing w:before="40" w:after="40" w:line="360" w:lineRule="auto"/>
        <w:ind w:firstLine="420"/>
      </w:pPr>
      <w:r>
        <w:rPr>
          <w:rFonts w:ascii="宋体" w:hAnsi="宋体" w:eastAsia="宋体" w:cs="宋体"/>
          <w:sz w:val="21"/>
          <w:szCs w:val="21"/>
        </w:rPr>
        <w:t>（一）创新性</w:t>
      </w:r>
    </w:p>
    <w:p w14:paraId="72CA09A5">
      <w:pPr>
        <w:spacing w:before="40" w:after="40" w:line="360" w:lineRule="auto"/>
        <w:ind w:firstLine="420"/>
      </w:pPr>
      <w:r>
        <w:rPr>
          <w:rFonts w:ascii="宋体" w:hAnsi="宋体" w:eastAsia="宋体" w:cs="宋体"/>
          <w:sz w:val="21"/>
          <w:szCs w:val="21"/>
        </w:rPr>
        <w:t>本项目的核心创新在于系统性地将认知科学中成熟的视觉注意理论——包括Treisman的特征整合理论、Posner的聚光灯模型、Desimone与Duncan的偏向竞争模型（Biased Competition Model）——转化为可工程化的算法模块。与现有工作中零散借用"注意力"概念不同，本项目构建的框架从三个层面模拟人类视觉注意：①自底向上的显著性检测层，模拟外源性注意；②自顶向下的任务引导层，模拟内源性注意；③时空动态扫描层，模拟注意转移与眼动策略。这种"认知理论驱动的系统性算法设计"而非"经验性的注意力模块堆叠"，是项目方法论层面的创新。</w:t>
      </w:r>
    </w:p>
    <w:p w14:paraId="666758E4">
      <w:pPr>
        <w:spacing w:before="40" w:after="40" w:line="360" w:lineRule="auto"/>
        <w:ind w:firstLine="420"/>
      </w:pPr>
      <w:r>
        <w:rPr>
          <w:rFonts w:ascii="宋体" w:hAnsi="宋体" w:eastAsia="宋体" w:cs="宋体"/>
          <w:sz w:val="21"/>
          <w:szCs w:val="21"/>
        </w:rPr>
        <w:t>（二）可行性</w:t>
      </w:r>
    </w:p>
    <w:p w14:paraId="1E661B3B">
      <w:pPr>
        <w:spacing w:before="40" w:after="40" w:line="360" w:lineRule="auto"/>
        <w:ind w:firstLine="420"/>
      </w:pPr>
      <w:r>
        <w:rPr>
          <w:rFonts w:ascii="宋体" w:hAnsi="宋体" w:eastAsia="宋体" w:cs="宋体"/>
          <w:sz w:val="21"/>
          <w:szCs w:val="21"/>
        </w:rPr>
        <w:t>技术层面，显著性检测算法（如Itti模型、频谱残差法、深度显著性网络）已具备成熟的实现方案，可作为自底向上模块的基础；通道注意力和空间注意力机制（如SENet、CBAM、Non-local Network）为自顶向下引导提供了即插即用的组件。硬件层面，主流深度学习框架（PyTorch/TensorFlow）和移动端推理引擎（TensorFlow Lite/ONNX Runtime）提供了完善的部署支持。团队层面，项目组成员具备深度学习开发经验和认知科学课程基础。综合来看，技术路线清晰，实现风险可控。</w:t>
      </w:r>
    </w:p>
    <w:p w14:paraId="6D97E546">
      <w:pPr>
        <w:spacing w:before="40" w:after="40" w:line="360" w:lineRule="auto"/>
        <w:ind w:firstLine="420"/>
      </w:pPr>
      <w:r>
        <w:rPr>
          <w:rFonts w:ascii="宋体" w:hAnsi="宋体" w:eastAsia="宋体" w:cs="宋体"/>
          <w:sz w:val="21"/>
          <w:szCs w:val="21"/>
        </w:rPr>
        <w:t>（三）实用性</w:t>
      </w:r>
    </w:p>
    <w:p w14:paraId="5FDBB155">
      <w:pPr>
        <w:spacing w:before="40" w:after="40" w:line="360" w:lineRule="auto"/>
        <w:ind w:firstLine="420"/>
      </w:pPr>
      <w:r>
        <w:rPr>
          <w:rFonts w:ascii="宋体" w:hAnsi="宋体" w:eastAsia="宋体" w:cs="宋体"/>
          <w:sz w:val="21"/>
          <w:szCs w:val="21"/>
        </w:rPr>
        <w:t>本项目成果可直接应用于移动端AI推理加速、安防视频智能分析、自动驾驶感知优化和医学影像辅助诊断等实际场景。以移动端图像分类为例，引入视觉注意后预期可将推理计算量降低30%-50%（仅对显著性区域使用完整识别网络），同时保持分类精度下降在2个百分点以内。这一性能-效率的平衡在实际部署中具有重要价值。此外，项目产出的显著性检测模块、注意力引导策略等均可作为独立组件，方便集成到已有系统中，具有良好的可复用性。</w:t>
      </w:r>
    </w:p>
    <w:p w14:paraId="6E8A1FA0">
      <w:pPr>
        <w:pStyle w:val="4"/>
        <w:spacing w:before="180" w:after="80"/>
      </w:pPr>
      <w:r>
        <w:rPr>
          <w:rFonts w:ascii="黑体" w:hAnsi="黑体" w:eastAsia="黑体" w:cs="黑体"/>
          <w:b/>
          <w:bCs/>
          <w:sz w:val="24"/>
          <w:szCs w:val="24"/>
        </w:rPr>
        <w:t>1.4 参考文献</w:t>
      </w:r>
    </w:p>
    <w:p w14:paraId="4EEBE18B">
      <w:pPr>
        <w:spacing w:before="40" w:after="40" w:line="360" w:lineRule="auto"/>
      </w:pPr>
      <w:r>
        <w:rPr>
          <w:rFonts w:ascii="宋体" w:hAnsi="宋体" w:eastAsia="宋体" w:cs="宋体"/>
          <w:sz w:val="21"/>
          <w:szCs w:val="21"/>
        </w:rPr>
        <w:t>[1] Treisman, A. M., &amp; Gelade, G. (1980). A feature-integration theory of attention. Cognitive Psychology, 12(1), 97-136.</w:t>
      </w:r>
    </w:p>
    <w:p w14:paraId="2B707CAB">
      <w:pPr>
        <w:spacing w:before="40" w:after="40" w:line="360" w:lineRule="auto"/>
      </w:pPr>
      <w:r>
        <w:rPr>
          <w:rFonts w:ascii="宋体" w:hAnsi="宋体" w:eastAsia="宋体" w:cs="宋体"/>
          <w:sz w:val="21"/>
          <w:szCs w:val="21"/>
        </w:rPr>
        <w:t>[2] Posner, M. I. (1980). Orienting of attention. Quarterly Journal of Experimental Psychology, 32(1), 3-25.</w:t>
      </w:r>
    </w:p>
    <w:p w14:paraId="6671DF4A">
      <w:pPr>
        <w:spacing w:before="40" w:after="40" w:line="360" w:lineRule="auto"/>
      </w:pPr>
      <w:r>
        <w:rPr>
          <w:rFonts w:ascii="宋体" w:hAnsi="宋体" w:eastAsia="宋体" w:cs="宋体"/>
          <w:sz w:val="21"/>
          <w:szCs w:val="21"/>
        </w:rPr>
        <w:t>[3] Koch, C., &amp; Ullman, S. (1985). Shifts in selective visual attention: towards the underlying neural circuitry. Human Neurobiology, 4(4), 219-227.</w:t>
      </w:r>
    </w:p>
    <w:p w14:paraId="1F481A73">
      <w:pPr>
        <w:spacing w:before="40" w:after="40" w:line="360" w:lineRule="auto"/>
      </w:pPr>
      <w:r>
        <w:rPr>
          <w:rFonts w:ascii="宋体" w:hAnsi="宋体" w:eastAsia="宋体" w:cs="宋体"/>
          <w:sz w:val="21"/>
          <w:szCs w:val="21"/>
        </w:rPr>
        <w:t>[4] Itti, L., Koch, C., &amp; Niebur, E. (1998). A model of saliency-based visual attention for rapid scene analysis. IEEE Transactions on Pattern Analysis and Machine Intelligence, 20(11), 1254-1259.</w:t>
      </w:r>
    </w:p>
    <w:p w14:paraId="6DAFBECF">
      <w:pPr>
        <w:spacing w:before="40" w:after="40" w:line="360" w:lineRule="auto"/>
      </w:pPr>
      <w:r>
        <w:rPr>
          <w:rFonts w:ascii="宋体" w:hAnsi="宋体" w:eastAsia="宋体" w:cs="宋体"/>
          <w:sz w:val="21"/>
          <w:szCs w:val="21"/>
        </w:rPr>
        <w:t>[5] Desimone, R., &amp; Duncan, J. (1995). Neural mechanisms of selective visual attention. Annual Review of Neuroscience, 18(1), 193-222.</w:t>
      </w:r>
    </w:p>
    <w:p w14:paraId="13AF1F80">
      <w:pPr>
        <w:spacing w:before="40" w:after="40" w:line="360" w:lineRule="auto"/>
      </w:pPr>
      <w:r>
        <w:rPr>
          <w:rFonts w:ascii="宋体" w:hAnsi="宋体" w:eastAsia="宋体" w:cs="宋体"/>
          <w:sz w:val="21"/>
          <w:szCs w:val="21"/>
        </w:rPr>
        <w:t>[6] Mnih, V., Heess, N., &amp; Graves, A. (2014). Recurrent models of visual attention. Advances in Neural Information Processing Systems (NeurIPS), 27.</w:t>
      </w:r>
    </w:p>
    <w:p w14:paraId="74BF907D">
      <w:pPr>
        <w:spacing w:before="40" w:after="40" w:line="360" w:lineRule="auto"/>
      </w:pPr>
      <w:r>
        <w:rPr>
          <w:rFonts w:ascii="宋体" w:hAnsi="宋体" w:eastAsia="宋体" w:cs="宋体"/>
          <w:sz w:val="21"/>
          <w:szCs w:val="21"/>
        </w:rPr>
        <w:t>[7] Vaswani, A., et al. (2017). Attention is all you need. Advances in Neural Information Processing Systems (NeurIPS), 30.</w:t>
      </w:r>
    </w:p>
    <w:p w14:paraId="64C882D3">
      <w:pPr>
        <w:spacing w:before="40" w:after="40" w:line="360" w:lineRule="auto"/>
      </w:pPr>
      <w:r>
        <w:rPr>
          <w:rFonts w:ascii="宋体" w:hAnsi="宋体" w:eastAsia="宋体" w:cs="宋体"/>
          <w:sz w:val="21"/>
          <w:szCs w:val="21"/>
        </w:rPr>
        <w:t>[8] Hu, J., Shen, L., &amp; Sun, G. (2018). Squeeze-and-excitation networks. IEEE/CVF Conference on Computer Vision and Pattern Recognition (CVPR), 7132-7141.</w:t>
      </w:r>
    </w:p>
    <w:p w14:paraId="2CDA46F7">
      <w:pPr>
        <w:spacing w:before="40" w:after="40" w:line="360" w:lineRule="auto"/>
      </w:pPr>
      <w:r>
        <w:rPr>
          <w:rFonts w:ascii="宋体" w:hAnsi="宋体" w:eastAsia="宋体" w:cs="宋体"/>
          <w:sz w:val="21"/>
          <w:szCs w:val="21"/>
        </w:rPr>
        <w:t>[9] Wang, X., et al. (2018). Non-local neural networks. IEEE/CVF Conference on Computer Vision and Pattern Recognition (CVPR), 7794-7803.</w:t>
      </w:r>
    </w:p>
    <w:p w14:paraId="105AFCD5">
      <w:pPr>
        <w:spacing w:before="40" w:after="40" w:line="360" w:lineRule="auto"/>
      </w:pPr>
      <w:r>
        <w:rPr>
          <w:rFonts w:ascii="宋体" w:hAnsi="宋体" w:eastAsia="宋体" w:cs="宋体"/>
          <w:sz w:val="21"/>
          <w:szCs w:val="21"/>
        </w:rPr>
        <w:t>[10] 罗四维等. (2018). 视觉信息认知计算理论. 北京: 科学出版社.</w:t>
      </w:r>
    </w:p>
    <w:p w14:paraId="53AEAB79">
      <w:pPr>
        <w:spacing w:before="40" w:after="40" w:line="360" w:lineRule="auto"/>
      </w:pPr>
      <w:r>
        <w:rPr>
          <w:rFonts w:ascii="宋体" w:hAnsi="宋体" w:eastAsia="宋体" w:cs="宋体"/>
          <w:sz w:val="21"/>
          <w:szCs w:val="21"/>
        </w:rPr>
        <w:t>[11] 史忠植. (2016). 认知科学. 北京: 中国科学技术大学出版社.</w:t>
      </w:r>
    </w:p>
    <w:p w14:paraId="39FC8B34">
      <w:pPr>
        <w:spacing w:before="40" w:after="40" w:line="360" w:lineRule="auto"/>
      </w:pPr>
      <w:r>
        <w:rPr>
          <w:rFonts w:ascii="宋体" w:hAnsi="宋体" w:eastAsia="宋体" w:cs="宋体"/>
          <w:sz w:val="21"/>
          <w:szCs w:val="21"/>
        </w:rPr>
        <w:t>[12] Pei, J., Deng, L., et al. (2019). Towards artificial general intelligence with hybrid Tianjic chip architecture. Nature, 572, 106-111.</w:t>
      </w:r>
    </w:p>
    <w:p w14:paraId="4845EAE2">
      <w:pPr>
        <w:spacing w:before="80" w:after="80"/>
      </w:pPr>
    </w:p>
    <w:p w14:paraId="439E32A6">
      <w:pPr>
        <w:pStyle w:val="3"/>
        <w:spacing w:before="240" w:after="120"/>
      </w:pPr>
      <w:r>
        <w:rPr>
          <w:rFonts w:ascii="黑体" w:hAnsi="黑体" w:eastAsia="黑体" w:cs="黑体"/>
          <w:b/>
          <w:bCs/>
          <w:sz w:val="28"/>
          <w:szCs w:val="28"/>
        </w:rPr>
        <w:t>二、研究方法</w:t>
      </w:r>
    </w:p>
    <w:p w14:paraId="7C579C7B">
      <w:pPr>
        <w:pStyle w:val="4"/>
        <w:spacing w:before="180" w:after="80"/>
      </w:pPr>
      <w:r>
        <w:rPr>
          <w:rFonts w:ascii="黑体" w:hAnsi="黑体" w:eastAsia="黑体" w:cs="黑体"/>
          <w:b/>
          <w:bCs/>
          <w:sz w:val="24"/>
          <w:szCs w:val="24"/>
        </w:rPr>
        <w:t>2.1 研究内容</w:t>
      </w:r>
    </w:p>
    <w:p w14:paraId="61EB0661">
      <w:pPr>
        <w:spacing w:before="40" w:after="40" w:line="360" w:lineRule="auto"/>
        <w:ind w:firstLine="420"/>
      </w:pPr>
      <w:r>
        <w:rPr>
          <w:rFonts w:ascii="宋体" w:hAnsi="宋体" w:eastAsia="宋体" w:cs="宋体"/>
          <w:sz w:val="21"/>
          <w:szCs w:val="21"/>
        </w:rPr>
        <w:t>本项目围绕"认知理论→计算模型→系统实现"的技术路线，开展以下四个方面的研究：</w:t>
      </w:r>
    </w:p>
    <w:p w14:paraId="0D08C1E3">
      <w:pPr>
        <w:spacing w:before="40" w:after="40" w:line="360" w:lineRule="auto"/>
        <w:ind w:firstLine="420"/>
      </w:pPr>
      <w:r>
        <w:rPr>
          <w:rFonts w:ascii="宋体" w:hAnsi="宋体" w:eastAsia="宋体" w:cs="宋体"/>
          <w:sz w:val="21"/>
          <w:szCs w:val="21"/>
        </w:rPr>
        <w:t>（1）显著性区域检测模块（模拟外源性注意）。构建基于多尺度特征对比度的图像显著性检测算法。在Itti经典模型的基础上，引入深度卷积特征替代手工设计的颜色、亮度和方向特征——利用预训练VGG-16网络的浅层特征图（conv1_2, conv2_2, conv3_3）提取多尺度视觉特征，通过跨尺度中心-周边差异运算生成各通道显著性图，经线性融合得到最终的显著性图。同时，对比评估基于频谱残差（Spectral Residual）和基于深度显著性网络（DHSNet轻量版）的显著性检测方案，选择在速度和精度之间取得最佳平衡的方案作为系统默认显著性检测器。</w:t>
      </w:r>
    </w:p>
    <w:p w14:paraId="009E9602">
      <w:pPr>
        <w:spacing w:before="40" w:after="40" w:line="360" w:lineRule="auto"/>
        <w:ind w:firstLine="420"/>
      </w:pPr>
      <w:r>
        <w:rPr>
          <w:rFonts w:ascii="宋体" w:hAnsi="宋体" w:eastAsia="宋体" w:cs="宋体"/>
          <w:sz w:val="21"/>
          <w:szCs w:val="21"/>
        </w:rPr>
        <w:t>（2）多尺度特征高效提取模块。在识别主干网络（轻量级MobileNetV3或EfficientNet-B0）的基础上，增加通道注意力分支（SE模块）和空间注意力分支（Non-local模块），使得网络在进行全图粗粒度特征提取时能初步感知图像各区域的重要性分布。该模块提取的多尺度特征图将分别用于显著性检测（提供底层视觉特征）和后续的精细识别（提供高层语义特征），实现特征复用，避免冗余计算。</w:t>
      </w:r>
    </w:p>
    <w:p w14:paraId="03C74FBC">
      <w:pPr>
        <w:spacing w:before="40" w:after="40" w:line="360" w:lineRule="auto"/>
        <w:ind w:firstLine="420"/>
      </w:pPr>
      <w:r>
        <w:rPr>
          <w:rFonts w:ascii="宋体" w:hAnsi="宋体" w:eastAsia="宋体" w:cs="宋体"/>
          <w:sz w:val="21"/>
          <w:szCs w:val="21"/>
        </w:rPr>
        <w:t>（3）注意力引导的分级识别策略。设计"粗扫→聚焦→识别"的三阶段处理流程：第一阶段，对全图进行极低分辨率（如112×112）的快速前馈计算，生成粗粒度显著性图，定位候选感兴趣区域（ROI）；第二阶段，根据显著性图从原图中裁剪出高显著性ROI（通常占原图面积的20%-40%）；第三阶段，仅对裁剪出的ROI进行全分辨率（224×224或更高）的精细化识别，背景区域直接赋以"无关"标签。整个过程模拟了人眼"扫视→注视→识别"的视觉行为模式。</w:t>
      </w:r>
    </w:p>
    <w:p w14:paraId="21C8F6D7">
      <w:pPr>
        <w:spacing w:before="40" w:after="40" w:line="360" w:lineRule="auto"/>
        <w:ind w:firstLine="420"/>
      </w:pPr>
      <w:r>
        <w:rPr>
          <w:rFonts w:ascii="宋体" w:hAnsi="宋体" w:eastAsia="宋体" w:cs="宋体"/>
          <w:sz w:val="21"/>
          <w:szCs w:val="21"/>
        </w:rPr>
        <w:t>（4）端到端系统集成与性能评估。将上述模块整合为完整的图像识别系统，设计统一的数据流接口，支持即插即用的模块替换（如更换不同的显著性检测器或识别主干网络）。在标准基准数据集（ILSVRC-2012、MS COCO、SALICON）上进行全面的性能评估，指标包括：分类准确率（Top-1/Top-5）、计算量（FLOPs）、推理延迟（毫秒/张）、显著性检测精度（AUC-Judd、sAUC、NSS）等。同时设计消融实验（Ablation Study），逐一移除各模块，量化各组件对系统性能的独立贡献。</w:t>
      </w:r>
    </w:p>
    <w:p w14:paraId="6B12BB79">
      <w:pPr>
        <w:pStyle w:val="4"/>
        <w:spacing w:before="180" w:after="80"/>
      </w:pPr>
      <w:r>
        <w:rPr>
          <w:rFonts w:ascii="黑体" w:hAnsi="黑体" w:eastAsia="黑体" w:cs="黑体"/>
          <w:b/>
          <w:bCs/>
          <w:sz w:val="24"/>
          <w:szCs w:val="24"/>
        </w:rPr>
        <w:t>2.2 关键技术</w:t>
      </w:r>
    </w:p>
    <w:p w14:paraId="6701011C">
      <w:pPr>
        <w:spacing w:before="40" w:after="40" w:line="360" w:lineRule="auto"/>
        <w:ind w:firstLine="420"/>
      </w:pPr>
      <w:r>
        <w:rPr>
          <w:rFonts w:ascii="宋体" w:hAnsi="宋体" w:eastAsia="宋体" w:cs="宋体"/>
          <w:sz w:val="21"/>
          <w:szCs w:val="21"/>
        </w:rPr>
        <w:t>（1）多尺度显著性检测技术。本项目的显著性检测融合了传统方法和深度学习方法的优势。首先利用Itti模型的多尺度高斯金字塔框架进行特征分解，然后使用预训练CNN的浅层特征图替代手工特征进行跨尺度中心-周边差异计算。具体而言，对CNN特征图构建高斯金字塔（缩放因子σ = [2, 3, 4]），计算中心层c与周边层s = c + δ（δ = [2, 3]）之间的逐像素差异图，经归一化后跨尺度求和。融合时采用线性加权策略，权重通过在SALICON数据集上的验证集调优确定。</w:t>
      </w:r>
    </w:p>
    <w:p w14:paraId="5345C04C">
      <w:pPr>
        <w:spacing w:before="40" w:after="40" w:line="360" w:lineRule="auto"/>
        <w:ind w:firstLine="420"/>
      </w:pPr>
      <w:r>
        <w:rPr>
          <w:rFonts w:ascii="宋体" w:hAnsi="宋体" w:eastAsia="宋体" w:cs="宋体"/>
          <w:sz w:val="21"/>
          <w:szCs w:val="21"/>
        </w:rPr>
        <w:t>（2）通道-空间混合注意力机制。本项目的识别主干网络集成了两种互补的注意力模块：通道注意力模块（基于SENet的Squeeze-and-Excitation机制）通过对特征通道间的依赖关系建模，自动学习各通道的重要性权重，实现"哪些特征重要"的全局判断；空间注意力模块（基于Non-local Network）则通过计算特征图中任意两个空间位置之间的依赖关系，捕获长距离的空间上下文信息，实现"哪些位置重要"的定位判断。两者串联组合为"通道注意力 → 空间注意力"的级联结构，使网络能同时从"特征维度"和"空间维度"进行重要性加权。</w:t>
      </w:r>
    </w:p>
    <w:p w14:paraId="2CCBD62A">
      <w:pPr>
        <w:spacing w:before="40" w:after="40" w:line="360" w:lineRule="auto"/>
        <w:ind w:firstLine="420"/>
      </w:pPr>
      <w:r>
        <w:rPr>
          <w:rFonts w:ascii="宋体" w:hAnsi="宋体" w:eastAsia="宋体" w:cs="宋体"/>
          <w:sz w:val="21"/>
          <w:szCs w:val="21"/>
        </w:rPr>
        <w:t>（3）动态计算资源分配。系统的核心创新之一是"按需计算"（compute-on-demand）策略——不同于传统CNN对全图所有区域执行相同的计算量，本系统根据显著性图动态调整不同区域的计算深度。具体实现中，对于显著性低于阈值的背景区域，直接使用轻量分类头（单层全连接）给出粗粒度预测；对于高显著性区域，使用完整的识别网络进行细粒度分析。通过设定显著性阈值τ（可配置参数），用户可在精度和速度之间灵活调节。</w:t>
      </w:r>
    </w:p>
    <w:p w14:paraId="2A79468F">
      <w:pPr>
        <w:spacing w:before="80" w:after="80"/>
      </w:pPr>
    </w:p>
    <w:p w14:paraId="6F4DF84B">
      <w:pPr>
        <w:pStyle w:val="3"/>
        <w:spacing w:before="240" w:after="120"/>
      </w:pPr>
      <w:r>
        <w:rPr>
          <w:rFonts w:ascii="黑体" w:hAnsi="黑体" w:eastAsia="黑体" w:cs="黑体"/>
          <w:b/>
          <w:bCs/>
          <w:sz w:val="28"/>
          <w:szCs w:val="28"/>
        </w:rPr>
        <w:t>三、项目创新点</w:t>
      </w:r>
    </w:p>
    <w:p w14:paraId="4FAF9FD7">
      <w:pPr>
        <w:spacing w:before="40" w:after="40" w:line="360" w:lineRule="auto"/>
        <w:ind w:firstLine="420"/>
      </w:pPr>
      <w:r>
        <w:rPr>
          <w:rFonts w:ascii="宋体" w:hAnsi="宋体" w:eastAsia="宋体" w:cs="宋体"/>
          <w:sz w:val="21"/>
          <w:szCs w:val="21"/>
        </w:rPr>
        <w:t>创新点一：认知理论驱动的系统性算法设计。现有视觉注意力算法大多从工程经验出发，"注意力"概念的使用较为宽泛和模糊。本项目严格遵循认知神经科学的理论框架——自底向上模块对应外源性注意（刺激驱动的显著性）、自顶向下模块对应内源性注意（任务导向的选择）、扫描策略对应眼动与注意转移——三个层面功能清晰、分工明确，形成了完整的类脑视觉处理闭环。这种"从理论到算法"的系统性转化路径，在本科层次的创新项目中具有较强的新颖性和学术训练价值。</w:t>
      </w:r>
    </w:p>
    <w:p w14:paraId="3EAFB3B6">
      <w:pPr>
        <w:spacing w:before="40" w:after="40" w:line="360" w:lineRule="auto"/>
        <w:ind w:firstLine="420"/>
      </w:pPr>
      <w:r>
        <w:rPr>
          <w:rFonts w:ascii="宋体" w:hAnsi="宋体" w:eastAsia="宋体" w:cs="宋体"/>
          <w:sz w:val="21"/>
          <w:szCs w:val="21"/>
        </w:rPr>
        <w:t>创新点二："粗扫→聚焦→识别"的三阶段高效计算范式。传统CNN对全图像素进行均匀计算，违背了人脑"重点区域高分辨率加工、周边区域低分辨率加工"的效率原则。本项目将显著性检测从传统的"后处理解释工具"提升为"系统核心调度器"——由显著性图驱动计算资源分配，使得系统在保持高识别精度的同时大幅减少冗余计算。这一"先定位再识别"的策略在方法论上更接近生物视觉系统的实际工作方式，而非简单的精度-速度权衡工程技巧。</w:t>
      </w:r>
    </w:p>
    <w:p w14:paraId="23E748A6">
      <w:pPr>
        <w:spacing w:before="40" w:after="40" w:line="360" w:lineRule="auto"/>
        <w:ind w:firstLine="420"/>
      </w:pPr>
      <w:r>
        <w:rPr>
          <w:rFonts w:ascii="宋体" w:hAnsi="宋体" w:eastAsia="宋体" w:cs="宋体"/>
          <w:sz w:val="21"/>
          <w:szCs w:val="21"/>
        </w:rPr>
        <w:t>创新点三：多粒度特征复用架构。显著性检测模块和识别模块共享底层CNN特征提取器，避免了传统"先做显著性检测再跑识别网络"的两阶段独立计算开销。通过在同一特征金字塔上同时支持显著性回归和类别预测两个任务，实现了特征的高效复用，显著降低了系统的整体计算成本。此外，通道-空间混合注意力以即插即用的方式嵌入主干网络，不改变原有网络结构，具有良好的通用性和可移植性，可方便地迁移到不同的视觉任务中。</w:t>
      </w:r>
    </w:p>
    <w:p w14:paraId="0B6E5A7A">
      <w:pPr>
        <w:spacing w:before="40" w:after="40" w:line="360" w:lineRule="auto"/>
        <w:ind w:firstLine="420"/>
      </w:pPr>
      <w:r>
        <w:rPr>
          <w:rFonts w:ascii="宋体" w:hAnsi="宋体" w:eastAsia="宋体" w:cs="宋体"/>
          <w:sz w:val="21"/>
          <w:szCs w:val="21"/>
        </w:rPr>
        <w:t>创新点四：面向实际部署的可配置效率-精度权衡。通过调节显著性阈值τ，系统可在"高精度模式"（τ较低，更多区域精细处理）和"高效模式"（τ较高，仅极少关键区域精细处理）之间灵活切换，而无需重新训练模型。这一特性使得同一模型可适配从云端GPU到移动端CPU等不同算力平台，显著降低了多平台部署的工程成本和维护复杂度。</w:t>
      </w:r>
    </w:p>
    <w:p w14:paraId="3D238A9C">
      <w:pPr>
        <w:spacing w:before="80" w:after="80"/>
      </w:pPr>
    </w:p>
    <w:p w14:paraId="3343EF12">
      <w:pPr>
        <w:pStyle w:val="3"/>
        <w:spacing w:before="240" w:after="120"/>
      </w:pPr>
      <w:r>
        <w:rPr>
          <w:rFonts w:ascii="黑体" w:hAnsi="黑体" w:eastAsia="黑体" w:cs="黑体"/>
          <w:b/>
          <w:bCs/>
          <w:sz w:val="28"/>
          <w:szCs w:val="28"/>
        </w:rPr>
        <w:t>四、成果展示</w:t>
      </w:r>
    </w:p>
    <w:p w14:paraId="5AC5E056">
      <w:pPr>
        <w:spacing w:before="40" w:after="40" w:line="360" w:lineRule="auto"/>
        <w:ind w:firstLine="420"/>
      </w:pPr>
      <w:r>
        <w:rPr>
          <w:rFonts w:ascii="宋体" w:hAnsi="宋体" w:eastAsia="宋体" w:cs="宋体"/>
          <w:sz w:val="21"/>
          <w:szCs w:val="21"/>
        </w:rPr>
        <w:t>本项目的预期成果包括以下四个方面：</w:t>
      </w:r>
    </w:p>
    <w:p w14:paraId="25C79405">
      <w:pPr>
        <w:spacing w:before="40" w:after="40" w:line="360" w:lineRule="auto"/>
        <w:ind w:firstLine="420"/>
      </w:pPr>
      <w:r>
        <w:rPr>
          <w:rFonts w:ascii="宋体" w:hAnsi="宋体" w:eastAsia="宋体" w:cs="宋体"/>
          <w:sz w:val="21"/>
          <w:szCs w:val="21"/>
        </w:rPr>
        <w:t>（1）算法成果。一套完整的基于视觉注意机制的类脑图像识别算法，包含显著性检测模块、通道-空间混合注意力模块、注意力引导的分级识别策略以及系统集成代码。算法代码托管于GitHub开源仓库，附带详细的使用文档和API接口说明，方便其他研究者复现和改进。</w:t>
      </w:r>
    </w:p>
    <w:p w14:paraId="0277D3BB">
      <w:pPr>
        <w:spacing w:before="40" w:after="40" w:line="360" w:lineRule="auto"/>
        <w:ind w:firstLine="420"/>
      </w:pPr>
      <w:r>
        <w:rPr>
          <w:rFonts w:ascii="宋体" w:hAnsi="宋体" w:eastAsia="宋体" w:cs="宋体"/>
          <w:sz w:val="21"/>
          <w:szCs w:val="21"/>
        </w:rPr>
        <w:t>（2）实验报告。在ILSVRC-2012验证集（50,000张图像）和SALICON显著性基准数据集上的详细性能评估报告。预期核心指标为：相比基线ResNet-50，在保持分类Top-5精度不低于94%的前提下，计算量（FLOPs）降低35%以上，推理延迟（移动端CPU）降低25%以上。显著性检测模块在SALICON数据集上达到AUC-Judd ≥ 0.80的精度水平。同时提供消融实验的各模块独立贡献量化分析。</w:t>
      </w:r>
    </w:p>
    <w:p w14:paraId="3E68F327">
      <w:pPr>
        <w:spacing w:before="40" w:after="40" w:line="360" w:lineRule="auto"/>
        <w:ind w:firstLine="420"/>
      </w:pPr>
      <w:r>
        <w:rPr>
          <w:rFonts w:ascii="宋体" w:hAnsi="宋体" w:eastAsia="宋体" w:cs="宋体"/>
          <w:sz w:val="21"/>
          <w:szCs w:val="21"/>
        </w:rPr>
        <w:t>（3）可视化分析。生成显著性图与原图的对比可视化、注意力热力图在原图上的叠加展示、不同显著性阈值τ下的识别精度-速度权衡曲线图，以及消融实验中各模块贡献占比的直观图表。所有可视化结果以高清图片和交互式图表形式呈现，直观展示系统的工作原理和性能优势。</w:t>
      </w:r>
    </w:p>
    <w:p w14:paraId="5D2F4546">
      <w:pPr>
        <w:spacing w:before="40" w:after="40" w:line="360" w:lineRule="auto"/>
        <w:ind w:firstLine="420"/>
      </w:pPr>
      <w:r>
        <w:rPr>
          <w:rFonts w:ascii="宋体" w:hAnsi="宋体" w:eastAsia="宋体" w:cs="宋体"/>
          <w:sz w:val="21"/>
          <w:szCs w:val="21"/>
        </w:rPr>
        <w:t>（4）演示Demo。基于Gradio或Streamlit构建的Web交互演示系统，支持用户上传任意自然图像，系统实时展示：原始输入图像、显著性检测结果热力图、注意力引导的ROI裁剪结果以及最终的识别分类预测与置信度分数。用户可通过滑块调节显著性阈值τ，直观体验精度-速度的动态权衡，帮助理解类脑视觉注意的工作机制。</w:t>
      </w:r>
    </w:p>
    <w:p w14:paraId="31A51FC8">
      <w:pPr>
        <w:spacing w:before="80" w:after="80"/>
      </w:pPr>
    </w:p>
    <w:p w14:paraId="7394F896">
      <w:pPr>
        <w:pStyle w:val="3"/>
        <w:spacing w:before="240" w:after="120"/>
      </w:pPr>
      <w:r>
        <w:rPr>
          <w:rFonts w:ascii="黑体" w:hAnsi="黑体" w:eastAsia="黑体" w:cs="黑体"/>
          <w:b/>
          <w:bCs/>
          <w:sz w:val="28"/>
          <w:szCs w:val="28"/>
        </w:rPr>
        <w:t>五、团队分工</w:t>
      </w:r>
    </w:p>
    <w:p w14:paraId="7EEE0C95">
      <w:pPr>
        <w:spacing w:before="40" w:after="40" w:line="360" w:lineRule="auto"/>
        <w:ind w:firstLine="420"/>
      </w:pPr>
      <w:r>
        <w:rPr>
          <w:rFonts w:ascii="宋体" w:hAnsi="宋体" w:eastAsia="宋体" w:cs="宋体"/>
          <w:sz w:val="21"/>
          <w:szCs w:val="21"/>
        </w:rPr>
        <w:t>本项目由3名成员协作完成，具体分工和工作量占比如下：</w:t>
      </w:r>
    </w:p>
    <w:p w14:paraId="51682699">
      <w:pPr>
        <w:spacing w:before="40" w:after="40" w:line="360" w:lineRule="auto"/>
        <w:ind w:firstLine="420"/>
      </w:pPr>
      <w:r>
        <w:rPr>
          <w:rFonts w:ascii="宋体" w:hAnsi="宋体" w:eastAsia="宋体" w:cs="宋体"/>
          <w:sz w:val="21"/>
          <w:szCs w:val="21"/>
        </w:rPr>
        <w:t>（1）项目组长（</w:t>
      </w:r>
      <w:r>
        <w:rPr>
          <w:rFonts w:hint="eastAsia" w:cs="宋体"/>
          <w:sz w:val="21"/>
          <w:szCs w:val="21"/>
          <w:lang w:val="en-US" w:eastAsia="zh-CN"/>
        </w:rPr>
        <w:t>王熙</w:t>
      </w:r>
      <w:r>
        <w:rPr>
          <w:rFonts w:ascii="宋体" w:hAnsi="宋体" w:eastAsia="宋体" w:cs="宋体"/>
          <w:sz w:val="21"/>
          <w:szCs w:val="21"/>
        </w:rPr>
        <w:t>，学号2024211965，工作量占比35%）：负责项目整体规划、研究方案设计、进度管理及质量控制。承担"注意力引导的分级识别策略"核心算法研究与实现，牵头系统集成与端到端性能评估工作，同时负责项目报告的统筹撰写和最终定稿。</w:t>
      </w:r>
    </w:p>
    <w:p w14:paraId="2918CDEF">
      <w:pPr>
        <w:spacing w:before="40" w:after="40" w:line="360" w:lineRule="auto"/>
        <w:ind w:firstLine="420"/>
      </w:pPr>
      <w:r>
        <w:rPr>
          <w:rFonts w:ascii="宋体" w:hAnsi="宋体" w:eastAsia="宋体" w:cs="宋体"/>
          <w:sz w:val="21"/>
          <w:szCs w:val="21"/>
        </w:rPr>
        <w:t>（2）项目成员1（___________，学号___________，工作量占比33%）：负责"显著性区域检测模块"的研究与实现。具体包括：Itti经典显著性模型的复现与基准测试，基于CNN多尺度特征的显著性检测改进方案设计，以及SALICON数据集上的显著性检测精度评估与对比分析。同时协助组长完成实验评估部分的数据采集与整理。</w:t>
      </w:r>
    </w:p>
    <w:p w14:paraId="0718C45D">
      <w:pPr>
        <w:spacing w:before="40" w:after="40" w:line="360" w:lineRule="auto"/>
        <w:ind w:firstLine="420"/>
      </w:pPr>
      <w:r>
        <w:rPr>
          <w:rFonts w:ascii="宋体" w:hAnsi="宋体" w:eastAsia="宋体" w:cs="宋体"/>
          <w:sz w:val="21"/>
          <w:szCs w:val="21"/>
        </w:rPr>
        <w:t>（3）项目成员2（___________，学号___________，工作量占比32%）：负责"多尺度特征提取与通道-空间混合注意力"模块的实现。具体包括：MobileNetV3/EfficientNet-B0轻量级主干网络的搭建与预训练权重加载，SE通道注意力模块和Non-local空间注意力模块的集成开发与调优，以及Web交互演示Demo的前后端开发。同时协助完成可视化分析图表的生成。</w:t>
      </w:r>
      <w:bookmarkStart w:id="0" w:name="_GoBack"/>
      <w:bookmarkEnd w:id="0"/>
    </w:p>
    <w:sectPr>
      <w:pgSz w:w="11906" w:h="16838"/>
      <w:pgMar w:top="1440" w:right="1440" w:bottom="1440" w:left="144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displayBackgroundShape w:val="1"/>
  <w:documentProtection w:enforcement="0"/>
  <w:compat>
    <w:useFELayout/>
    <w:compatSetting w:name="compatibilityMode" w:uri="http://schemas.microsoft.com/office/word" w:val="15"/>
  </w:compat>
  <w:rsids>
    <w:rsidRoot w:val="00000000"/>
    <w:rsid w:val="3B0824E5"/>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宋体" w:hAnsi="宋体" w:eastAsia="宋体" w:cs="宋体"/>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uiPriority="99" w:name="endnote reference"/>
    <w:lsdException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宋体" w:hAnsi="宋体" w:eastAsia="宋体" w:cs="宋体"/>
      <w:sz w:val="21"/>
      <w:szCs w:val="21"/>
    </w:rPr>
  </w:style>
  <w:style w:type="paragraph" w:styleId="2">
    <w:name w:val="heading 1"/>
    <w:next w:val="1"/>
    <w:qFormat/>
    <w:uiPriority w:val="0"/>
    <w:pPr>
      <w:spacing w:line="360" w:lineRule="auto"/>
    </w:pPr>
    <w:rPr>
      <w:rFonts w:ascii="宋体" w:hAnsi="宋体" w:eastAsia="宋体" w:cs="宋体"/>
      <w:color w:val="2E74B5"/>
      <w:sz w:val="32"/>
      <w:szCs w:val="32"/>
    </w:rPr>
  </w:style>
  <w:style w:type="paragraph" w:styleId="3">
    <w:name w:val="heading 2"/>
    <w:next w:val="1"/>
    <w:qFormat/>
    <w:uiPriority w:val="0"/>
    <w:pPr>
      <w:spacing w:line="360" w:lineRule="auto"/>
    </w:pPr>
    <w:rPr>
      <w:rFonts w:ascii="宋体" w:hAnsi="宋体" w:eastAsia="宋体" w:cs="宋体"/>
      <w:color w:val="2E74B5"/>
      <w:sz w:val="26"/>
      <w:szCs w:val="26"/>
    </w:rPr>
  </w:style>
  <w:style w:type="paragraph" w:styleId="4">
    <w:name w:val="heading 3"/>
    <w:next w:val="1"/>
    <w:qFormat/>
    <w:uiPriority w:val="0"/>
    <w:pPr>
      <w:spacing w:line="360" w:lineRule="auto"/>
    </w:pPr>
    <w:rPr>
      <w:rFonts w:ascii="宋体" w:hAnsi="宋体" w:eastAsia="宋体" w:cs="宋体"/>
      <w:color w:val="1F4D78"/>
      <w:sz w:val="24"/>
      <w:szCs w:val="24"/>
    </w:rPr>
  </w:style>
  <w:style w:type="paragraph" w:styleId="5">
    <w:name w:val="heading 4"/>
    <w:next w:val="1"/>
    <w:qFormat/>
    <w:uiPriority w:val="0"/>
    <w:pPr>
      <w:spacing w:line="360" w:lineRule="auto"/>
    </w:pPr>
    <w:rPr>
      <w:rFonts w:ascii="宋体" w:hAnsi="宋体" w:eastAsia="宋体" w:cs="宋体"/>
      <w:i/>
      <w:iCs/>
      <w:color w:val="2E74B5"/>
      <w:sz w:val="21"/>
      <w:szCs w:val="21"/>
    </w:rPr>
  </w:style>
  <w:style w:type="paragraph" w:styleId="6">
    <w:name w:val="heading 5"/>
    <w:next w:val="1"/>
    <w:qFormat/>
    <w:uiPriority w:val="0"/>
    <w:pPr>
      <w:spacing w:line="360" w:lineRule="auto"/>
    </w:pPr>
    <w:rPr>
      <w:rFonts w:ascii="宋体" w:hAnsi="宋体" w:eastAsia="宋体" w:cs="宋体"/>
      <w:color w:val="2E74B5"/>
      <w:sz w:val="21"/>
      <w:szCs w:val="21"/>
    </w:rPr>
  </w:style>
  <w:style w:type="paragraph" w:styleId="7">
    <w:name w:val="heading 6"/>
    <w:next w:val="1"/>
    <w:qFormat/>
    <w:uiPriority w:val="0"/>
    <w:pPr>
      <w:spacing w:line="360" w:lineRule="auto"/>
    </w:pPr>
    <w:rPr>
      <w:rFonts w:ascii="宋体" w:hAnsi="宋体" w:eastAsia="宋体" w:cs="宋体"/>
      <w:color w:val="1F4D78"/>
      <w:sz w:val="21"/>
      <w:szCs w:val="21"/>
    </w:rPr>
  </w:style>
  <w:style w:type="character" w:default="1" w:styleId="12">
    <w:name w:val="Default Paragraph Font"/>
    <w:semiHidden/>
    <w:uiPriority w:val="0"/>
  </w:style>
  <w:style w:type="table" w:default="1" w:styleId="11">
    <w:name w:val="Normal Table"/>
    <w:semiHidden/>
    <w:uiPriority w:val="0"/>
    <w:tblPr>
      <w:tblCellMar>
        <w:top w:w="0" w:type="dxa"/>
        <w:left w:w="108" w:type="dxa"/>
        <w:bottom w:w="0" w:type="dxa"/>
        <w:right w:w="108" w:type="dxa"/>
      </w:tblCellMar>
    </w:tblPr>
  </w:style>
  <w:style w:type="paragraph" w:styleId="8">
    <w:name w:val="endnote text"/>
    <w:link w:val="18"/>
    <w:semiHidden/>
    <w:unhideWhenUsed/>
    <w:uiPriority w:val="99"/>
    <w:pPr>
      <w:spacing w:after="0" w:line="240" w:lineRule="auto"/>
    </w:pPr>
    <w:rPr>
      <w:rFonts w:ascii="宋体" w:hAnsi="宋体" w:eastAsia="宋体" w:cs="宋体"/>
      <w:sz w:val="20"/>
      <w:szCs w:val="20"/>
    </w:rPr>
  </w:style>
  <w:style w:type="paragraph" w:styleId="9">
    <w:name w:val="footnote text"/>
    <w:link w:val="17"/>
    <w:semiHidden/>
    <w:unhideWhenUsed/>
    <w:uiPriority w:val="99"/>
    <w:pPr>
      <w:spacing w:after="0" w:line="240" w:lineRule="auto"/>
    </w:pPr>
    <w:rPr>
      <w:rFonts w:ascii="宋体" w:hAnsi="宋体" w:eastAsia="宋体" w:cs="宋体"/>
      <w:sz w:val="20"/>
      <w:szCs w:val="20"/>
    </w:rPr>
  </w:style>
  <w:style w:type="paragraph" w:styleId="10">
    <w:name w:val="Title"/>
    <w:qFormat/>
    <w:uiPriority w:val="0"/>
    <w:pPr>
      <w:spacing w:line="360" w:lineRule="auto"/>
    </w:pPr>
    <w:rPr>
      <w:rFonts w:ascii="宋体" w:hAnsi="宋体" w:eastAsia="宋体" w:cs="宋体"/>
      <w:sz w:val="56"/>
      <w:szCs w:val="56"/>
    </w:rPr>
  </w:style>
  <w:style w:type="character" w:styleId="13">
    <w:name w:val="endnote reference"/>
    <w:semiHidden/>
    <w:unhideWhenUsed/>
    <w:uiPriority w:val="99"/>
    <w:rPr>
      <w:vertAlign w:val="superscript"/>
    </w:rPr>
  </w:style>
  <w:style w:type="character" w:styleId="14">
    <w:name w:val="Hyperlink"/>
    <w:unhideWhenUsed/>
    <w:uiPriority w:val="99"/>
    <w:rPr>
      <w:color w:val="0563C1"/>
      <w:u w:val="single"/>
    </w:rPr>
  </w:style>
  <w:style w:type="character" w:styleId="15">
    <w:name w:val="footnote reference"/>
    <w:semiHidden/>
    <w:unhideWhenUsed/>
    <w:uiPriority w:val="99"/>
    <w:rPr>
      <w:vertAlign w:val="superscript"/>
    </w:rPr>
  </w:style>
  <w:style w:type="paragraph" w:styleId="16">
    <w:name w:val="List Paragraph"/>
    <w:qFormat/>
    <w:uiPriority w:val="0"/>
    <w:pPr>
      <w:spacing w:line="360" w:lineRule="auto"/>
    </w:pPr>
    <w:rPr>
      <w:rFonts w:ascii="宋体" w:hAnsi="宋体" w:eastAsia="宋体" w:cs="宋体"/>
      <w:sz w:val="21"/>
      <w:szCs w:val="21"/>
    </w:rPr>
  </w:style>
  <w:style w:type="character" w:customStyle="1" w:styleId="17">
    <w:name w:val="Footnote Text Char"/>
    <w:link w:val="9"/>
    <w:semiHidden/>
    <w:unhideWhenUsed/>
    <w:uiPriority w:val="99"/>
    <w:rPr>
      <w:sz w:val="20"/>
      <w:szCs w:val="20"/>
    </w:rPr>
  </w:style>
  <w:style w:type="character" w:customStyle="1" w:styleId="18">
    <w:name w:val="Endnote Text Char"/>
    <w:link w:val="8"/>
    <w:semiHidden/>
    <w:unhideWhenUsed/>
    <w:uiPriority w:val="99"/>
    <w:rPr>
      <w:sz w:val="20"/>
      <w:szCs w:val="20"/>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7</Pages>
  <Words>6330</Words>
  <Characters>8423</Characters>
  <TotalTime>8</TotalTime>
  <ScaleCrop>false</ScaleCrop>
  <LinksUpToDate>false</LinksUpToDate>
  <CharactersWithSpaces>8720</CharactersWithSpaces>
  <Application>WPS Office_12.1.0.26895_F1E327BC-269C-435d-A152-05C5408002CA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2026-06-06T09:35:00Z</dcterms:created>
  <dc:creator>Un-named</dc:creator>
  <cp:lastModifiedBy>WPS_1648292213</cp:lastModifiedBy>
  <dcterms:modified xsi:type="dcterms:W3CDTF">2026-06-06T09:46:28Z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eyJoZGlkIjoiZGVkNDRkZTk4NjMzMmU3OTBiYmI0NjNhMGViNjI1NGYiLCJ1c2VySWQiOiIxMzUyNjg1MTU2In0=</vt:lpwstr>
  </property>
  <property fmtid="{D5CDD505-2E9C-101B-9397-08002B2CF9AE}" pid="3" name="KSOProductBuildVer">
    <vt:lpwstr>2052-12.1.0.26895</vt:lpwstr>
  </property>
  <property fmtid="{D5CDD505-2E9C-101B-9397-08002B2CF9AE}" pid="4" name="ICV">
    <vt:lpwstr>E01BC43992D94F0BB1825FC1D7229FB2_12</vt:lpwstr>
  </property>
</Properties>
</file>