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65D"/>
          <w:sz w:val="48"/>
        </w:rPr>
        <w:t>智研擂台</w:t>
      </w:r>
    </w:p>
    <w:p>
      <w:pPr>
        <w:jc w:val="center"/>
      </w:pPr>
      <w:r>
        <w:rPr>
          <w:rFonts w:ascii="Microsoft YaHei" w:hAnsi="Microsoft YaHei" w:eastAsia="Microsoft YaHei"/>
          <w:color w:val="2F75B5"/>
          <w:sz w:val="24"/>
        </w:rPr>
        <w:t>基于 OpenClaw、StepFun 与 NVIDIA 本地算力的多智能体科研创新辩论系统</w:t>
      </w:r>
    </w:p>
    <w:tbl>
      <w:tblPr>
        <w:tblW w:type="auto" w:w="0"/>
        <w:jc w:val="center"/>
        <w:tblLook w:firstColumn="1" w:firstRow="1" w:lastColumn="0" w:lastRow="0" w:noHBand="0" w:noVBand="1" w:val="04A0"/>
      </w:tblPr>
      <w:tblGrid>
        <w:gridCol w:w="9858"/>
      </w:tblGrid>
      <w:tr>
        <w:tc>
          <w:tcPr>
            <w:tcW w:type="dxa" w:w="9858"/>
            <w:shd w:fill="DDEBF7"/>
            <w:vAlign w:val="center"/>
          </w:tcPr>
          <w:p>
            <w:pPr>
              <w:jc w:val="left"/>
            </w:pPr>
            <w:r>
              <w:rPr>
                <w:rFonts w:ascii="Microsoft YaHei" w:hAnsi="Microsoft YaHei" w:eastAsia="Microsoft YaHei"/>
                <w:b/>
                <w:color w:val="17365D"/>
                <w:sz w:val="21"/>
              </w:rPr>
              <w:t>一句话定位：让两名独立 AI 研究员先提出竞争方案、相互质疑和答辩，再由主智能体综合证据，输出可验证的论文创新方案。</w:t>
            </w:r>
          </w:p>
        </w:tc>
      </w:tr>
    </w:tbl>
    <w:p>
      <w:pPr>
        <w:pStyle w:val="Heading1"/>
      </w:pPr>
      <w:r>
        <w:t>一、项目概述</w:t>
      </w:r>
    </w:p>
    <w:p>
      <w:pPr>
        <w:pStyle w:val="Heading2"/>
      </w:pPr>
      <w:r>
        <w:t>1. 项目名称</w:t>
      </w:r>
    </w:p>
    <w:p>
      <w:pPr>
        <w:ind w:firstLine="420"/>
      </w:pPr>
      <w:r>
        <w:rPr>
          <w:rFonts w:ascii="Microsoft YaHei" w:hAnsi="Microsoft YaHei" w:eastAsia="Microsoft YaHei"/>
          <w:sz w:val="21"/>
        </w:rPr>
        <w:t>智研擂台——基于 OpenClaw、NVIDIA 本地算力与 StepFun 大模型的多智能体科研创新系统。</w:t>
      </w:r>
    </w:p>
    <w:p>
      <w:pPr>
        <w:pStyle w:val="Heading2"/>
      </w:pPr>
      <w:r>
        <w:t>2. 项目目标</w:t>
      </w:r>
    </w:p>
    <w:p>
      <w:pPr>
        <w:ind w:firstLine="420"/>
      </w:pPr>
      <w:r>
        <w:rPr>
          <w:rFonts w:ascii="Microsoft YaHei" w:hAnsi="Microsoft YaHei" w:eastAsia="Microsoft YaHei"/>
          <w:sz w:val="21"/>
        </w:rPr>
        <w:t>本项目旨在解决科研人员和学生在论文调研与创新设计中面临的三类核心问题：论文数量庞大、创新点难以判断，以及单一大模型容易沿着用户初始思路产生片面结论。系统通过多智能体协作，将不同智能体设置为具有独立立场的研究员和评审角色，使其分别检索论文、分析已有方法、提出创新方案，并在多轮辩论中相互质疑。最终由主智能体综合双方证据，形成兼顾研究价值、技术可行性、实验成本和发表潜力的论文创新方案。</w:t>
      </w:r>
    </w:p>
    <w:p>
      <w:pPr>
        <w:pStyle w:val="Heading2"/>
      </w:pPr>
      <w:r>
        <w:t>3. 项目背景与市场需求</w:t>
      </w:r>
    </w:p>
    <w:p>
      <w:pPr>
        <w:ind w:firstLine="420"/>
      </w:pPr>
      <w:r>
        <w:rPr>
          <w:rFonts w:ascii="Microsoft YaHei" w:hAnsi="Microsoft YaHei" w:eastAsia="Microsoft YaHei"/>
          <w:sz w:val="21"/>
        </w:rPr>
        <w:t>当前科研辅助产品多集中于论文摘要、问答、翻译和润色，而真正决定科研质量的“创新点论证”仍缺乏有效工具。单一模型容易顺着用户已有设想继续推演，也可能把已有论文中的方法重新包装成所谓创新点；同时，它往往难以同时权衡创新性、可实现性、数据成本、实验周期与发表价值。智研擂台将科研中的“独立研究—交叉评审—答辩修正—主持综合”流程系统化，适用于开题论证、组会预演、论文创新点推演、基金方案预审和企业技术路线评估。项目当前重点服务于 VLA、具身智能和世界模型等人工智能研究方向，未来可扩展至医疗、教育、金融和工业研发等领域。</w:t>
      </w:r>
    </w:p>
    <w:p>
      <w:pPr>
        <w:pStyle w:val="Heading1"/>
      </w:pPr>
      <w:r>
        <w:t>二、作品介绍：功能与核心亮点</w:t>
      </w:r>
    </w:p>
    <w:p>
      <w:pPr>
        <w:pStyle w:val="Heading2"/>
      </w:pPr>
      <w:r>
        <w:t>1. 飞书统一交互</w:t>
      </w:r>
    </w:p>
    <w:p>
      <w:pPr>
        <w:ind w:firstLine="420"/>
      </w:pPr>
      <w:r>
        <w:rPr>
          <w:rFonts w:ascii="Microsoft YaHei" w:hAnsi="Microsoft YaHei" w:eastAsia="Microsoft YaHei"/>
          <w:sz w:val="21"/>
        </w:rPr>
        <w:t>用户可直接在飞书单聊或群聊中提交研究主题、论文材料与约束条件，无须使用复杂命令行。主智能体接收任务后自动进行需求理解、任务拆分、角色分配和流程控制，并将阶段性结果与最终报告推送回飞书。</w:t>
      </w:r>
    </w:p>
    <w:p>
      <w:pPr>
        <w:pStyle w:val="Heading2"/>
      </w:pPr>
      <w:r>
        <w:t>2. 独立研究与竞争方案</w:t>
      </w:r>
    </w:p>
    <w:p>
      <w:pPr>
        <w:ind w:firstLine="420"/>
      </w:pPr>
      <w:r>
        <w:rPr>
          <w:rFonts w:ascii="Microsoft YaHei" w:hAnsi="Microsoft YaHei" w:eastAsia="Microsoft YaHei"/>
          <w:sz w:val="21"/>
        </w:rPr>
        <w:t>系统设置研究员 A 与研究员 B 两个独立智能体。二者拥有独立工作目录、角色定义、技能列表和会话历史，在初始阶段不共享中间结论，从而减少观点污染和过早收敛。研究员 A 负责提出主要创新方案，研究员 B 从另一技术路线出发提出竞争方案，并分别给出论文证据、方法设计和实验建议。</w:t>
      </w:r>
    </w:p>
    <w:p>
      <w:pPr>
        <w:pStyle w:val="Heading2"/>
      </w:pPr>
      <w:r>
        <w:t>3. 多轮辩论与结构化输出</w:t>
      </w:r>
    </w:p>
    <w:p>
      <w:pPr>
        <w:ind w:firstLine="420"/>
      </w:pPr>
      <w:r>
        <w:rPr>
          <w:rFonts w:ascii="Microsoft YaHei" w:hAnsi="Microsoft YaHei" w:eastAsia="Microsoft YaHei"/>
          <w:sz w:val="21"/>
        </w:rPr>
        <w:t>两个研究员围绕创新性、已有工作重复度、数据成本、实现难度、对比基线、消融实验与潜在风险展开多轮交叉辩论。主智能体负责检查是否存在未回应的关键质疑，必要时追加答辩轮次。最终输出结构化研究报告，包含研究问题、核心假设、方法设计、对比基线、消融实验、预期贡献和潜在风险。</w:t>
      </w:r>
    </w:p>
    <w:p>
      <w:pPr>
        <w:pStyle w:val="Heading2"/>
      </w:pPr>
      <w:r>
        <w:t>4. 人机协同与可扩展技能</w:t>
      </w:r>
    </w:p>
    <w:p>
      <w:pPr>
        <w:ind w:firstLine="420"/>
      </w:pPr>
      <w:r>
        <w:rPr>
          <w:rFonts w:ascii="Microsoft YaHei" w:hAnsi="Microsoft YaHei" w:eastAsia="Microsoft YaHei"/>
          <w:sz w:val="21"/>
        </w:rPr>
        <w:t>主智能体只负责任务组织、证据评审和结果融合，最终研究方向仍由用户决定，避免 AI 替代人的科研判断。论文检索、网页搜索、文档阅读、向量记忆、辩论评审等能力以技能形式接入；新增领域时，只需配置新的技能与角色提示词，无须重构整个系统。</w:t>
      </w:r>
    </w:p>
    <w:p>
      <w:pPr>
        <w:pStyle w:val="Heading1"/>
      </w:pPr>
      <w:r>
        <w:t>三、技术实现方案与架构设计</w:t>
      </w:r>
    </w:p>
    <w:tbl>
      <w:tblPr>
        <w:tblStyle w:val="TableGrid"/>
        <w:tblW w:type="auto" w:w="0"/>
        <w:jc w:val="center"/>
        <w:tblLook w:firstColumn="1" w:firstRow="1" w:lastColumn="0" w:lastRow="0" w:noHBand="0" w:noVBand="1" w:val="04A0"/>
      </w:tblPr>
      <w:tblGrid>
        <w:gridCol w:w="4929"/>
        <w:gridCol w:w="4929"/>
      </w:tblGrid>
      <w:tr>
        <w:tc>
          <w:tcPr>
            <w:tcW w:type="dxa" w:w="4929"/>
            <w:shd w:fill="17365D"/>
          </w:tcPr>
          <w:p>
            <w:r>
              <w:rPr>
                <w:rFonts w:ascii="Microsoft YaHei" w:hAnsi="Microsoft YaHei" w:eastAsia="Microsoft YaHei"/>
                <w:b/>
                <w:color w:val="FFFFFF"/>
                <w:sz w:val="18"/>
              </w:rPr>
              <w:t>层级</w:t>
            </w:r>
          </w:p>
        </w:tc>
        <w:tc>
          <w:tcPr>
            <w:tcW w:type="dxa" w:w="4929"/>
            <w:shd w:fill="17365D"/>
          </w:tcPr>
          <w:p>
            <w:r>
              <w:rPr>
                <w:rFonts w:ascii="Microsoft YaHei" w:hAnsi="Microsoft YaHei" w:eastAsia="Microsoft YaHei"/>
                <w:b/>
                <w:color w:val="FFFFFF"/>
                <w:sz w:val="18"/>
              </w:rPr>
              <w:t>职责</w:t>
            </w:r>
          </w:p>
        </w:tc>
      </w:tr>
      <w:tr>
        <w:tc>
          <w:tcPr>
            <w:tcW w:type="dxa" w:w="4929"/>
            <w:shd w:fill="F3F4F6"/>
          </w:tcPr>
          <w:p>
            <w:r>
              <w:rPr>
                <w:rFonts w:ascii="Microsoft YaHei" w:hAnsi="Microsoft YaHei" w:eastAsia="Microsoft YaHei"/>
                <w:sz w:val="18"/>
              </w:rPr>
              <w:t>交互层</w:t>
            </w:r>
          </w:p>
        </w:tc>
        <w:tc>
          <w:tcPr>
            <w:tcW w:type="dxa" w:w="4929"/>
            <w:shd w:fill="F3F4F6"/>
          </w:tcPr>
          <w:p>
            <w:r>
              <w:rPr>
                <w:rFonts w:ascii="Microsoft YaHei" w:hAnsi="Microsoft YaHei" w:eastAsia="Microsoft YaHei"/>
                <w:sz w:val="18"/>
              </w:rPr>
              <w:t>飞书机器人接收任务、展示进度和推送结果。</w:t>
            </w:r>
          </w:p>
        </w:tc>
      </w:tr>
      <w:tr>
        <w:tc>
          <w:tcPr>
            <w:tcW w:type="dxa" w:w="4929"/>
          </w:tcPr>
          <w:p>
            <w:r>
              <w:rPr>
                <w:rFonts w:ascii="Microsoft YaHei" w:hAnsi="Microsoft YaHei" w:eastAsia="Microsoft YaHei"/>
                <w:sz w:val="18"/>
              </w:rPr>
              <w:t>接入与调度层</w:t>
            </w:r>
          </w:p>
        </w:tc>
        <w:tc>
          <w:tcPr>
            <w:tcW w:type="dxa" w:w="4929"/>
          </w:tcPr>
          <w:p>
            <w:r>
              <w:rPr>
                <w:rFonts w:ascii="Microsoft YaHei" w:hAnsi="Microsoft YaHei" w:eastAsia="Microsoft YaHei"/>
                <w:sz w:val="18"/>
              </w:rPr>
              <w:t>OpenClaw Gateway 负责会话管理、消息路由、身份验证和智能体绑定。</w:t>
            </w:r>
          </w:p>
        </w:tc>
      </w:tr>
      <w:tr>
        <w:tc>
          <w:tcPr>
            <w:tcW w:type="dxa" w:w="4929"/>
            <w:shd w:fill="F3F4F6"/>
          </w:tcPr>
          <w:p>
            <w:r>
              <w:rPr>
                <w:rFonts w:ascii="Microsoft YaHei" w:hAnsi="Microsoft YaHei" w:eastAsia="Microsoft YaHei"/>
                <w:sz w:val="18"/>
              </w:rPr>
              <w:t>智能体层</w:t>
            </w:r>
          </w:p>
        </w:tc>
        <w:tc>
          <w:tcPr>
            <w:tcW w:type="dxa" w:w="4929"/>
            <w:shd w:fill="F3F4F6"/>
          </w:tcPr>
          <w:p>
            <w:r>
              <w:rPr>
                <w:rFonts w:ascii="Microsoft YaHei" w:hAnsi="Microsoft YaHei" w:eastAsia="Microsoft YaHei"/>
                <w:sz w:val="18"/>
              </w:rPr>
              <w:t>主智能体 main、研究员 A study、研究员 B study-critic，以及可扩展领域智能体。</w:t>
            </w:r>
          </w:p>
        </w:tc>
      </w:tr>
      <w:tr>
        <w:tc>
          <w:tcPr>
            <w:tcW w:type="dxa" w:w="4929"/>
          </w:tcPr>
          <w:p>
            <w:r>
              <w:rPr>
                <w:rFonts w:ascii="Microsoft YaHei" w:hAnsi="Microsoft YaHei" w:eastAsia="Microsoft YaHei"/>
                <w:sz w:val="18"/>
              </w:rPr>
              <w:t>技能与数据层</w:t>
            </w:r>
          </w:p>
        </w:tc>
        <w:tc>
          <w:tcPr>
            <w:tcW w:type="dxa" w:w="4929"/>
          </w:tcPr>
          <w:p>
            <w:r>
              <w:rPr>
                <w:rFonts w:ascii="Microsoft YaHei" w:hAnsi="Microsoft YaHei" w:eastAsia="Microsoft YaHei"/>
                <w:sz w:val="18"/>
              </w:rPr>
              <w:t>论文检索、网页访问、文档解析、向量检索、长期记忆和辩论评审。</w:t>
            </w:r>
          </w:p>
        </w:tc>
      </w:tr>
      <w:tr>
        <w:tc>
          <w:tcPr>
            <w:tcW w:type="dxa" w:w="4929"/>
            <w:shd w:fill="F3F4F6"/>
          </w:tcPr>
          <w:p>
            <w:r>
              <w:rPr>
                <w:rFonts w:ascii="Microsoft YaHei" w:hAnsi="Microsoft YaHei" w:eastAsia="Microsoft YaHei"/>
                <w:sz w:val="18"/>
              </w:rPr>
              <w:t>模型与算力层</w:t>
            </w:r>
          </w:p>
        </w:tc>
        <w:tc>
          <w:tcPr>
            <w:tcW w:type="dxa" w:w="4929"/>
            <w:shd w:fill="F3F4F6"/>
          </w:tcPr>
          <w:p>
            <w:r>
              <w:rPr>
                <w:rFonts w:ascii="Microsoft YaHei" w:hAnsi="Microsoft YaHei" w:eastAsia="Microsoft YaHei"/>
                <w:sz w:val="18"/>
              </w:rPr>
              <w:t>StepFun 负责长上下文理解与复杂推理，本地 NVIDIA GPU 负责预处理、向量计算、相关性排序、轻量摘要和敏感数据处理。</w:t>
            </w:r>
          </w:p>
        </w:tc>
      </w:tr>
    </w:tbl>
    <w:p>
      <w:pPr>
        <w:pStyle w:val="Heading1"/>
      </w:pPr>
      <w:r>
        <w:t>四、技术创新点</w:t>
      </w:r>
    </w:p>
    <w:p>
      <w:pPr>
        <w:pStyle w:val="ListBullet"/>
      </w:pPr>
      <w:r>
        <w:rPr>
          <w:rFonts w:ascii="Microsoft YaHei" w:hAnsi="Microsoft YaHei" w:eastAsia="Microsoft YaHei"/>
          <w:sz w:val="20"/>
        </w:rPr>
        <w:t>对抗式创新点生成：将一次性生成改造为“提出—质疑—修改—评审”循环。</w:t>
      </w:r>
    </w:p>
    <w:p>
      <w:pPr>
        <w:pStyle w:val="ListBullet"/>
      </w:pPr>
      <w:r>
        <w:rPr>
          <w:rFonts w:ascii="Microsoft YaHei" w:hAnsi="Microsoft YaHei" w:eastAsia="Microsoft YaHei"/>
          <w:sz w:val="20"/>
        </w:rPr>
        <w:t>独立上下文与交叉验证：研究员先独立研究，再交换观点，减少相互模仿。</w:t>
      </w:r>
    </w:p>
    <w:p>
      <w:pPr>
        <w:pStyle w:val="ListBullet"/>
      </w:pPr>
      <w:r>
        <w:rPr>
          <w:rFonts w:ascii="Microsoft YaHei" w:hAnsi="Microsoft YaHei" w:eastAsia="Microsoft YaHei"/>
          <w:sz w:val="20"/>
        </w:rPr>
        <w:t>基于证据的结论：创新点必须关联论文题目、研究方法与相关证据；无法确认的内容标记为待验证。</w:t>
      </w:r>
    </w:p>
    <w:p>
      <w:pPr>
        <w:pStyle w:val="ListBullet"/>
      </w:pPr>
      <w:r>
        <w:rPr>
          <w:rFonts w:ascii="Microsoft YaHei" w:hAnsi="Microsoft YaHei" w:eastAsia="Microsoft YaHei"/>
          <w:sz w:val="20"/>
        </w:rPr>
        <w:t>异构模型与混合算力：云端复杂推理与本地 NVIDIA GPU 协同，在能力、成本和数据边界之间取得平衡。</w:t>
      </w:r>
    </w:p>
    <w:p>
      <w:pPr>
        <w:pStyle w:val="ListBullet"/>
      </w:pPr>
      <w:r>
        <w:rPr>
          <w:rFonts w:ascii="Microsoft YaHei" w:hAnsi="Microsoft YaHei" w:eastAsia="Microsoft YaHei"/>
          <w:sz w:val="20"/>
        </w:rPr>
        <w:t>可靠性流程控制：任务状态、超时、失败重试、结果校验与降级输出避免单节点异常导致整体失败。</w:t>
      </w:r>
    </w:p>
    <w:p>
      <w:pPr>
        <w:pStyle w:val="Heading1"/>
      </w:pPr>
      <w:r>
        <w:t>五、DGX Spark 与 NVIDIA SDK/模型使用说明</w:t>
      </w:r>
    </w:p>
    <w:p>
      <w:pPr>
        <w:ind w:firstLine="420"/>
      </w:pPr>
      <w:r>
        <w:rPr>
          <w:rFonts w:ascii="Microsoft YaHei" w:hAnsi="Microsoft YaHei" w:eastAsia="Microsoft YaHei"/>
          <w:sz w:val="21"/>
        </w:rPr>
        <w:t>DGX Spark 可理解为面向个人研究者和小型团队的桌面 AI 计算平台。对本项目而言，其核心价值并非简单追求“所有任务完全离线”，而是把论文预处理、向量化、相关性排序、轻量摘要和敏感数据处理尽量放在本地完成。StepFun 大模型负责长上下文理解、多模态分析和复杂推理，本地 NVIDIA GPU 则承担可本地化的计算任务，形成混合算力架构。</w:t>
      </w:r>
    </w:p>
    <w:p>
      <w:pPr>
        <w:ind w:firstLine="420"/>
      </w:pPr>
      <w:r>
        <w:rPr>
          <w:rFonts w:ascii="Microsoft YaHei" w:hAnsi="Microsoft YaHei" w:eastAsia="Microsoft YaHei"/>
          <w:sz w:val="21"/>
        </w:rPr>
        <w:t>该架构尤其适合未公开论文、初步实验结果、专利前方案和组内技术路线等科研知识资产。云端 API 并不等于一定泄露，但原始材料进入外部服务器后，数据路径和暴露面都会扩大。通过 DGX Spark 在实验室内部完成预处理和检索，只将必要、筛选后的上下文送入复杂推理链路，可减少无必要的数据外流，并增强团队对科研资料的控制权。</w:t>
      </w:r>
    </w:p>
    <w:p>
      <w:pPr>
        <w:ind w:firstLine="420"/>
      </w:pPr>
      <w:r>
        <w:rPr>
          <w:rFonts w:ascii="Microsoft YaHei" w:hAnsi="Microsoft YaHei" w:eastAsia="Microsoft YaHei"/>
          <w:sz w:val="21"/>
        </w:rPr>
        <w:t>项目使用 NVIDIA GPU、CUDA 与 PyTorch 推理环境支持本地预处理、嵌入和轻量模型推理；OpenClaw 负责智能体编排与消息路由；StepFun 模型承担复杂推理。后续可在真实需求下接入 NVIDIA NIM 或 NeMo Agent Toolkit，用于模型服务标准化、Agent 工作流分析和性能优化，但未实际接入的组件不计入当前成果。</w:t>
      </w:r>
    </w:p>
    <w:p>
      <w:pPr>
        <w:pStyle w:val="Heading1"/>
      </w:pPr>
      <w:r>
        <w:t>六、相关优化方案</w:t>
      </w:r>
    </w:p>
    <w:p>
      <w:pPr>
        <w:pStyle w:val="ListBullet"/>
      </w:pPr>
      <w:r>
        <w:rPr>
          <w:rFonts w:ascii="Microsoft YaHei" w:hAnsi="Microsoft YaHei" w:eastAsia="Microsoft YaHei"/>
          <w:sz w:val="20"/>
        </w:rPr>
        <w:t>上下文隔离：不同研究员独立工作，避免同质化。</w:t>
      </w:r>
    </w:p>
    <w:p>
      <w:pPr>
        <w:pStyle w:val="ListBullet"/>
      </w:pPr>
      <w:r>
        <w:rPr>
          <w:rFonts w:ascii="Microsoft YaHei" w:hAnsi="Microsoft YaHei" w:eastAsia="Microsoft YaHei"/>
          <w:sz w:val="20"/>
        </w:rPr>
        <w:t>结构化交换：只交换主张、证据、风险和反驳，减少无效上下文。</w:t>
      </w:r>
    </w:p>
    <w:p>
      <w:pPr>
        <w:pStyle w:val="ListBullet"/>
      </w:pPr>
      <w:r>
        <w:rPr>
          <w:rFonts w:ascii="Microsoft YaHei" w:hAnsi="Microsoft YaHei" w:eastAsia="Microsoft YaHei"/>
          <w:sz w:val="20"/>
        </w:rPr>
        <w:t>动态辩论轮次：仅在关键争议未解决时继续答辩，降低计算浪费。</w:t>
      </w:r>
    </w:p>
    <w:p>
      <w:pPr>
        <w:pStyle w:val="ListBullet"/>
      </w:pPr>
      <w:r>
        <w:rPr>
          <w:rFonts w:ascii="Microsoft YaHei" w:hAnsi="Microsoft YaHei" w:eastAsia="Microsoft YaHei"/>
          <w:sz w:val="20"/>
        </w:rPr>
        <w:t>缓存与增量检索：复用文档解析、向量索引和引用结果。</w:t>
      </w:r>
    </w:p>
    <w:p>
      <w:pPr>
        <w:pStyle w:val="ListBullet"/>
      </w:pPr>
      <w:r>
        <w:rPr>
          <w:rFonts w:ascii="Microsoft YaHei" w:hAnsi="Microsoft YaHei" w:eastAsia="Microsoft YaHei"/>
          <w:sz w:val="20"/>
        </w:rPr>
        <w:t>状态机与失败重试：对任务阶段、超时和异常进行可恢复控制。</w:t>
      </w:r>
    </w:p>
    <w:p>
      <w:pPr>
        <w:pStyle w:val="ListBullet"/>
      </w:pPr>
      <w:r>
        <w:rPr>
          <w:rFonts w:ascii="Microsoft YaHei" w:hAnsi="Microsoft YaHei" w:eastAsia="Microsoft YaHei"/>
          <w:sz w:val="20"/>
        </w:rPr>
        <w:t>本地优先：敏感资料的预处理、向量化和轻量任务优先在 NVIDIA 本地算力上完成。</w:t>
      </w:r>
    </w:p>
    <w:p>
      <w:pPr>
        <w:pStyle w:val="Heading1"/>
      </w:pPr>
      <w:r>
        <w:t>七、总结</w:t>
      </w:r>
    </w:p>
    <w:p>
      <w:pPr>
        <w:ind w:firstLine="420"/>
      </w:pPr>
      <w:r>
        <w:rPr>
          <w:rFonts w:ascii="Microsoft YaHei" w:hAnsi="Microsoft YaHei" w:eastAsia="Microsoft YaHei"/>
          <w:sz w:val="21"/>
        </w:rPr>
        <w:t>智研擂台不是让多个 Agent 简单重复回答，而是把真实科研协作中的独立思考、竞争方案、交叉质疑、答辩修正和主持综合转化为可执行流程。项目通过 OpenClaw 的编排能力、StepFun 的复杂推理能力与 NVIDIA 本地算力协同，实现了兼顾创新质量、工程可靠性和科研数据边界的智能研究工作台。</w:t>
      </w:r>
    </w:p>
    <w:sectPr w:rsidR="00FC693F" w:rsidRPr="0006063C" w:rsidSect="00034616">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