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autoSpaceDE w:val="1"/>
        <w:autoSpaceDN w:val="1"/>
        <w:pStyle w:val="25"/>
      </w:pPr>
      <w:r>
        <w:rPr/>
        <w:t>前端系统设计文档模板</w:t>
      </w:r>
    </w:p>
    <w:p>
      <w:pPr>
        <w:autoSpaceDE w:val="1"/>
        <w:autoSpaceDN w:val="1"/>
        <w:rPr>
          <w:b w:val="1"/>
          <w:color w:val="ff0000"/>
        </w:rPr>
      </w:pPr>
      <w:r>
        <w:rPr>
          <w:b w:val="1"/>
          <w:color w:val="ff0000"/>
        </w:rPr>
        <w:t>如果是新增的就按照下面的全新写，如果是老需求上改，就把之前的文档找出来，重点标红。</w:t>
      </w:r>
    </w:p>
    <w:p>
      <w:pPr>
        <w:autoSpaceDE w:val="1"/>
        <w:autoSpaceDN w:val="1"/>
        <w:pStyle w:val="6"/>
        <w:rPr>
          <w:b w:val="0"/>
          <w:color w:val="494949"/>
          <w:rFonts w:ascii="苹方-简" w:hAnsi="苹方-简" w:eastAsia="苹方-简" w:cs="苹方-简"/>
          <w:sz w:val="22"/>
        </w:rPr>
      </w:pPr>
      <w:r>
        <w:rPr/>
        <w:t xml:space="preserve">1. 需求概述</w:t>
      </w:r>
    </w:p>
    <w:p>
      <w:pPr>
        <w:autoSpaceDE w:val="1"/>
        <w:autoSpaceDN w:val="1"/>
        <w:pStyle w:val="8"/>
      </w:pPr>
      <w:r>
        <w:rPr/>
        <w:t>1.1背景和价值</w:t>
      </w:r>
    </w:p>
    <w:p>
      <w:pPr/>
      <w:r>
        <w:rPr>
          <w:b w:val="0"/>
          <w:color w:val="182b50"/>
          <w:rFonts w:ascii="微软雅黑" w:hAnsi="微软雅黑" w:eastAsia="微软雅黑"/>
          <w:sz w:val="22"/>
        </w:rPr>
        <w:t>2025年12月17日，党委书记宁檬同志主持召开党委会，会议要求：将未成年人思想道德建设融入企业社会责任体系，优化客户端青少年保护机制，严格管控不良信息与诱导性消费。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1.2解决的问题和目标用户群体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="360" w:lineRule="auto"/>
        <w:rPr>
          <w:sz w:val="22"/>
        </w:rPr>
      </w:pPr>
      <w:r>
        <w:rPr>
          <w:b w:val="0"/>
          <w:color w:val="494949"/>
          <w:rFonts w:ascii="微软雅黑" w:hAnsi="微软雅黑" w:eastAsia="微软雅黑"/>
          <w:sz w:val="22"/>
        </w:rPr>
        <w:t>1.构建精准识别与内容屏蔽机制，针对青少年、未成年人，屏蔽客户端内金融、游戏等不适宜功能模块，确保未成年人在翼支付客户端零接触不良信息；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line="360" w:lineRule="auto"/>
        <w:rPr>
          <w:sz w:val="22"/>
        </w:rPr>
      </w:pPr>
      <w:r>
        <w:rPr>
          <w:b w:val="0"/>
          <w:color w:val="494949"/>
          <w:rFonts w:ascii="微软雅黑" w:hAnsi="微软雅黑" w:eastAsia="微软雅黑"/>
          <w:sz w:val="22"/>
        </w:rPr>
        <w:t>2.强化平台社会责任形象，最终提升用户信任度与翼支付品牌价值。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2.需求范围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2.1功能模块清单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1.登录模块,登录后判断是否大于18岁,否强制进入青少年模式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2.通用设置页,新增模式切换页,把之前老年版和英文版,和新增的青少年模式加入其中,并支持模式切换</w:t>
      </w:r>
      <w:r>
        <w:rPr>
          <w:b w:val="0"/>
          <w:color w:val="494949"/>
          <w:rFonts w:ascii="苹方-简" w:hAnsi="苹方-简" w:eastAsia="苹方-简" w:cs="苹方-简"/>
          <w:sz w:val="22"/>
        </w:rPr>
        <w:t>,设置状态前端保存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3.新增交互,提供当前设置状态给h5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4</w:t>
      </w:r>
      <w:r>
        <w:rPr>
          <w:b w:val="0"/>
          <w:color w:val="494949"/>
          <w:rFonts w:ascii="苹方-简" w:hAnsi="苹方-简" w:eastAsia="苹方-简" w:cs="苹方-简"/>
          <w:sz w:val="22"/>
        </w:rPr>
        <w:t>.青少年模式下,账户页屏蔽部分子应用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2.2功能边界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ab/>
      </w:r>
      <w:r>
        <w:rPr>
          <w:b w:val="0"/>
          <w:color w:val="494949"/>
          <w:rFonts w:ascii="苹方-简" w:hAnsi="苹方-简" w:eastAsia="苹方-简" w:cs="苹方-简"/>
          <w:sz w:val="22"/>
        </w:rPr>
        <w:t>对于边界的定义，可以通过图或者文字，约定需求的边界、各域的边界。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>2.3其他系统/域</w:t>
      </w:r>
      <w:r>
        <w:rPr>
          <w:rFonts w:ascii="苹方-简" w:hAnsi="苹方-简" w:eastAsia="苹方-简" w:cs="苹方-简"/>
        </w:rPr>
        <w:t>的依赖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ab/>
      </w:r>
      <w:r>
        <w:rPr>
          <w:b w:val="0"/>
          <w:color w:val="494949"/>
          <w:rFonts w:ascii="苹方-简" w:hAnsi="苹方-简" w:eastAsia="苹方-简" w:cs="苹方-简"/>
          <w:sz w:val="22"/>
        </w:rPr>
        <w:t>依赖的其他系统或者其他域的功能。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3.界面及用户交互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1.登录模块,登录后判断是否大于18岁,否强制进入青少年模式,客户端存储状态改变</w:t>
      </w:r>
    </w:p>
    <w:p>
      <w:pPr>
        <w:autoSpaceDE w:val="1"/>
        <w:autoSpaceDN w:val="1"/>
        <w:jc w:val="left"/>
        <w:rPr>
          <w:b w:val="0"/>
          <w:color w:val="494949"/>
          <w:lang w:val="en-US" w:bidi="en-US"/>
          <w:rFonts w:ascii="苹方-简" w:hAnsi="苹方-简" w:eastAsia="苹方-简" w:cs="苹方-简"/>
          <w:sz w:val="22"/>
          <w:szCs w:val="21"/>
        </w:rPr>
      </w:pPr>
      <w:r>
        <w:rPr>
          <w:b w:val="0"/>
          <w:color w:val="494949"/>
          <w:lang w:val="en-US" w:bidi="en-US"/>
          <w:rFonts w:ascii="苹方-简" w:hAnsi="苹方-简" w:eastAsia="苹方-简" w:cs="苹方-简"/>
          <w:sz w:val="22"/>
          <w:szCs w:val="21"/>
        </w:rPr>
        <w:t>(所有登录接口提供)</w:t>
      </w:r>
      <w:r>
        <w:rPr>
          <w:b w:val="0"/>
          <w:color w:val="494949"/>
          <w:rFonts w:ascii="苹方-简" w:hAnsi="苹方-简" w:eastAsia="苹方-简" w:cs="苹方-简"/>
          <w:sz w:val="22"/>
          <w:szCs w:val="21"/>
        </w:rPr>
        <w:t xml:space="preserve"> </w:t>
      </w:r>
      <w:r>
        <w:rPr>
          <w:b w:val="0"/>
          <w:color w:val="000000"/>
          <w:rFonts w:ascii="苹方-简" w:hAnsi="苹方-简" w:eastAsia="苹方-简" w:cs="苹方-简"/>
          <w:sz w:val="24"/>
        </w:rPr>
        <w:t xml:space="preserve">com.bestpay.mbp.mobilebiz.account.service.facade.CustomerInfoFacade.newQueryAccountInfo 增加</w:t>
      </w:r>
      <w:r>
        <w:rPr>
          <w:b w:val="0"/>
          <w:color w:val="000000"/>
          <w:rFonts w:ascii="苹方-简" w:hAnsi="苹方-简" w:eastAsia="苹方-简" w:cs="苹方-简"/>
          <w:sz w:val="24"/>
        </w:rPr>
        <w:t>isYouth</w:t>
      </w:r>
      <w:r>
        <w:rPr>
          <w:b w:val="0"/>
          <w:color w:val="000000"/>
          <w:rFonts w:ascii="苹方-简" w:hAnsi="苹方-简" w:eastAsia="苹方-简" w:cs="苹方-简"/>
          <w:sz w:val="24"/>
        </w:rPr>
        <w:t>字段，</w:t>
      </w:r>
      <w:r>
        <w:rPr>
          <w:b w:val="0"/>
          <w:color w:val="000000"/>
          <w:rFonts w:ascii="苹方-简" w:hAnsi="苹方-简" w:eastAsia="苹方-简" w:cs="苹方-简"/>
          <w:sz w:val="24"/>
        </w:rPr>
        <w:t>true 是青少年，直接进入青少年模式，false 不是，使用之前的模式</w:t>
      </w:r>
    </w:p>
    <w:p>
      <w:pPr>
        <w:jc w:val="left"/>
        <w:rPr>
          <w:b w:val="0"/>
          <w:color w:val="494949"/>
          <w:rFonts w:ascii="苹方-简" w:hAnsi="苹方-简" w:eastAsia="苹方-简" w:cs="苹方-简"/>
          <w:sz w:val="22"/>
        </w:rPr>
      </w:pPr>
      <w:r>
        <w:rPr/>
        <w:t>2.</w:t>
      </w:r>
      <w:r>
        <w:rPr>
          <w:b w:val="0"/>
          <w:color w:val="494949"/>
          <w:rFonts w:ascii="苹方-简" w:hAnsi="苹方-简" w:eastAsia="苹方-简" w:cs="苹方-简"/>
          <w:sz w:val="22"/>
        </w:rPr>
        <w:t>通用设置页</w:t>
      </w:r>
      <w:r>
        <w:drawing>
          <wp:inline distT="0" distB="0" distL="0" distR="0">
            <wp:extent cx="5278120" cy="3237640"/>
            <wp:effectExtent l="0" t="0" r="0" b="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新增</w:t>
      </w:r>
      <w:r>
        <w:rPr>
          <w:b w:val="0"/>
          <w:color w:val="000000"/>
          <w:rFonts w:ascii="苹方-简" w:hAnsi="苹方-简" w:eastAsia="苹方-简" w:cs="苹方-简"/>
          <w:sz w:val="24"/>
        </w:rPr>
        <w:t>com.bestpay.mobilebiz.launch.facade.AppPersonalPageFacade.queryYouthRelInfo接口，模式切换时根据接口返回的</w:t>
      </w:r>
      <w:r>
        <w:rPr/>
        <w:t>isYouth字段判断是否可以从青少年模式切换到其他模式，</w:t>
      </w:r>
      <w:r>
        <w:rPr/>
        <w:t>isYouth为true不可切换，并根据接口返回cr字段内容进行toast提示，isYouth为false可以切换。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聚合之前幸福版和英文版,根据登录状态展示,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大于18岁未设置-》标准模式,可设置青少年模式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小于18岁-》青少年模式且无法切换标准模式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原老年版和英文版切换逻辑不变</w:t>
      </w:r>
      <w:r>
        <w:rPr>
          <w:b w:val="0"/>
          <w:color w:val="494949"/>
          <w:rFonts w:ascii="苹方-简" w:hAnsi="苹方-简" w:eastAsia="苹方-简" w:cs="苹方-简"/>
          <w:sz w:val="22"/>
        </w:rPr>
        <w:t>，幸福版切换</w:t>
      </w:r>
      <w:r>
        <w:rPr>
          <w:b w:val="0"/>
          <w:color w:val="494949"/>
          <w:rFonts w:ascii="苹方-简" w:hAnsi="苹方-简" w:eastAsia="苹方-简" w:cs="苹方-简"/>
          <w:sz w:val="22"/>
        </w:rPr>
        <w:t>到标准版的弹窗去除。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需要注意旧版本更新到新版本逻辑</w:t>
      </w:r>
      <w:r>
        <w:rPr>
          <w:b w:val="0"/>
          <w:color w:val="494949"/>
          <w:rFonts w:ascii="苹方-简" w:hAnsi="苹方-简" w:eastAsia="苹方-简" w:cs="苹方-简"/>
          <w:sz w:val="22"/>
        </w:rPr>
        <w:t>：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1、旧版本是老年版、英文版、青少年则更新版本之后模式不变。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2、旧版本是标准版，</w:t>
      </w:r>
      <w:r>
        <w:rPr>
          <w:b w:val="0"/>
          <w:color w:val="494949"/>
          <w:rFonts w:ascii="苹方-简" w:hAnsi="苹方-简" w:eastAsia="苹方-简" w:cs="苹方-简"/>
          <w:sz w:val="22"/>
        </w:rPr>
        <w:t>切到账户页请求会</w:t>
      </w:r>
      <w:r>
        <w:rPr>
          <w:color w:val="494949"/>
          <w:lang w:val="en-US" w:bidi="en-US"/>
          <w:rFonts w:ascii="苹方-简" w:hAnsi="苹方-简" w:eastAsia="苹方-简" w:cs="苹方-简"/>
          <w:sz w:val="22"/>
        </w:rPr>
        <w:t>newQueryAccountInfo接口，如果接口返回是</w:t>
      </w:r>
      <w:r>
        <w:rPr>
          <w:b w:val="0"/>
          <w:color w:val="494949"/>
          <w:rFonts w:ascii="苹方-简" w:hAnsi="苹方-简" w:eastAsia="苹方-简" w:cs="苹方-简"/>
          <w:sz w:val="22"/>
        </w:rPr>
        <w:t>青少年则切换成青少年模式，如果不是青少年则还是展示标准版。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after="240" w:before="240" w:lineRule="auto"/>
        <w:rPr>
          <w:rFonts w:ascii="微软雅黑" w:hAnsi="微软雅黑" w:eastAsia="微软雅黑" w:cs="苹方-简"/>
          <w:sz w:val="24"/>
          <w:szCs w:val="24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青少年模式下账户页更多服务点击时增加toast提示</w:t>
      </w:r>
      <w:r>
        <w:rPr>
          <w:b w:val="0"/>
          <w:color w:val="494949"/>
          <w:rFonts w:ascii="苹方-简" w:hAnsi="苹方-简" w:eastAsia="苹方-简" w:cs="苹方-简"/>
          <w:sz w:val="22"/>
        </w:rPr>
        <w:t>，提示从推广位接口获取（</w:t>
      </w:r>
      <w:r>
        <w:rPr/>
        <w:t>com.bestpay.mbp.protect.service.api.AppNewExtensionService.getAppNewExtension</w:t>
      </w:r>
      <w:r>
        <w:rPr>
          <w:b w:val="0"/>
          <w:color w:val="494949"/>
          <w:rFonts w:ascii="苹方-简" w:hAnsi="苹方-简" w:eastAsia="苹方-简" w:cs="苹方-简"/>
          <w:sz w:val="22"/>
        </w:rPr>
        <w:t>）</w:t>
      </w:r>
      <w:r>
        <w:rPr>
          <w:b w:val="0"/>
          <w:color w:val="000000"/>
          <w:rFonts w:ascii="微软雅黑" w:hAnsi="微软雅黑" w:eastAsia="微软雅黑" w:cs="苹方-简"/>
          <w:sz w:val="24"/>
          <w:szCs w:val="24"/>
        </w:rPr>
        <w:t>新增ymLimit，ymCr，extraConfig 有可能为 null</w:t>
      </w:r>
    </w:p>
    <w:p>
      <w:pPr>
        <w:pBdr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pacing w:after="240" w:before="240" w:lineRule="auto"/>
        <w:rPr>
          <w:rFonts w:ascii="微软雅黑" w:hAnsi="微软雅黑" w:eastAsia="微软雅黑" w:cs="苹方-简"/>
          <w:sz w:val="24"/>
          <w:szCs w:val="24"/>
        </w:rPr>
      </w:pPr>
      <w:r>
        <w:rPr>
          <w:b w:val="0"/>
          <w:color w:val="000000"/>
          <w:rFonts w:ascii="微软雅黑" w:hAnsi="微软雅黑" w:eastAsia="微软雅黑" w:cs="苹方-简"/>
          <w:sz w:val="24"/>
          <w:szCs w:val="24"/>
        </w:rPr>
        <w:t>ymLimit - 1 限制，2 不限制</w:t>
      </w:r>
    </w:p>
    <w:p>
      <w:pPr>
        <w:jc w:val="left"/>
        <w:spacing w:lineRule="auto"/>
        <w:rPr>
          <w:rFonts w:ascii="苹方-简" w:hAnsi="苹方-简" w:eastAsia="苹方-简" w:cs="苹方-简"/>
          <w:sz w:val="24"/>
        </w:rPr>
      </w:pPr>
      <w:r>
        <w:rPr>
          <w:b w:val="0"/>
          <w:color w:val="000000"/>
          <w:rFonts w:ascii="微软雅黑" w:hAnsi="微软雅黑" w:eastAsia="微软雅黑" w:cs="苹方-简"/>
          <w:sz w:val="24"/>
          <w:szCs w:val="24"/>
        </w:rPr>
        <w:t>ymCr - 限制时的提示文案</w:t>
      </w:r>
      <w:r>
        <w:drawing>
          <wp:inline distT="0" distB="0" distL="0" distR="0">
            <wp:extent cx="5278120" cy="1656090"/>
            <wp:effectExtent l="0" t="0" r="0" b="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5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color w:val="000000"/>
          <w:rFonts w:ascii="苹方-简" w:hAnsi="苹方-简" w:eastAsia="苹方-简" w:cs="苹方-简"/>
          <w:sz w:val="24"/>
        </w:rPr>
        <w:t>青少年模式下账户页更多服务展示兜底数据时，游戏中心点击提示“当前处于青少年模式中，无法使用该功能”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3.</w:t>
      </w:r>
      <w:r>
        <w:drawing>
          <wp:inline distT="0" distB="0" distL="0" distR="0">
            <wp:extent cx="3286125" cy="6591300"/>
            <wp:effectExtent l="0" t="0" r="0" b="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5"/>
                    <pic:cNvPicPr>
                      <a:picLocks noChangeAspect="1"/>
                    </pic:cNvPicPr>
                  </pic:nvPicPr>
                  <pic:blipFill xmlns:r="http://schemas.openxmlformats.org/officeDocument/2006/relationships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新增交互</w:t>
      </w:r>
      <w:r>
        <w:rPr>
          <w:b w:val="0"/>
          <w:color w:val="494949"/>
          <w:rFonts w:ascii="苹方-简" w:hAnsi="苹方-简" w:eastAsia="苹方-简" w:cs="苹方-简"/>
          <w:sz w:val="22"/>
        </w:rPr>
        <w:t>User_getCurrentMode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 xml:space="preserve">返回 </w:t>
      </w:r>
      <w:r>
        <w:rPr>
          <w:b w:val="0"/>
          <w:color w:val="000000"/>
          <w:rFonts w:ascii="微软雅黑" w:hAnsi="微软雅黑" w:eastAsia="微软雅黑"/>
          <w:spacing w:val="0"/>
        </w:rPr>
        <w:t>currentMode：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0:标准版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1:幸福版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2:青少年</w:t>
      </w:r>
    </w:p>
    <w:p>
      <w:pPr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3:英文版</w:t>
      </w:r>
    </w:p>
    <w:p>
      <w:pPr/>
    </w:p>
    <w:p>
      <w:pPr>
        <w:autoSpaceDE w:val="1"/>
        <w:autoSpaceDN w:val="1"/>
        <w:pStyle w:val="8"/>
      </w:pPr>
    </w:p>
    <w:p>
      <w:pPr>
        <w:autoSpaceDE w:val="1"/>
        <w:autoSpaceDN w:val="1"/>
        <w:pStyle w:val="8"/>
      </w:pPr>
      <w:r>
        <w:rPr/>
        <w:t xml:space="preserve">3.1 功能一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建议图文并茂</w:t>
      </w:r>
    </w:p>
    <w:p>
      <w:pPr>
        <w:autoSpaceDE w:val="1"/>
        <w:autoSpaceDN w:val="1"/>
        <w:pStyle w:val="8"/>
        <w:rPr>
          <w:b w:val="1"/>
          <w:rFonts w:ascii="苹方-简" w:hAnsi="苹方-简" w:eastAsia="苹方-简" w:cs="苹方-简"/>
          <w:sz w:val="32"/>
          <w:szCs w:val="32"/>
        </w:rPr>
      </w:pPr>
      <w:r>
        <w:rPr>
          <w:b w:val="1"/>
          <w:rFonts w:ascii="苹方-简" w:hAnsi="苹方-简" w:eastAsia="苹方-简" w:cs="苹方-简"/>
          <w:sz w:val="32"/>
          <w:szCs w:val="32"/>
        </w:rPr>
        <w:t xml:space="preserve">3.2 功能二</w:t>
      </w:r>
    </w:p>
    <w:p>
      <w:pPr>
        <w:autoSpaceDE w:val="1"/>
        <w:autoSpaceDN w:val="1"/>
        <w:rPr>
          <w:b w:val="0"/>
          <w:color w:val="494949"/>
          <w:rFonts w:ascii="苹方-简" w:hAnsi="苹方-简" w:eastAsia="苹方-简" w:cs="苹方-简"/>
          <w:sz w:val="22"/>
        </w:rPr>
      </w:pPr>
      <w:r>
        <w:rPr>
          <w:b w:val="0"/>
          <w:color w:val="494949"/>
          <w:rFonts w:ascii="苹方-简" w:hAnsi="苹方-简" w:eastAsia="苹方-简" w:cs="苹方-简"/>
          <w:sz w:val="22"/>
        </w:rPr>
        <w:t>建议图文并茂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4.系统间交互及关键数据流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4.1 功能一</w:t>
      </w:r>
    </w:p>
    <w:p>
      <w:pPr/>
      <w:r>
        <w:rPr/>
        <w:t>图文并茂列出整个功能顶级系统见交互</w:t>
      </w:r>
    </w:p>
    <w:p>
      <w:pPr>
        <w:pStyle w:val="10"/>
      </w:pPr>
      <w:r>
        <w:rPr/>
        <w:t xml:space="preserve">4.1.1 xxx</w:t>
      </w:r>
    </w:p>
    <w:p>
      <w:pPr/>
      <w:r>
        <w:rPr/>
        <w:t>重点拆分其中关键流程，特别是多系统长流程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5.依赖其他系统/域接口及关键字段赋值/取值逻辑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5.1 xxx系统接口：</w:t>
      </w:r>
    </w:p>
    <w:p>
      <w:pPr>
        <w:pStyle w:val="10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 xml:space="preserve">5.1.1 aaa:</w:t>
      </w:r>
    </w:p>
    <w:p>
      <w:pPr/>
      <w:r>
        <w:rPr/>
        <w:t>表格解释每个字段的含义，包括请求赋值，返回取值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6.前端缓存策略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6.1 前端缓存数据及策略</w:t>
      </w:r>
    </w:p>
    <w:p>
      <w:pPr/>
      <w:r>
        <w:rPr/>
        <w:t>哪些数据会缓存，缓存多久，缓存控件策略等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6.2 缓存加密方式</w:t>
      </w:r>
    </w:p>
    <w:p>
      <w:pPr/>
      <w:r>
        <w:rPr/>
        <w:t>缓存是否加密，加密方式等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7.前端降级策略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7.1 降级涉及的场景及策略</w:t>
      </w:r>
    </w:p>
    <w:p>
      <w:pPr>
        <w:ind w:firstLine="105"/>
      </w:pPr>
      <w:r>
        <w:rPr/>
        <w:t>是否有涉及降级的场景，以及该场景下降级触发条件，降级策略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7.2 降级后的影响</w:t>
      </w:r>
    </w:p>
    <w:p>
      <w:pPr>
        <w:ind w:firstLine="105"/>
      </w:pPr>
      <w:r>
        <w:rPr/>
        <w:t>降级对功能的影响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8.兼容性和适配方案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8.1 不同分辨率适配方案</w:t>
      </w:r>
    </w:p>
    <w:p>
      <w:pPr/>
      <w:r>
        <w:rPr/>
        <w:t>不同设备/分辨率下采取的适配方案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8.2 不同浏览器/内核兼容方案</w:t>
      </w:r>
    </w:p>
    <w:p>
      <w:pPr/>
      <w:r>
        <w:rPr/>
        <w:t>不同浏览器/内核涉及的兼容方案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8.3 系统版本兼容方案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9.业务埋点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9.1 埋点设计</w:t>
      </w:r>
    </w:p>
    <w:p>
      <w:pPr/>
    </w:p>
    <w:p>
      <w:pPr/>
      <w:r>
        <w:rPr/>
        <w:t>哪些用户操作、关键点有埋点，埋点字段的赋值，包括产品埋点（可以贴埋点平台的需求任务）和技术埋点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9.2 埋点分析</w:t>
      </w:r>
    </w:p>
    <w:p>
      <w:pPr/>
      <w:r>
        <w:rPr/>
        <w:t>埋点可以在哪做什么样的分析，如果涉及SQL查询，可以直接贴SQL</w:t>
      </w:r>
    </w:p>
    <w:p>
      <w:pPr>
        <w:autoSpaceDE w:val="1"/>
        <w:autoSpaceDN w:val="1"/>
        <w:pStyle w:val="6"/>
        <w:rPr>
          <w:b w:val="1"/>
          <w:rFonts w:ascii="苹方-简" w:hAnsi="苹方-简" w:eastAsia="苹方-简" w:cs="苹方-简"/>
          <w:sz w:val="32"/>
        </w:rPr>
      </w:pPr>
      <w:r>
        <w:rPr>
          <w:b w:val="1"/>
          <w:rFonts w:ascii="苹方-简" w:hAnsi="苹方-简" w:eastAsia="苹方-简" w:cs="苹方-简"/>
          <w:sz w:val="32"/>
        </w:rPr>
        <w:t>10.线上监控/告警/应急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10.1 前端异常收集</w:t>
      </w:r>
    </w:p>
    <w:p>
      <w:pPr/>
      <w:r>
        <w:rPr/>
        <w:t>前端会收集哪些异常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10.2 监控设计</w:t>
      </w:r>
    </w:p>
    <w:p>
      <w:pPr/>
      <w:r>
        <w:rPr/>
        <w:t>监控是怎么做的？是基于前端上报到mdap的日志还是后端的接口成功率？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10.3 告警规则</w:t>
      </w:r>
    </w:p>
    <w:p>
      <w:pPr/>
      <w:r>
        <w:rPr/>
        <w:t>满足什么条件下会有什么样的告警。</w:t>
      </w:r>
    </w:p>
    <w:p>
      <w:pPr>
        <w:pStyle w:val="8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 xml:space="preserve">10.4 应急措施</w:t>
      </w:r>
    </w:p>
    <w:p>
      <w:pPr/>
      <w:r>
        <w:rPr/>
        <w:t>如果有什么样的异常可以通过什么方式应急</w:t>
      </w:r>
    </w:p>
    <w:p>
      <w:pPr>
        <w:autoSpaceDE w:val="1"/>
        <w:autoSpaceDN w:val="1"/>
      </w:pPr>
    </w:p>
    <w:sectPr>
      <w:cols w:equalWidth="1" w:num="1" w:sep="0" w:space="1701"/>
      <w:docGrid w:linePitch="387" w:type="lines"/>
      <w:pgMar w:top="1440" w:right="1797" w:bottom="1440" w:left="1797" w:header="709" w:footer="992"/>
      <w:pgNumType w:chapSep="hyphen"/>
      <w:pgSz w:h="16838" w:w="11906" w:orient="portrait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v="urn:schemas-microsoft-com:vml">
  <w:drawingGridVerticalSpacing w:val="156"/>
  <w:displayHorizontalDrawingGridEvery w:val="1"/>
  <w:displayVerticalDrawingGridEvery w:val="2"/>
  <w:noPunctuationKerning w:val="0"/>
  <w:characterSpacingControl w:val="compressPunctuation"/>
  <w:endnotePr>
    <w:pos w:val="docEnd"/>
  </w:endnotePr>
  <w:compat>
    <w:balanceSingleByteDoubleByteWidth w:val="1"/>
    <w:adjustLineHeightInTable w:val="1"/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b w:val="0"/>
        <w:color w:val="auto"/>
        <w:dstrike w:val="0"/>
        <w:i w:val="0"/>
        <w:kern w:val="2"/>
        <w:lang w:val="en-US" w:bidi="en-US"/>
        <w:rFonts w:asciiTheme="minorHAnsi" w:hAnsiTheme="minorHAnsi" w:eastAsiaTheme="minorEastAsia" w:cstheme="minorBidi"/>
        <w:rtl w:val="0"/>
        <w:spacing w:val="0"/>
        <w:strike w:val="0"/>
        <w:sz w:val="21"/>
        <w:szCs w:val="21"/>
        <w:u w:val="none"/>
        <w:vertAlign w:val="baseline"/>
        <w:w w:val="100"/>
      </w:rPr>
    </w:rPrDefault>
    <w:pPrDefault>
      <w:pPr>
        <w:autoSpaceDE w:val="1"/>
        <w:autoSpaceDN w:val="1"/>
        <w:ind w:firstLine="0" w:left="0" w:right="0"/>
        <w:jc w:val="left"/>
        <w:keepLines w:val="0"/>
        <w:keepNext w:val="0"/>
        <w:kinsoku w:val="1"/>
        <w:overflowPunct w:val="1"/>
        <w:pageBreakBefore w:val="0"/>
        <w:pBdr>
          <w:between w:val="nil" w:color="000000" w:sz="4" w:space="0"/>
          <w:bottom w:val="nil" w:color="000000" w:sz="4" w:space="0"/>
          <w:left w:val="nil" w:color="000000" w:sz="4" w:space="0"/>
          <w:right w:val="nil" w:color="000000" w:sz="4" w:space="0"/>
          <w:top w:val="nil" w:color="000000" w:sz="4" w:space="0"/>
        </w:pBdr>
        <w:shd w:val="nil"/>
        <w:snapToGrid w:val="1"/>
        <w:spacing w:after="0" w:afterAutospacing="0" w:before="0" w:beforeAutospacing="0" w:line="240" w:lineRule="auto"/>
        <w:topLinePunct w:val="0"/>
        <w:widowControl w:val="1"/>
        <w:wordWrap w:val="1"/>
      </w:pPr>
    </w:pPrDefault>
  </w:docDefaults>
  <w:style w:type="paragraph" w:styleId="161">
    <w:name w:val="Normal"/>
    <w:qFormat w:val="1"/>
    <w:pPr>
      <w:autoSpaceDE w:val="1"/>
      <w:autoSpaceDN w:val="1"/>
      <w:jc w:val="both"/>
      <w:widowControl w:val="0"/>
    </w:pPr>
  </w:style>
  <w:style w:type="character" w:styleId="2">
    <w:name w:val="original Paragraph Font"/>
    <w:uiPriority w:val="1"/>
    <w:unhideWhenUsed w:val="1"/>
  </w:style>
  <w:style w:type="paragraph" w:styleId="6">
    <w:name w:val="Heading 2"/>
    <w:basedOn w:val="161"/>
    <w:next w:val="161"/>
    <w:link w:val="7"/>
    <w:uiPriority w:val="9"/>
    <w:unhideWhenUsed w:val="1"/>
    <w:qFormat w:val="1"/>
    <w:pPr>
      <w:outlineLvl w:val="1"/>
      <w:spacing w:after="260" w:before="260" w:line="408" w:lineRule="auto"/>
    </w:pPr>
    <w:rPr>
      <w:b w:val="1"/>
      <w:rFonts w:asciiTheme="majorAscii" w:hAnsiTheme="majorAscii" w:eastAsiaTheme="majorEastAsia" w:cstheme="majorBidi"/>
      <w:sz w:val="32"/>
    </w:rPr>
  </w:style>
  <w:style w:type="character" w:styleId="7">
    <w:name w:val="Heading 2 Char"/>
    <w:basedOn w:val="2"/>
    <w:link w:val="6"/>
    <w:uiPriority w:val="9"/>
    <w:rPr>
      <w:b w:val="1"/>
      <w:rFonts w:asciiTheme="majorAscii" w:hAnsiTheme="majorAscii" w:eastAsiaTheme="majorEastAsia" w:cstheme="majorBidi"/>
      <w:sz w:val="32"/>
    </w:rPr>
  </w:style>
  <w:style w:type="paragraph" w:styleId="8">
    <w:name w:val="Heading 3"/>
    <w:basedOn w:val="161"/>
    <w:next w:val="161"/>
    <w:link w:val="9"/>
    <w:uiPriority w:val="9"/>
    <w:unhideWhenUsed w:val="1"/>
    <w:qFormat w:val="1"/>
    <w:pPr>
      <w:outlineLvl w:val="2"/>
      <w:spacing w:after="260" w:before="260" w:line="408" w:lineRule="auto"/>
    </w:pPr>
    <w:rPr>
      <w:b w:val="1"/>
      <w:rFonts w:asciiTheme="majorAscii" w:hAnsiTheme="majorAscii" w:eastAsiaTheme="majorEastAsia" w:cstheme="majorBidi"/>
      <w:sz w:val="32"/>
      <w:szCs w:val="32"/>
    </w:rPr>
  </w:style>
  <w:style w:type="character" w:styleId="9">
    <w:name w:val="Heading 3 Char"/>
    <w:basedOn w:val="2"/>
    <w:link w:val="8"/>
    <w:uiPriority w:val="9"/>
    <w:rPr>
      <w:b w:val="1"/>
      <w:rFonts w:asciiTheme="majorAscii" w:hAnsiTheme="majorAscii" w:eastAsiaTheme="majorEastAsia" w:cstheme="majorBidi"/>
      <w:sz w:val="32"/>
      <w:szCs w:val="32"/>
    </w:rPr>
  </w:style>
  <w:style w:type="paragraph" w:styleId="10">
    <w:name w:val="Heading 4"/>
    <w:basedOn w:val="161"/>
    <w:next w:val="161"/>
    <w:link w:val="11"/>
    <w:uiPriority w:val="9"/>
    <w:unhideWhenUsed w:val="1"/>
    <w:qFormat w:val="1"/>
    <w:pPr>
      <w:keepLines w:val="1"/>
      <w:keepNext w:val="1"/>
      <w:outlineLvl w:val="3"/>
      <w:spacing w:after="290" w:before="280" w:line="408" w:lineRule="auto"/>
    </w:pPr>
    <w:rPr>
      <w:b w:val="1"/>
      <w:rFonts w:asciiTheme="majorAscii" w:hAnsiTheme="majorAscii" w:eastAsiaTheme="majorEastAsia" w:cstheme="majorBidi"/>
      <w:sz w:val="28"/>
      <w:szCs w:val="28"/>
    </w:rPr>
  </w:style>
  <w:style w:type="character" w:styleId="11">
    <w:name w:val="Heading 4 Char"/>
    <w:basedOn w:val="2"/>
    <w:link w:val="10"/>
    <w:uiPriority w:val="9"/>
    <w:rPr>
      <w:b w:val="1"/>
      <w:rFonts w:asciiTheme="majorAscii" w:hAnsiTheme="majorAscii" w:eastAsiaTheme="majorEastAsia" w:cstheme="majorBidi"/>
      <w:sz w:val="28"/>
      <w:szCs w:val="28"/>
    </w:rPr>
  </w:style>
  <w:style w:type="paragraph" w:styleId="25">
    <w:name w:val="Title"/>
    <w:basedOn w:val="161"/>
    <w:next w:val="161"/>
    <w:link w:val="26"/>
    <w:uiPriority w:val="10"/>
    <w:qFormat w:val="1"/>
    <w:pPr>
      <w:jc w:val="center"/>
      <w:outlineLvl w:val="0"/>
      <w:spacing w:after="60" w:before="240" w:line="408" w:lineRule="auto"/>
    </w:pPr>
    <w:rPr>
      <w:b w:val="1"/>
      <w:color w:val="000000"/>
      <w:rFonts w:asciiTheme="majorAscii" w:hAnsiTheme="majorAscii" w:eastAsiaTheme="majorEastAsia" w:cstheme="majorBidi"/>
      <w:sz w:val="32"/>
      <w:szCs w:val="32"/>
    </w:rPr>
  </w:style>
  <w:style w:type="character" w:styleId="26">
    <w:name w:val="Title Char"/>
    <w:basedOn w:val="2"/>
    <w:link w:val="25"/>
    <w:uiPriority w:val="10"/>
    <w:rPr>
      <w:b w:val="1"/>
      <w:color w:val="000000"/>
      <w:rFonts w:asciiTheme="majorAscii" w:hAnsiTheme="majorAscii" w:eastAsiaTheme="majorEastAsia" w:cstheme="majorBidi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Mode="Internal" Target="media/image2.png"/><Relationship Id="rId2" Type="http://schemas.openxmlformats.org/officeDocument/2006/relationships/settings" TargetMode="Internal" Target="settings.xml"/><Relationship Id="rId1" Type="http://schemas.openxmlformats.org/officeDocument/2006/relationships/theme" TargetMode="Internal" Target="theme/theme1.xml"/><Relationship Id="rId4" Type="http://schemas.openxmlformats.org/officeDocument/2006/relationships/image" TargetMode="Internal" Target="media/image1.png"/><Relationship Id="rId6" Type="http://schemas.openxmlformats.org/officeDocument/2006/relationships/image" TargetMode="Internal" Target="media/image3.png"/><Relationship Id="rId3" Type="http://schemas.openxmlformats.org/officeDocument/2006/relationships/styles" TargetMode="Internal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ajorFont>
      <a:minorFont>
        <a:latin typeface="Arial"/>
        <a:ea typeface=""/>
        <a:cs typeface=""/>
        <a:font script="Jpan" typeface="Noto Sans JP"/>
        <a:font script="Hang" typeface="맑은 고딕"/>
        <a:font script="Hans" typeface="微软雅黑"/>
        <a:font script="Hant" typeface="微软雅黑"/>
        <a:font script="Arab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