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63" w:after="163"/>
        <w:ind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</w:p>
    <w:p>
      <w:pPr>
        <w:spacing w:before="163" w:after="163"/>
        <w:ind w:firstLine="0" w:firstLineChars="0"/>
        <w:jc w:val="center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  <w:t xml:space="preserve">快 递 汇 分 拣 </w:t>
      </w:r>
    </w:p>
    <w:p>
      <w:pPr>
        <w:spacing w:before="163" w:after="163"/>
        <w:ind w:firstLine="0" w:firstLineChars="0"/>
        <w:jc w:val="center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  <w:t>系 统 V1.O</w:t>
      </w:r>
    </w:p>
    <w:p>
      <w:pPr>
        <w:spacing w:before="163" w:after="163"/>
        <w:ind w:firstLine="0" w:firstLineChars="0"/>
        <w:jc w:val="center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</w:p>
    <w:p>
      <w:pPr>
        <w:spacing w:before="163" w:after="163"/>
        <w:ind w:firstLine="0" w:firstLineChars="0"/>
        <w:jc w:val="center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  <w:t>用</w:t>
      </w:r>
    </w:p>
    <w:p>
      <w:pPr>
        <w:spacing w:before="163" w:after="163"/>
        <w:ind w:firstLine="0" w:firstLineChars="0"/>
        <w:jc w:val="center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  <w:t>户</w:t>
      </w:r>
    </w:p>
    <w:p>
      <w:pPr>
        <w:spacing w:before="163" w:after="163"/>
        <w:ind w:firstLine="0" w:firstLineChars="0"/>
        <w:jc w:val="center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  <w:t>手</w:t>
      </w:r>
    </w:p>
    <w:p>
      <w:pPr>
        <w:spacing w:before="163" w:after="163"/>
        <w:ind w:firstLine="0" w:firstLineChars="0"/>
        <w:jc w:val="center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588" w:bottom="1440" w:left="1588" w:header="340" w:footer="737" w:gutter="0"/>
          <w:cols w:space="425" w:num="1"/>
          <w:docGrid w:type="lines" w:linePitch="326" w:charSpace="0"/>
        </w:sectPr>
      </w:pPr>
      <w:r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  <w:t>册</w:t>
      </w:r>
    </w:p>
    <w:p>
      <w:pPr>
        <w:spacing w:before="163" w:after="163"/>
        <w:ind w:firstLine="0" w:firstLineChars="0"/>
        <w:jc w:val="center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修订历史记录</w:t>
      </w:r>
    </w:p>
    <w:p>
      <w:pPr>
        <w:spacing w:before="163" w:after="163"/>
        <w:ind w:firstLine="0" w:firstLineChars="0"/>
        <w:jc w:val="center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tbl>
      <w:tblPr>
        <w:tblStyle w:val="24"/>
        <w:tblW w:w="89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2"/>
        <w:gridCol w:w="2982"/>
        <w:gridCol w:w="29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jc w:val="both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 xml:space="preserve">     时间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 xml:space="preserve">         作者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both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 xml:space="preserve">    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2016/8/4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刘志婷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创建文档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left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2016/8/9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刘志婷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初步完成文档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2016/8/11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刘志婷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增加系统管理模块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2016/8/12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刘志婷</w:t>
            </w: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ind w:left="0" w:leftChars="0" w:firstLine="0" w:firstLineChars="0"/>
              <w:jc w:val="both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流程细节修改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bookmarkStart w:id="38" w:name="_GoBack"/>
            <w:bookmarkEnd w:id="38"/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982" w:type="dxa"/>
            <w:vAlign w:val="center"/>
          </w:tcPr>
          <w:p>
            <w:pPr>
              <w:spacing w:before="163" w:after="163"/>
              <w:jc w:val="center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spacing w:before="163" w:after="163"/>
        <w:ind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zh-CN"/>
        </w:rPr>
      </w:pPr>
    </w:p>
    <w:p>
      <w:pPr>
        <w:spacing w:before="163" w:after="163"/>
        <w:ind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zh-CN"/>
        </w:rPr>
      </w:pPr>
    </w:p>
    <w:p>
      <w:pPr>
        <w:spacing w:before="163" w:after="163"/>
        <w:ind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zh-CN"/>
        </w:rPr>
      </w:pPr>
    </w:p>
    <w:p>
      <w:pPr>
        <w:spacing w:before="163" w:after="163"/>
        <w:ind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zh-CN"/>
        </w:rPr>
      </w:pPr>
    </w:p>
    <w:p>
      <w:pPr>
        <w:spacing w:before="163" w:after="163"/>
        <w:ind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zh-CN"/>
        </w:rPr>
      </w:pPr>
    </w:p>
    <w:sdt>
      <w:sdt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zh-CN"/>
        </w:rPr>
        <w:id w:val="203290496"/>
      </w:sdtPr>
      <w:sdtEnd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/>
        </w:rPr>
      </w:sdtEndPr>
      <w:sdtContent>
        <w:p>
          <w:pPr>
            <w:spacing w:before="163" w:after="163"/>
            <w:ind w:firstLine="0" w:firstLineChars="0"/>
            <w:jc w:val="center"/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zh-CN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  <w:lang w:val="en-US" w:eastAsia="zh-CN"/>
            </w:rPr>
            <w:t>目录</w:t>
          </w:r>
        </w:p>
        <w:p>
          <w:pPr>
            <w:pStyle w:val="16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  <w:lang w:val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  <w:lang w:val="zh-CN"/>
            </w:rPr>
            <w:instrText xml:space="preserve">TOC \o "1-3" \h \u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  <w:lang w:val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_Toc6819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第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44"/>
              <w:sz w:val="24"/>
              <w:szCs w:val="24"/>
              <w:lang w:val="en-US" w:eastAsia="zh-CN" w:bidi="ar-SA"/>
            </w:rPr>
            <w:t xml:space="preserve">1章 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云平台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_Toc6819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5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44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_Toc8737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.1. 系统管理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_Toc8737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5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_Toc30694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.1.1.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组织管理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_Toc30694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6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_Toc18061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.1.2.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系统用户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_Toc18061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7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_Toc27810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.2. 登录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_Toc27810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8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_Toc32375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.3. 分拣中心管理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_Toc32375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9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_Toc20007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.3.1.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分拣中心管理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_Toc20007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10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_Toc23355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.3.2.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PLC设备管理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_Toc23355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10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_Toc23686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.3.3.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投递框管理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_Toc23686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11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_Toc18492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.3.4.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投递框定位管理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_Toc18492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11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_Toc15048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.3.5.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人员管理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_Toc15048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12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_Toc29902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.3.6.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PLC参数上传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_Toc29902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13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_Toc14766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.3.7.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设备故障报警查看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_Toc14766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13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_Toc23137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.4. 快递公司管理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_Toc23137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13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_Toc4544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.4.1.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快递公司管理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_Toc4544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13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_Toc10480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.4.2.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快递公司大区管理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_Toc10480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14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_Toc20075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.5. 运营管理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_Toc20075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14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_Toc29702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.5.1.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运营点汇总报表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_Toc29702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15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_Toc31617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.5.2.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快递数据运营报表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_Toc31617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15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_Toc3289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第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44"/>
              <w:sz w:val="24"/>
              <w:szCs w:val="24"/>
              <w:lang w:val="en-US" w:eastAsia="zh-CN" w:bidi="ar-SA"/>
            </w:rPr>
            <w:t xml:space="preserve">2章 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PLC平台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_Toc3289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15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44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_Toc28513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.1. 登录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_Toc28513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16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_Toc6730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.1.1.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扫码登录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_Toc6730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16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_Toc8063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.1.2.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帐号登录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_Toc8063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16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_Toc17862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.2. 揽件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_Toc17862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17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_Toc6705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.2.1.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登录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_Toc6705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17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_Toc19553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.2.2.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揽件流程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_Toc19553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18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_Toc22508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.2.3.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快递公司校验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_Toc22508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19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_Toc32166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.2.4.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切换快递公司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_Toc32166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20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_Toc26453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.3. 派件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_Toc26453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21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_Toc15847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.3.1.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登录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_Toc15847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21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_Toc21190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.3.2.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派件流程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_Toc21190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22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_Toc4118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.4. 揽、派件切换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_Toc4118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23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_Toc21323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.5. 装袋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_Toc21323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23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_Toc2931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.5.1.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登录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_Toc2931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23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instrText xml:space="preserve"> HYPERLINK \l _Toc17428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 w:val="24"/>
              <w:szCs w:val="24"/>
              <w:vertAlign w:val="baseline"/>
              <w:lang w:val="en-US" w:eastAsia="zh-CN" w:bidi="ar-SA"/>
            </w:rPr>
            <w:t xml:space="preserve">.5.2. 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装袋流程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instrText xml:space="preserve"> PAGEREF _Toc17428 </w:instrTex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t>23</w:t>
          </w: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color w:val="000000"/>
              <w:spacing w:val="0"/>
              <w:w w:val="0"/>
              <w:kern w:val="0"/>
              <w:position w:val="0"/>
              <w:sz w:val="24"/>
              <w:szCs w:val="24"/>
              <w:u w:val="none"/>
              <w:vertAlign w:val="baseline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_Toc911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.6. 清空值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_Toc911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24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tabs>
              <w:tab w:val="right" w:leader="dot" w:pos="8730"/>
            </w:tabs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instrText xml:space="preserve"> HYPERLINK \l _Toc8949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zh-CN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.7. 退出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PAGEREF _Toc8949 </w:instrTex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t>24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spacing w:before="163" w:after="163"/>
            <w:ind w:firstLine="0" w:firstLineChars="0"/>
            <w:jc w:val="left"/>
            <w:rPr>
              <w:rFonts w:hint="eastAsia" w:asciiTheme="majorEastAsia" w:hAnsiTheme="majorEastAsia" w:eastAsiaTheme="majorEastAsia" w:cstheme="majorEastAsia"/>
              <w:b/>
              <w:bCs/>
              <w:sz w:val="24"/>
              <w:szCs w:val="24"/>
              <w:lang w:val="en-US"/>
            </w:rPr>
          </w:pPr>
          <w:r>
            <w:rPr>
              <w:rFonts w:hint="eastAsia" w:asciiTheme="majorEastAsia" w:hAnsiTheme="majorEastAsia" w:eastAsiaTheme="majorEastAsia" w:cstheme="majorEastAsia"/>
              <w:kern w:val="2"/>
              <w:sz w:val="24"/>
              <w:szCs w:val="24"/>
              <w:lang w:val="zh-CN" w:eastAsia="zh-CN" w:bidi="ar-SA"/>
            </w:rPr>
            <w:fldChar w:fldCharType="end"/>
          </w:r>
        </w:p>
      </w:sdtContent>
    </w:sdt>
    <w:p>
      <w:pPr>
        <w:spacing w:before="163" w:after="163"/>
        <w:ind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/>
        </w:rPr>
      </w:pPr>
    </w:p>
    <w:p>
      <w:pPr>
        <w:spacing w:before="163" w:after="163"/>
        <w:ind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/>
        </w:rPr>
      </w:pPr>
    </w:p>
    <w:p>
      <w:pPr>
        <w:spacing w:before="163" w:after="163"/>
        <w:ind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/>
        </w:rPr>
      </w:pPr>
    </w:p>
    <w:p>
      <w:pPr>
        <w:spacing w:before="163" w:after="163"/>
        <w:ind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/>
        </w:rPr>
      </w:pPr>
    </w:p>
    <w:p>
      <w:pPr>
        <w:spacing w:before="163" w:after="163"/>
        <w:ind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/>
        </w:rPr>
      </w:pPr>
    </w:p>
    <w:p>
      <w:pPr>
        <w:spacing w:before="163" w:after="163"/>
        <w:ind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/>
        </w:rPr>
      </w:pPr>
    </w:p>
    <w:p>
      <w:pPr>
        <w:spacing w:before="163" w:after="163"/>
        <w:ind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/>
        </w:rPr>
      </w:pPr>
    </w:p>
    <w:p>
      <w:pPr>
        <w:spacing w:before="163" w:after="163"/>
        <w:ind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/>
        </w:rPr>
      </w:pPr>
    </w:p>
    <w:p>
      <w:pPr>
        <w:spacing w:before="163" w:after="163"/>
        <w:ind w:firstLine="0" w:firstLineChars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/>
        </w:rPr>
      </w:pPr>
    </w:p>
    <w:p>
      <w:pPr>
        <w:pStyle w:val="2"/>
        <w:spacing w:before="163" w:after="163"/>
      </w:pPr>
      <w:bookmarkStart w:id="0" w:name="_Toc366660945"/>
      <w:bookmarkStart w:id="1" w:name="_Toc6819"/>
      <w:r>
        <w:rPr>
          <w:rFonts w:hint="eastAsia"/>
          <w:lang w:val="en-US" w:eastAsia="zh-CN"/>
        </w:rPr>
        <w:t>云平台</w:t>
      </w:r>
      <w:bookmarkEnd w:id="0"/>
      <w:bookmarkEnd w:id="1"/>
    </w:p>
    <w:p>
      <w:r>
        <w:rPr>
          <w:rFonts w:hint="eastAsia"/>
          <w:lang w:val="en-US" w:eastAsia="zh-CN"/>
        </w:rPr>
        <w:t>备注：以下用超级管理员帐号作为样例进行阐述。</w:t>
      </w:r>
    </w:p>
    <w:p>
      <w:pPr>
        <w:pStyle w:val="3"/>
        <w:rPr>
          <w:rFonts w:hint="eastAsia"/>
          <w:lang w:val="en-US" w:eastAsia="zh-CN"/>
        </w:rPr>
      </w:pPr>
      <w:bookmarkStart w:id="2" w:name="_Toc8737"/>
      <w:r>
        <w:rPr>
          <w:rFonts w:hint="eastAsia"/>
          <w:lang w:val="en-US" w:eastAsia="zh-CN"/>
        </w:rPr>
        <w:t>系统管理</w:t>
      </w:r>
      <w:bookmarkEnd w:id="2"/>
    </w:p>
    <w:p>
      <w:pPr>
        <w:spacing w:before="163" w:after="163"/>
        <w:ind w:firstLine="56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打开浏览器，在地址栏输入：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"http://112.124.53.73:8080/express-cloud/"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http://112.124.53.73:8080/express-cloud/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，出现如下登录界面：</w:t>
      </w:r>
    </w:p>
    <w:p>
      <w:pPr>
        <w:spacing w:before="163" w:after="163"/>
        <w:ind w:left="0" w:leftChars="0" w:firstLine="0" w:firstLineChars="0"/>
      </w:pPr>
      <w:r>
        <w:drawing>
          <wp:inline distT="0" distB="0" distL="114300" distR="114300">
            <wp:extent cx="5533390" cy="2604770"/>
            <wp:effectExtent l="0" t="0" r="1016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输入用户名：admin，密码：1，输入验证码，单击登录，进入主页面：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单击左上角“铅笔”按钮，进入系统管理界面；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单击“系统管理”，出现如下子菜单：</w:t>
      </w:r>
    </w:p>
    <w:p/>
    <w:p>
      <w:pPr>
        <w:ind w:left="0" w:leftChars="0" w:firstLine="0" w:firstLineChars="0"/>
      </w:pPr>
      <w:r>
        <w:drawing>
          <wp:inline distT="0" distB="0" distL="114300" distR="114300">
            <wp:extent cx="5540375" cy="2394585"/>
            <wp:effectExtent l="0" t="0" r="3175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" w:name="_Toc30694"/>
      <w:r>
        <w:rPr>
          <w:rFonts w:hint="eastAsia"/>
          <w:lang w:val="en-US" w:eastAsia="zh-CN"/>
        </w:rPr>
        <w:t>组织管理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单击“组织管理”，进入组织管理界面：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9105" cy="1657985"/>
            <wp:effectExtent l="0" t="0" r="4445" b="184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单击“新增”，进入新增角色界面：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9740" cy="2204085"/>
            <wp:effectExtent l="0" t="0" r="3810" b="571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单击“删除”按钮，可对角色进行删除操作，若想成功删除一个角色，需先删除角色下面的用户；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点击“增、删、改、查”，可对各角色进行菜单功能权限分配：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9740" cy="2192020"/>
            <wp:effectExtent l="0" t="0" r="3810" b="1778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各角色具体权限，如下：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1485" cy="2106295"/>
            <wp:effectExtent l="0" t="0" r="12065" b="825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" w:name="_Toc18061"/>
      <w:r>
        <w:rPr>
          <w:rFonts w:hint="eastAsia"/>
          <w:lang w:val="en-US" w:eastAsia="zh-CN"/>
        </w:rPr>
        <w:t>系统用户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单击“系统用户”，进入系统用户界面：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5930" cy="2252980"/>
            <wp:effectExtent l="0" t="0" r="7620" b="1397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单击“新增”按钮，进入新增用户界面，成功新增用户的前提是成功新增角色，新增成功的用户即可为云平台的登录帐号：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40375" cy="2274570"/>
            <wp:effectExtent l="0" t="0" r="3175" b="1143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单击“删除”和“编辑”按钮，可对用户进行删除和再编辑操作。</w:t>
      </w:r>
    </w:p>
    <w:p>
      <w:pPr>
        <w:pStyle w:val="3"/>
        <w:spacing w:before="163" w:after="163"/>
      </w:pPr>
      <w:bookmarkStart w:id="5" w:name="_Toc27810"/>
      <w:r>
        <w:rPr>
          <w:rFonts w:hint="eastAsia"/>
          <w:lang w:val="en-US" w:eastAsia="zh-CN"/>
        </w:rPr>
        <w:t>登录</w:t>
      </w:r>
      <w:bookmarkEnd w:id="5"/>
    </w:p>
    <w:p>
      <w:pPr>
        <w:spacing w:before="163" w:after="163"/>
        <w:ind w:firstLine="56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打开浏览器，在地址栏输入：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"http://112.124.53.73:8080/express-cloud/"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http://112.124.53.73:8080/express-cloud/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，出现如下登录界面：</w:t>
      </w:r>
    </w:p>
    <w:p>
      <w:pPr>
        <w:spacing w:before="163" w:after="163"/>
        <w:ind w:left="0" w:leftChars="0" w:firstLine="0" w:firstLineChars="0"/>
      </w:pPr>
      <w:r>
        <w:drawing>
          <wp:inline distT="0" distB="0" distL="114300" distR="114300">
            <wp:extent cx="5533390" cy="2604770"/>
            <wp:effectExtent l="0" t="0" r="10160" b="508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在“系统管理--系统用户”，可获取登录帐号；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输入用户名：admin，密码：1，输入验证码，单击登录，进入主页面：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0850" cy="2612390"/>
            <wp:effectExtent l="0" t="0" r="12700" b="1651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如果账号、密码输入错误，可以单击“</w:t>
      </w:r>
      <w:r>
        <w:rPr>
          <w:rFonts w:hint="eastAsia"/>
          <w:lang w:val="en-US" w:eastAsia="zh-CN"/>
        </w:rPr>
        <w:t>取消</w:t>
      </w:r>
      <w:r>
        <w:rPr>
          <w:rFonts w:hint="eastAsia"/>
        </w:rPr>
        <w:t>”按钮，清空账号和密码。</w:t>
      </w:r>
    </w:p>
    <w:p>
      <w:pPr>
        <w:pStyle w:val="3"/>
        <w:spacing w:before="163" w:after="163"/>
      </w:pPr>
      <w:bookmarkStart w:id="6" w:name="_Toc32375"/>
      <w:r>
        <w:rPr>
          <w:rFonts w:hint="eastAsia"/>
          <w:lang w:val="en-US" w:eastAsia="zh-CN"/>
        </w:rPr>
        <w:t>分拣中心管理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单击左侧“分拣中心管理”，出现如下子菜单：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5295" cy="2567305"/>
            <wp:effectExtent l="0" t="0" r="8255" b="444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63" w:after="163"/>
      </w:pPr>
      <w:bookmarkStart w:id="7" w:name="_Toc20007"/>
      <w:r>
        <w:rPr>
          <w:rFonts w:hint="eastAsia"/>
          <w:lang w:val="en-US" w:eastAsia="zh-CN"/>
        </w:rPr>
        <w:t>分拣中心管理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单击“分拣中心管理”，进入如下界面：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2120" cy="2585085"/>
            <wp:effectExtent l="0" t="0" r="11430" b="571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在该界面，可对分拣中心进行新增、删除和编辑的操作：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若想成功删除分拣中心，需先删除分拣中心下面的PLC设备。</w:t>
      </w:r>
    </w:p>
    <w:p>
      <w:pPr>
        <w:pStyle w:val="4"/>
        <w:rPr>
          <w:rFonts w:hint="eastAsia"/>
          <w:lang w:val="en-US" w:eastAsia="zh-CN"/>
        </w:rPr>
      </w:pPr>
      <w:bookmarkStart w:id="8" w:name="_Toc23355"/>
      <w:r>
        <w:rPr>
          <w:rFonts w:hint="eastAsia"/>
          <w:lang w:val="en-US" w:eastAsia="zh-CN"/>
        </w:rPr>
        <w:t>PLC设备管理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单击“PLC设备管理”，进入如下界面：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8470" cy="2362200"/>
            <wp:effectExtent l="0" t="0" r="508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在该界面，可对PLC设备进行新增、删除和编辑的操作：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新增PLC设备的前提是已有分拣中心存在；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若想成功删除PLC设备，需先删除PLC设备下面的投递框。</w:t>
      </w:r>
    </w:p>
    <w:p>
      <w:pPr>
        <w:pStyle w:val="4"/>
        <w:spacing w:before="163" w:after="163"/>
      </w:pPr>
      <w:bookmarkStart w:id="9" w:name="_Toc23686"/>
      <w:r>
        <w:rPr>
          <w:rFonts w:hint="eastAsia"/>
          <w:lang w:val="en-US" w:eastAsia="zh-CN"/>
        </w:rPr>
        <w:t>投递框管理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单击“投递框管理”，进入如下界面：</w:t>
      </w:r>
    </w:p>
    <w:p>
      <w:pPr>
        <w:spacing w:before="163" w:after="163"/>
        <w:ind w:left="0" w:leftChars="0" w:firstLine="0" w:firstLineChars="0"/>
      </w:pPr>
      <w:r>
        <w:drawing>
          <wp:inline distT="0" distB="0" distL="114300" distR="114300">
            <wp:extent cx="5540375" cy="2508885"/>
            <wp:effectExtent l="0" t="0" r="3175" b="571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在该界面，可对投递框进行新增、删除和编辑的操作：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新增投递框的前提是已有PLC设备存在；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若想成功删除投递框，需先删除投递框下面的投递框定位。</w:t>
      </w:r>
    </w:p>
    <w:p>
      <w:pPr>
        <w:pStyle w:val="4"/>
        <w:rPr>
          <w:rFonts w:hint="eastAsia"/>
          <w:lang w:val="en-US" w:eastAsia="zh-CN"/>
        </w:rPr>
      </w:pPr>
      <w:bookmarkStart w:id="10" w:name="_Toc18492"/>
      <w:r>
        <w:rPr>
          <w:rFonts w:hint="eastAsia"/>
          <w:lang w:val="en-US" w:eastAsia="zh-CN"/>
        </w:rPr>
        <w:t>投递框定位管理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单击“投递框定位管理”，进入如下界面：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6565" cy="2538095"/>
            <wp:effectExtent l="0" t="0" r="6985" b="1460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在该界面，可对投递框定位进行新增、删除和编辑的操作：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新增投递框定位的前提是已有快递公司、快递大区以及投递框存在。</w:t>
      </w:r>
    </w:p>
    <w:p>
      <w:pPr>
        <w:pStyle w:val="4"/>
      </w:pPr>
      <w:bookmarkStart w:id="11" w:name="_Toc15048"/>
      <w:r>
        <w:rPr>
          <w:rFonts w:hint="eastAsia"/>
          <w:lang w:val="en-US" w:eastAsia="zh-CN"/>
        </w:rPr>
        <w:t>人员管理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单击“人员管理”，进入如下界面：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4660" cy="2371725"/>
            <wp:effectExtent l="0" t="0" r="8890" b="952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在该界面，可对人员进行新增、删除和编辑的操作：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人员分为：装袋员和分拣员两种角色，可用对应角色的用户名和密码或是用户条码，登录PLC端的装袋界面或分拣界面。</w:t>
      </w:r>
    </w:p>
    <w:p>
      <w:pPr>
        <w:pStyle w:val="4"/>
        <w:rPr>
          <w:rFonts w:hint="eastAsia"/>
          <w:lang w:val="en-US" w:eastAsia="zh-CN"/>
        </w:rPr>
      </w:pPr>
      <w:bookmarkStart w:id="12" w:name="_Toc29902"/>
      <w:r>
        <w:rPr>
          <w:rFonts w:hint="eastAsia"/>
          <w:lang w:val="en-US" w:eastAsia="zh-CN"/>
        </w:rPr>
        <w:t>PLC参数上传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单击“PLC参数上传”，进入PLC参数上传页面;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9105" cy="2075180"/>
            <wp:effectExtent l="0" t="0" r="4445" b="127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在该界面，可对对PLC参数，进行新增、删除和再编辑操作。</w:t>
      </w:r>
    </w:p>
    <w:p>
      <w:pPr>
        <w:pStyle w:val="4"/>
        <w:rPr>
          <w:rFonts w:hint="eastAsia"/>
          <w:lang w:val="en-US" w:eastAsia="zh-CN"/>
        </w:rPr>
      </w:pPr>
      <w:bookmarkStart w:id="13" w:name="_Toc14766"/>
      <w:r>
        <w:rPr>
          <w:rFonts w:hint="eastAsia"/>
          <w:lang w:val="en-US" w:eastAsia="zh-CN"/>
        </w:rPr>
        <w:t>设备故障报警查看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自动获取设备故障报警信息。</w:t>
      </w:r>
    </w:p>
    <w:p>
      <w:pPr>
        <w:pStyle w:val="3"/>
        <w:rPr>
          <w:rFonts w:hint="eastAsia"/>
          <w:lang w:val="en-US" w:eastAsia="zh-CN"/>
        </w:rPr>
      </w:pPr>
      <w:bookmarkStart w:id="14" w:name="_Toc23137"/>
      <w:r>
        <w:rPr>
          <w:rFonts w:hint="eastAsia"/>
          <w:lang w:val="en-US" w:eastAsia="zh-CN"/>
        </w:rPr>
        <w:t>快递公司管理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单击左侧“快递公司管理”，出现如下子菜单：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43550" cy="2550795"/>
            <wp:effectExtent l="0" t="0" r="0" b="190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5" w:name="_Toc4544"/>
      <w:r>
        <w:rPr>
          <w:rFonts w:hint="eastAsia"/>
          <w:lang w:val="en-US" w:eastAsia="zh-CN"/>
        </w:rPr>
        <w:t>快递公司管理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点击“快递公司管理”，进入如下界面：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4660" cy="2454275"/>
            <wp:effectExtent l="0" t="0" r="8890" b="317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在该界面，可对快递公司进行新增、删除和编辑的操作：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若想成功删除快递公司，需先删除快递公司下面的大区。</w:t>
      </w:r>
    </w:p>
    <w:p>
      <w:pPr>
        <w:pStyle w:val="4"/>
        <w:rPr>
          <w:rFonts w:hint="eastAsia"/>
          <w:lang w:val="en-US" w:eastAsia="zh-CN"/>
        </w:rPr>
      </w:pPr>
      <w:bookmarkStart w:id="16" w:name="_Toc10480"/>
      <w:r>
        <w:rPr>
          <w:rFonts w:hint="eastAsia"/>
          <w:lang w:val="en-US" w:eastAsia="zh-CN"/>
        </w:rPr>
        <w:t>快递公司大区管理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点击“快递公司大区管理”，进入如下界面：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5295" cy="2343785"/>
            <wp:effectExtent l="0" t="0" r="8255" b="1841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在该界面，可对快递公司大区进行新增、删除和编辑的操作：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新增快递公司大区的前提是有快递公司存在。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7" w:name="_Toc20075"/>
      <w:r>
        <w:rPr>
          <w:rFonts w:hint="eastAsia"/>
          <w:lang w:val="en-US" w:eastAsia="zh-CN"/>
        </w:rPr>
        <w:t>运营管理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单击左侧“运营管理”，出现如下子菜单：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4660" cy="2221865"/>
            <wp:effectExtent l="0" t="0" r="8890" b="698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8" w:name="_Toc29702"/>
      <w:r>
        <w:rPr>
          <w:rFonts w:hint="eastAsia"/>
          <w:lang w:val="en-US" w:eastAsia="zh-CN"/>
        </w:rPr>
        <w:t>运营点汇总报表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点击“运营点汇总报表”，进入如下界面：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7200" cy="1965960"/>
            <wp:effectExtent l="0" t="0" r="6350" b="1524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该页面自动生成运营点下成功装袋的快递统计报表，可对任意一条数据做逻辑删除操作。</w:t>
      </w:r>
    </w:p>
    <w:p>
      <w:pPr>
        <w:pStyle w:val="4"/>
        <w:rPr>
          <w:rFonts w:hint="eastAsia"/>
          <w:lang w:val="en-US" w:eastAsia="zh-CN"/>
        </w:rPr>
      </w:pPr>
      <w:bookmarkStart w:id="19" w:name="_Toc31617"/>
      <w:r>
        <w:rPr>
          <w:rFonts w:hint="eastAsia"/>
          <w:lang w:val="en-US" w:eastAsia="zh-CN"/>
        </w:rPr>
        <w:t>快递数据运营报表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同【运营点汇总报表】</w:t>
      </w:r>
    </w:p>
    <w:p>
      <w:pPr>
        <w:pStyle w:val="2"/>
        <w:spacing w:before="163" w:after="163"/>
      </w:pPr>
      <w:bookmarkStart w:id="20" w:name="_Toc3289"/>
      <w:r>
        <w:rPr>
          <w:rFonts w:hint="eastAsia"/>
          <w:lang w:val="en-US" w:eastAsia="zh-CN"/>
        </w:rPr>
        <w:t>PLC平台</w:t>
      </w:r>
      <w:bookmarkEnd w:id="20"/>
    </w:p>
    <w:p>
      <w:pPr>
        <w:pStyle w:val="3"/>
        <w:spacing w:before="163" w:after="163"/>
      </w:pPr>
      <w:bookmarkStart w:id="21" w:name="_Toc28513"/>
      <w:r>
        <w:rPr>
          <w:rFonts w:hint="eastAsia"/>
          <w:lang w:val="en-US" w:eastAsia="zh-CN"/>
        </w:rPr>
        <w:t>登录</w:t>
      </w:r>
      <w:bookmarkEnd w:id="21"/>
    </w:p>
    <w:p>
      <w:pPr>
        <w:spacing w:before="163" w:after="163"/>
        <w:ind w:firstLine="56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打开浏览器，在地址栏输入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"http://10.0.0.2:8081/express-plc/"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http://10.0.0.2:8081/express-plc/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，出现如下登录界面：</w:t>
      </w:r>
    </w:p>
    <w:p>
      <w:pPr>
        <w:spacing w:before="163" w:after="163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8470" cy="2324735"/>
            <wp:effectExtent l="0" t="0" r="5080" b="184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2" w:name="_Toc6730"/>
      <w:r>
        <w:rPr>
          <w:rFonts w:hint="eastAsia"/>
          <w:lang w:val="en-US" w:eastAsia="zh-CN"/>
        </w:rPr>
        <w:t>扫码登录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在“云平台--分拣中心管理--人员管理”，可获取登录条码和帐号：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42915" cy="2177415"/>
            <wp:effectExtent l="0" t="0" r="635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把“用户条码”生成为条形码，用扫描仪扫描条形码，即可成功登录PLC平台。</w:t>
      </w:r>
    </w:p>
    <w:p>
      <w:pPr>
        <w:pStyle w:val="4"/>
        <w:rPr>
          <w:rFonts w:hint="eastAsia"/>
          <w:lang w:val="en-US" w:eastAsia="zh-CN"/>
        </w:rPr>
      </w:pPr>
      <w:bookmarkStart w:id="23" w:name="_Toc8063"/>
      <w:r>
        <w:rPr>
          <w:rFonts w:hint="eastAsia"/>
          <w:lang w:val="en-US" w:eastAsia="zh-CN"/>
        </w:rPr>
        <w:t>帐号登录</w:t>
      </w:r>
      <w:bookmarkEnd w:id="23"/>
    </w:p>
    <w:p>
      <w:r>
        <w:rPr>
          <w:rFonts w:hint="eastAsia"/>
          <w:lang w:val="en-US" w:eastAsia="zh-CN"/>
        </w:rPr>
        <w:t>输入用户名：张三，密码：1，输入验证码，单击登录，即可成功登录PLC平台；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如果账号、密码输入错误，可以单击“</w:t>
      </w:r>
      <w:r>
        <w:rPr>
          <w:rFonts w:hint="eastAsia"/>
          <w:lang w:val="en-US" w:eastAsia="zh-CN"/>
        </w:rPr>
        <w:t>取消</w:t>
      </w:r>
      <w:r>
        <w:rPr>
          <w:rFonts w:hint="eastAsia"/>
        </w:rPr>
        <w:t>”按钮，清空账号和密码。</w:t>
      </w:r>
    </w:p>
    <w:p>
      <w:pPr>
        <w:pStyle w:val="3"/>
      </w:pPr>
      <w:bookmarkStart w:id="24" w:name="_Toc17862"/>
      <w:r>
        <w:rPr>
          <w:rFonts w:hint="eastAsia"/>
          <w:lang w:val="en-US" w:eastAsia="zh-CN"/>
        </w:rPr>
        <w:t>揽件</w:t>
      </w:r>
      <w:bookmarkEnd w:id="24"/>
    </w:p>
    <w:p>
      <w:pPr>
        <w:pStyle w:val="4"/>
        <w:rPr>
          <w:rFonts w:hint="eastAsia"/>
          <w:lang w:val="en-US" w:eastAsia="zh-CN"/>
        </w:rPr>
      </w:pPr>
      <w:bookmarkStart w:id="25" w:name="_Toc6705"/>
      <w:r>
        <w:rPr>
          <w:rFonts w:hint="eastAsia"/>
          <w:lang w:val="en-US" w:eastAsia="zh-CN"/>
        </w:rPr>
        <w:t>登录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用岗位是“分拣员”的帐号进行登录，进入二次登录界面：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42915" cy="2353945"/>
            <wp:effectExtent l="0" t="0" r="635" b="825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扫描快递公司条码和用户条码，这里的用户条码需和登录用户的条码一致，即可进入揽件界面：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2755" cy="2566035"/>
            <wp:effectExtent l="0" t="0" r="10795" b="571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6" w:name="_Toc19553"/>
      <w:r>
        <w:rPr>
          <w:rFonts w:hint="eastAsia"/>
          <w:lang w:val="en-US" w:eastAsia="zh-CN"/>
        </w:rPr>
        <w:t>揽件流程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重量：把快递放在电子秤上，页面自动获取重量；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单号：扫描快递单号；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目的地：在“云平台--分拣中心管理--投递框定位管理--条码”，可获取揽件目的地条码：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40375" cy="2507615"/>
            <wp:effectExtent l="0" t="0" r="3175" b="698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扫描目的地条码，成功把一个揽件放到了指定的投递框里：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8470" cy="2382520"/>
            <wp:effectExtent l="0" t="0" r="5080" b="1778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7" w:name="_Toc22508"/>
      <w:r>
        <w:rPr>
          <w:rFonts w:hint="eastAsia"/>
          <w:lang w:val="en-US" w:eastAsia="zh-CN"/>
        </w:rPr>
        <w:t>快递公司校验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扫描快递公司条码：“圆通快递”，登录进入揽件界面：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41645" cy="2355215"/>
            <wp:effectExtent l="0" t="0" r="1905" b="698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新增揽件信息，扫描目的地条码：“</w:t>
      </w:r>
      <w:r>
        <w:rPr>
          <w:rFonts w:ascii="Open Sans" w:hAnsi="Open Sans" w:eastAsia="Open Sans" w:cs="Open Sans"/>
          <w:b w:val="0"/>
          <w:i w:val="0"/>
          <w:caps w:val="0"/>
          <w:color w:val="393939"/>
          <w:spacing w:val="0"/>
          <w:sz w:val="19"/>
          <w:szCs w:val="19"/>
          <w:shd w:val="clear" w:fill="FFFFFF"/>
        </w:rPr>
        <w:t>S1608031202446749</w:t>
      </w:r>
      <w:r>
        <w:rPr>
          <w:rFonts w:hint="eastAsia"/>
          <w:lang w:val="en-US" w:eastAsia="zh-CN"/>
        </w:rPr>
        <w:t>”，条码对应的快递公司为“申通快递”：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1485" cy="1974850"/>
            <wp:effectExtent l="0" t="0" r="12065" b="635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新增揽件信息失败：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7835" cy="2245360"/>
            <wp:effectExtent l="0" t="0" r="5715" b="254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8" w:name="_Toc32166"/>
      <w:r>
        <w:rPr>
          <w:rFonts w:hint="eastAsia"/>
          <w:lang w:val="en-US" w:eastAsia="zh-CN"/>
        </w:rPr>
        <w:t>切换快递公司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在揽件页面，任一输入框里，输入“NEXT”或者扫描“NEXT”条形码：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3390" cy="2207895"/>
            <wp:effectExtent l="0" t="0" r="10160" b="190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即可退出到二次登录页面，以便揽件员更换快递公司：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42915" cy="2353945"/>
            <wp:effectExtent l="0" t="0" r="635" b="825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" w:name="_Toc26453"/>
      <w:r>
        <w:rPr>
          <w:rFonts w:hint="eastAsia"/>
          <w:lang w:val="en-US" w:eastAsia="zh-CN"/>
        </w:rPr>
        <w:t>派件</w:t>
      </w:r>
      <w:bookmarkEnd w:id="29"/>
    </w:p>
    <w:p>
      <w:pPr>
        <w:pStyle w:val="4"/>
        <w:rPr>
          <w:lang w:val="en-US"/>
        </w:rPr>
      </w:pPr>
      <w:bookmarkStart w:id="30" w:name="_Toc15847"/>
      <w:r>
        <w:rPr>
          <w:rFonts w:hint="eastAsia"/>
          <w:lang w:val="en-US" w:eastAsia="zh-CN"/>
        </w:rPr>
        <w:t>登录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用岗位是“分拣员”的帐号进行登录，进入二次登录界面：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42915" cy="2353945"/>
            <wp:effectExtent l="0" t="0" r="635" b="825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在任一输入框里输入“PJ”或扫描“PJ”条形码，即可进入派件界面：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3390" cy="2313940"/>
            <wp:effectExtent l="0" t="0" r="10160" b="1016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1" w:name="_Toc21190"/>
      <w:r>
        <w:rPr>
          <w:rFonts w:hint="eastAsia"/>
          <w:lang w:val="en-US" w:eastAsia="zh-CN"/>
        </w:rPr>
        <w:t>派件流程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重量：把快递放在电子秤上，页面自动获取重量；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单号：扫描快递单号；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目的地：在“云平台--分拣中心管理--投递框定位管理--条码”，可获取派件目的地条码：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40375" cy="2507615"/>
            <wp:effectExtent l="0" t="0" r="3175" b="698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扫描目的地条码，成功把一个派件放到了指定的投递框：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34660" cy="2432050"/>
            <wp:effectExtent l="0" t="0" r="8890" b="635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2" w:name="_Toc4118"/>
      <w:r>
        <w:rPr>
          <w:rFonts w:hint="eastAsia"/>
          <w:lang w:val="en-US" w:eastAsia="zh-CN"/>
        </w:rPr>
        <w:t>揽、派件切换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在揽件界面，任一输入框里输入“PJ”或扫描“PJ”条形码，可切换至派件页面；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在派件页面，任一输入框里输入“LJ”或扫描“LJ”条形码，可切换至二次登录界面，以便进一步切换到揽件页面。</w:t>
      </w:r>
    </w:p>
    <w:p>
      <w:pPr>
        <w:pStyle w:val="3"/>
      </w:pPr>
      <w:bookmarkStart w:id="33" w:name="_Toc21323"/>
      <w:r>
        <w:rPr>
          <w:rFonts w:hint="eastAsia"/>
          <w:lang w:val="en-US" w:eastAsia="zh-CN"/>
        </w:rPr>
        <w:t>装袋</w:t>
      </w:r>
      <w:bookmarkEnd w:id="33"/>
    </w:p>
    <w:p>
      <w:pPr>
        <w:pStyle w:val="4"/>
      </w:pPr>
      <w:bookmarkStart w:id="34" w:name="_Toc2931"/>
      <w:r>
        <w:rPr>
          <w:rFonts w:hint="eastAsia"/>
          <w:lang w:val="en-US" w:eastAsia="zh-CN"/>
        </w:rPr>
        <w:t>登录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用岗位是“装袋员”的帐号进行登录，进入装袋首页：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9740" cy="1846580"/>
            <wp:effectExtent l="0" t="0" r="3810" b="127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5" w:name="_Toc17428"/>
      <w:r>
        <w:rPr>
          <w:rFonts w:hint="eastAsia"/>
          <w:lang w:val="en-US" w:eastAsia="zh-CN"/>
        </w:rPr>
        <w:t>装袋流程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装袋条码：扫描装袋条码；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投递框条码：在“云平台--分拣中心管理--投递框管理”，可获取投递框条码：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2120" cy="2459990"/>
            <wp:effectExtent l="0" t="0" r="11430" b="1651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把“投递框条码”生成为条形码，用扫描仪扫描条形码，即可成功把投递框里的快递件装到指定的袋中：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38470" cy="1390650"/>
            <wp:effectExtent l="0" t="0" r="5080" b="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6" w:name="_Toc911"/>
      <w:r>
        <w:rPr>
          <w:rFonts w:hint="eastAsia"/>
          <w:lang w:val="en-US" w:eastAsia="zh-CN"/>
        </w:rPr>
        <w:t>清空值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在揽件、派件、装袋以及二次登录界面里的，任一输入框里，输入“CLEAR”或扫描“CLEAR”条形码，即可清空输入框里的值，便于操作员重新输入值。</w:t>
      </w:r>
    </w:p>
    <w:p>
      <w:pPr>
        <w:pStyle w:val="3"/>
        <w:rPr>
          <w:rFonts w:hint="eastAsia"/>
          <w:lang w:val="en-US" w:eastAsia="zh-CN"/>
        </w:rPr>
      </w:pPr>
      <w:bookmarkStart w:id="37" w:name="_Toc8949"/>
      <w:r>
        <w:rPr>
          <w:rFonts w:hint="eastAsia"/>
          <w:lang w:val="en-US" w:eastAsia="zh-CN"/>
        </w:rPr>
        <w:t>退出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在揽件、派件、装袋以及二次登录界面里的，任一输入框里，输入“EXIT”或扫描“EXIT”条形码，可退出到登录界面。</w:t>
      </w:r>
    </w:p>
    <w:p>
      <w:pPr>
        <w:rPr>
          <w:rFonts w:hint="eastAsia"/>
          <w:lang w:val="en-US" w:eastAsia="zh-CN"/>
        </w:rPr>
      </w:pPr>
    </w:p>
    <w:p>
      <w:pPr>
        <w:spacing w:before="163" w:after="163"/>
        <w:ind w:left="0" w:leftChars="0" w:firstLine="0" w:firstLineChars="0"/>
      </w:pPr>
    </w:p>
    <w:sectPr>
      <w:pgSz w:w="11906" w:h="16838"/>
      <w:pgMar w:top="1440" w:right="1588" w:bottom="1440" w:left="1588" w:header="340" w:footer="737" w:gutter="0"/>
      <w:cols w:space="425" w:num="1"/>
      <w:docGrid w:type="lines" w:linePitch="326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51">
      <wne:acd wne:acdName="acd0"/>
    </wne:keymap>
    <wne:keymap wne:kcmPrimary="0435">
      <wne:acd wne:acdName="acd1"/>
    </wne:keymap>
  </wne:keymaps>
  <wne:acds>
    <wne:acd wne:argValue="AQAAAAAA" wne:acdName="acd0" wne:fciIndexBasedOn="0065"/>
    <wne:acd wne:argValue="AgA1AKd+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3290595"/>
    </w:sdtPr>
    <w:sdtContent>
      <w:sdt>
        <w:sdtPr>
          <w:id w:val="203290596"/>
        </w:sdtPr>
        <w:sdtContent>
          <w:p>
            <w:pPr>
              <w:pStyle w:val="31"/>
            </w:pPr>
            <w:r>
              <w:t>第</w:t>
            </w:r>
            <w:r>
              <w:rPr>
                <w:lang w:val="zh-CN"/>
              </w:rPr>
              <w:t xml:space="preserve"> </w:t>
            </w:r>
            <w:r>
              <w:fldChar w:fldCharType="begin"/>
            </w:r>
            <w:r>
              <w:instrText xml:space="preserve">PAGE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lang w:val="zh-CN"/>
              </w:rPr>
              <w:t xml:space="preserve"> 页 共 </w:t>
            </w:r>
            <w:r>
              <w:fldChar w:fldCharType="begin"/>
            </w:r>
            <w:r>
              <w:instrText xml:space="preserve">NUMPAGES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t>页</w:t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before="120" w:after="120"/>
      <w:ind w:firstLine="42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before="120" w:after="120"/>
      <w:ind w:firstLine="42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0"/>
      <w:pBdr>
        <w:bottom w:val="none" w:color="auto" w:sz="0" w:space="1"/>
      </w:pBdr>
      <w:spacing w:line="240" w:lineRule="atLeast"/>
      <w:rPr>
        <w:b/>
        <w:szCs w:val="21"/>
      </w:rPr>
    </w:pPr>
    <w:r>
      <w:pict>
        <v:shape id="_x0000_s11266" o:spid="_x0000_s11266" o:spt="202" type="#_x0000_t202" style="position:absolute;left:0pt;margin-left:62.3pt;margin-top:4.15pt;height:29.1pt;width:238.15pt;z-index:251660288;mso-width-relative:margin;mso-height-relative:margin;" stroked="f" coordsize="21600,21600">
          <v:path/>
          <v:fill focussize="0,0"/>
          <v:stroke on="f" joinstyle="miter"/>
          <v:imagedata o:title=""/>
          <o:lock v:ext="edit"/>
          <v:textbox>
            <w:txbxContent>
              <w:p>
                <w:pPr>
                  <w:spacing w:before="120" w:after="120"/>
                  <w:ind w:firstLine="0" w:firstLineChars="0"/>
                  <w:rPr>
                    <w:color w:val="1F497D" w:themeColor="text2"/>
                  </w:rPr>
                </w:pPr>
              </w:p>
            </w:txbxContent>
          </v:textbox>
        </v:shape>
      </w:pict>
    </w:r>
    <w:r>
      <w:object>
        <v:shape id="_x0000_i1025" o:spt="75" type="#_x0000_t75" style="height:0.75pt;width:0.75pt;" o:ole="t" filled="f" o:preferrelative="t" stroked="f" coordsize="21600,21600">
          <v:path/>
          <v:fill on="f" focussize="0,0"/>
          <v:stroke on="f" joinstyle="miter"/>
          <v:imagedata r:id="rId2" o:title=""/>
          <o:lock v:ext="edit" aspectratio="t"/>
          <w10:wrap type="none"/>
          <w10:anchorlock/>
        </v:shape>
        <o:OLEObject Type="Embed" ProgID="Photoshop.Image.8" ShapeID="_x0000_i1025" DrawAspect="Content" ObjectID="_1468075725" r:id="rId1">
          <o:LockedField>false</o:LockedField>
        </o:OLEObject>
      </w:obje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spacing w:before="120" w:after="120"/>
      <w:ind w:firstLine="42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spacing w:before="120" w:after="120"/>
      <w:ind w:firstLine="4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62446B"/>
    <w:multiLevelType w:val="multilevel"/>
    <w:tmpl w:val="2262446B"/>
    <w:lvl w:ilvl="0" w:tentative="0">
      <w:start w:val="1"/>
      <w:numFmt w:val="decimal"/>
      <w:pStyle w:val="2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7"/>
        </w:tabs>
        <w:ind w:left="0" w:firstLine="0"/>
      </w:pPr>
      <w:rPr>
        <w:rFonts w:hint="eastAsia"/>
        <w:sz w:val="32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1080"/>
        </w:tabs>
        <w:ind w:left="0" w:firstLine="0"/>
      </w:pPr>
      <w:rPr>
        <w:rFonts w:hint="default"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8"/>
        <w:szCs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pStyle w:val="47"/>
      <w:lvlText w:val="%1.%2.%3.%4.%5."/>
      <w:lvlJc w:val="left"/>
      <w:pPr>
        <w:tabs>
          <w:tab w:val="left" w:pos="992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1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5FB3"/>
    <w:rsid w:val="00005FB3"/>
    <w:rsid w:val="00007949"/>
    <w:rsid w:val="00010CAA"/>
    <w:rsid w:val="00012201"/>
    <w:rsid w:val="000133B0"/>
    <w:rsid w:val="00013FDD"/>
    <w:rsid w:val="00014A68"/>
    <w:rsid w:val="0004319A"/>
    <w:rsid w:val="00045FE3"/>
    <w:rsid w:val="000527F7"/>
    <w:rsid w:val="0005436F"/>
    <w:rsid w:val="00054917"/>
    <w:rsid w:val="000622A8"/>
    <w:rsid w:val="00065E4B"/>
    <w:rsid w:val="0007530A"/>
    <w:rsid w:val="00082D76"/>
    <w:rsid w:val="000A4C0A"/>
    <w:rsid w:val="000B020E"/>
    <w:rsid w:val="000B2E91"/>
    <w:rsid w:val="000B3A79"/>
    <w:rsid w:val="000C311F"/>
    <w:rsid w:val="000C3D6E"/>
    <w:rsid w:val="000C58FF"/>
    <w:rsid w:val="000D1526"/>
    <w:rsid w:val="000D2AE7"/>
    <w:rsid w:val="000D3E45"/>
    <w:rsid w:val="000E4C48"/>
    <w:rsid w:val="000E7314"/>
    <w:rsid w:val="000F48C0"/>
    <w:rsid w:val="00103558"/>
    <w:rsid w:val="00106442"/>
    <w:rsid w:val="001151F9"/>
    <w:rsid w:val="001221E4"/>
    <w:rsid w:val="00126299"/>
    <w:rsid w:val="00131CC3"/>
    <w:rsid w:val="00132BF1"/>
    <w:rsid w:val="00135970"/>
    <w:rsid w:val="00143B30"/>
    <w:rsid w:val="00155803"/>
    <w:rsid w:val="00157D63"/>
    <w:rsid w:val="00165E6F"/>
    <w:rsid w:val="00175C0E"/>
    <w:rsid w:val="001770F0"/>
    <w:rsid w:val="00177276"/>
    <w:rsid w:val="00181D5D"/>
    <w:rsid w:val="00182BCD"/>
    <w:rsid w:val="00185A22"/>
    <w:rsid w:val="001940EF"/>
    <w:rsid w:val="00196A28"/>
    <w:rsid w:val="001B57B0"/>
    <w:rsid w:val="001D2075"/>
    <w:rsid w:val="001D40A6"/>
    <w:rsid w:val="001D55B7"/>
    <w:rsid w:val="001F58CC"/>
    <w:rsid w:val="002035AD"/>
    <w:rsid w:val="00205508"/>
    <w:rsid w:val="00215024"/>
    <w:rsid w:val="00261349"/>
    <w:rsid w:val="00261E57"/>
    <w:rsid w:val="00261E65"/>
    <w:rsid w:val="00263C79"/>
    <w:rsid w:val="002724A6"/>
    <w:rsid w:val="00277C91"/>
    <w:rsid w:val="00290ED5"/>
    <w:rsid w:val="002962AC"/>
    <w:rsid w:val="0029695D"/>
    <w:rsid w:val="002A46FA"/>
    <w:rsid w:val="002B1AF0"/>
    <w:rsid w:val="002B3DBF"/>
    <w:rsid w:val="002C1A9E"/>
    <w:rsid w:val="002C2F61"/>
    <w:rsid w:val="002D2D71"/>
    <w:rsid w:val="002D5489"/>
    <w:rsid w:val="002D5A39"/>
    <w:rsid w:val="002E09A9"/>
    <w:rsid w:val="002E5A5C"/>
    <w:rsid w:val="002F13FD"/>
    <w:rsid w:val="002F4848"/>
    <w:rsid w:val="002F7DE1"/>
    <w:rsid w:val="003059AD"/>
    <w:rsid w:val="00323404"/>
    <w:rsid w:val="003256A6"/>
    <w:rsid w:val="00331862"/>
    <w:rsid w:val="00331D10"/>
    <w:rsid w:val="00332045"/>
    <w:rsid w:val="00337E58"/>
    <w:rsid w:val="003405E6"/>
    <w:rsid w:val="0034228E"/>
    <w:rsid w:val="0035537F"/>
    <w:rsid w:val="00367293"/>
    <w:rsid w:val="00371DDE"/>
    <w:rsid w:val="00397F13"/>
    <w:rsid w:val="003A3EA6"/>
    <w:rsid w:val="003A46FA"/>
    <w:rsid w:val="003A761B"/>
    <w:rsid w:val="003B00BE"/>
    <w:rsid w:val="003B133C"/>
    <w:rsid w:val="003C2188"/>
    <w:rsid w:val="003E43AE"/>
    <w:rsid w:val="003E6BF6"/>
    <w:rsid w:val="003F3F7E"/>
    <w:rsid w:val="003F6A53"/>
    <w:rsid w:val="00412E25"/>
    <w:rsid w:val="00415047"/>
    <w:rsid w:val="004264B8"/>
    <w:rsid w:val="004325B2"/>
    <w:rsid w:val="00453CBA"/>
    <w:rsid w:val="00455BE3"/>
    <w:rsid w:val="00460F3E"/>
    <w:rsid w:val="00466C4C"/>
    <w:rsid w:val="004735AD"/>
    <w:rsid w:val="004757FD"/>
    <w:rsid w:val="00484AA2"/>
    <w:rsid w:val="00493FAC"/>
    <w:rsid w:val="00495B3D"/>
    <w:rsid w:val="004A3D06"/>
    <w:rsid w:val="004F1EC7"/>
    <w:rsid w:val="005045AD"/>
    <w:rsid w:val="00504FCA"/>
    <w:rsid w:val="00531E5E"/>
    <w:rsid w:val="00533D22"/>
    <w:rsid w:val="00536A83"/>
    <w:rsid w:val="005473D9"/>
    <w:rsid w:val="00553171"/>
    <w:rsid w:val="005550EB"/>
    <w:rsid w:val="00555891"/>
    <w:rsid w:val="005734BB"/>
    <w:rsid w:val="00573CBD"/>
    <w:rsid w:val="005775B7"/>
    <w:rsid w:val="00581612"/>
    <w:rsid w:val="005914FA"/>
    <w:rsid w:val="005A33F4"/>
    <w:rsid w:val="005A532D"/>
    <w:rsid w:val="005A752B"/>
    <w:rsid w:val="005B2C60"/>
    <w:rsid w:val="005C5550"/>
    <w:rsid w:val="005D5AF2"/>
    <w:rsid w:val="005E6F4D"/>
    <w:rsid w:val="005F77BA"/>
    <w:rsid w:val="005F78C5"/>
    <w:rsid w:val="00607AB5"/>
    <w:rsid w:val="00607B2E"/>
    <w:rsid w:val="00610661"/>
    <w:rsid w:val="00616DC2"/>
    <w:rsid w:val="00622CF4"/>
    <w:rsid w:val="006270DE"/>
    <w:rsid w:val="006441CF"/>
    <w:rsid w:val="00654B04"/>
    <w:rsid w:val="00657D8E"/>
    <w:rsid w:val="00673BC2"/>
    <w:rsid w:val="0067688A"/>
    <w:rsid w:val="00694606"/>
    <w:rsid w:val="006C00BD"/>
    <w:rsid w:val="006D3F86"/>
    <w:rsid w:val="006D4FC2"/>
    <w:rsid w:val="006E1CFC"/>
    <w:rsid w:val="006E4A58"/>
    <w:rsid w:val="006E6968"/>
    <w:rsid w:val="007113B1"/>
    <w:rsid w:val="00714ED9"/>
    <w:rsid w:val="00731F2F"/>
    <w:rsid w:val="00741732"/>
    <w:rsid w:val="00741EF3"/>
    <w:rsid w:val="00751C44"/>
    <w:rsid w:val="007722A2"/>
    <w:rsid w:val="00776CAC"/>
    <w:rsid w:val="007868F9"/>
    <w:rsid w:val="007943E1"/>
    <w:rsid w:val="007A2978"/>
    <w:rsid w:val="007A6E7D"/>
    <w:rsid w:val="007B1CBF"/>
    <w:rsid w:val="007B759C"/>
    <w:rsid w:val="007B7C48"/>
    <w:rsid w:val="007D04CE"/>
    <w:rsid w:val="007D43F8"/>
    <w:rsid w:val="007E7692"/>
    <w:rsid w:val="007F1AC6"/>
    <w:rsid w:val="007F2DEA"/>
    <w:rsid w:val="0080472F"/>
    <w:rsid w:val="00820404"/>
    <w:rsid w:val="008215D1"/>
    <w:rsid w:val="00832448"/>
    <w:rsid w:val="008348B6"/>
    <w:rsid w:val="00844AFA"/>
    <w:rsid w:val="00845048"/>
    <w:rsid w:val="0084571C"/>
    <w:rsid w:val="00860C5F"/>
    <w:rsid w:val="008648B2"/>
    <w:rsid w:val="0087490B"/>
    <w:rsid w:val="0088504D"/>
    <w:rsid w:val="0089236E"/>
    <w:rsid w:val="008B7433"/>
    <w:rsid w:val="008D04FE"/>
    <w:rsid w:val="008D46FA"/>
    <w:rsid w:val="008D7FAA"/>
    <w:rsid w:val="008E3E87"/>
    <w:rsid w:val="008E485E"/>
    <w:rsid w:val="008E53FC"/>
    <w:rsid w:val="008E74DA"/>
    <w:rsid w:val="008F5374"/>
    <w:rsid w:val="00914541"/>
    <w:rsid w:val="009238E5"/>
    <w:rsid w:val="009358E5"/>
    <w:rsid w:val="0096341C"/>
    <w:rsid w:val="009747EC"/>
    <w:rsid w:val="009800A9"/>
    <w:rsid w:val="00987D25"/>
    <w:rsid w:val="0099609A"/>
    <w:rsid w:val="009A0C33"/>
    <w:rsid w:val="009C135A"/>
    <w:rsid w:val="009C4D66"/>
    <w:rsid w:val="009C5C19"/>
    <w:rsid w:val="009C78AC"/>
    <w:rsid w:val="009D2585"/>
    <w:rsid w:val="009E27FC"/>
    <w:rsid w:val="009E6D26"/>
    <w:rsid w:val="009F210F"/>
    <w:rsid w:val="009F217D"/>
    <w:rsid w:val="009F2B52"/>
    <w:rsid w:val="009F32F3"/>
    <w:rsid w:val="009F7C53"/>
    <w:rsid w:val="00A00B02"/>
    <w:rsid w:val="00A03310"/>
    <w:rsid w:val="00A07E86"/>
    <w:rsid w:val="00A21D89"/>
    <w:rsid w:val="00A220D9"/>
    <w:rsid w:val="00A223DE"/>
    <w:rsid w:val="00A22867"/>
    <w:rsid w:val="00A23E5E"/>
    <w:rsid w:val="00A42813"/>
    <w:rsid w:val="00A435FB"/>
    <w:rsid w:val="00A501FC"/>
    <w:rsid w:val="00A57135"/>
    <w:rsid w:val="00A7110C"/>
    <w:rsid w:val="00A73212"/>
    <w:rsid w:val="00A83F33"/>
    <w:rsid w:val="00A91634"/>
    <w:rsid w:val="00A97E49"/>
    <w:rsid w:val="00AA527A"/>
    <w:rsid w:val="00AA6B10"/>
    <w:rsid w:val="00AD5E96"/>
    <w:rsid w:val="00B05451"/>
    <w:rsid w:val="00B23671"/>
    <w:rsid w:val="00B322E4"/>
    <w:rsid w:val="00B4250E"/>
    <w:rsid w:val="00B449DF"/>
    <w:rsid w:val="00B574C6"/>
    <w:rsid w:val="00B60ED0"/>
    <w:rsid w:val="00B636A1"/>
    <w:rsid w:val="00B67C84"/>
    <w:rsid w:val="00B75880"/>
    <w:rsid w:val="00B861CD"/>
    <w:rsid w:val="00B87698"/>
    <w:rsid w:val="00B916DD"/>
    <w:rsid w:val="00B9507B"/>
    <w:rsid w:val="00BA74B2"/>
    <w:rsid w:val="00BA776B"/>
    <w:rsid w:val="00BB203F"/>
    <w:rsid w:val="00BC0366"/>
    <w:rsid w:val="00BC1189"/>
    <w:rsid w:val="00BC1DA6"/>
    <w:rsid w:val="00BC507D"/>
    <w:rsid w:val="00BC6C59"/>
    <w:rsid w:val="00BD5847"/>
    <w:rsid w:val="00BD6306"/>
    <w:rsid w:val="00BE3666"/>
    <w:rsid w:val="00BE6733"/>
    <w:rsid w:val="00C04F94"/>
    <w:rsid w:val="00C1705E"/>
    <w:rsid w:val="00C216A9"/>
    <w:rsid w:val="00C23931"/>
    <w:rsid w:val="00C40F56"/>
    <w:rsid w:val="00C43BE7"/>
    <w:rsid w:val="00C4478C"/>
    <w:rsid w:val="00C44CCB"/>
    <w:rsid w:val="00C455C2"/>
    <w:rsid w:val="00C5161E"/>
    <w:rsid w:val="00C51CD4"/>
    <w:rsid w:val="00C600B0"/>
    <w:rsid w:val="00C678F1"/>
    <w:rsid w:val="00C70370"/>
    <w:rsid w:val="00C755A1"/>
    <w:rsid w:val="00C924DC"/>
    <w:rsid w:val="00CA3F2A"/>
    <w:rsid w:val="00CB4360"/>
    <w:rsid w:val="00CB66CE"/>
    <w:rsid w:val="00CC29D4"/>
    <w:rsid w:val="00CD3F84"/>
    <w:rsid w:val="00CE2F27"/>
    <w:rsid w:val="00CF15A6"/>
    <w:rsid w:val="00D01E1D"/>
    <w:rsid w:val="00D03C5A"/>
    <w:rsid w:val="00D102C1"/>
    <w:rsid w:val="00D20330"/>
    <w:rsid w:val="00D20627"/>
    <w:rsid w:val="00D23590"/>
    <w:rsid w:val="00D2563F"/>
    <w:rsid w:val="00D2692A"/>
    <w:rsid w:val="00D3056B"/>
    <w:rsid w:val="00D41130"/>
    <w:rsid w:val="00D46FCC"/>
    <w:rsid w:val="00D52479"/>
    <w:rsid w:val="00D635C3"/>
    <w:rsid w:val="00D6536F"/>
    <w:rsid w:val="00D70AFE"/>
    <w:rsid w:val="00D72693"/>
    <w:rsid w:val="00D8228C"/>
    <w:rsid w:val="00D91F0B"/>
    <w:rsid w:val="00D91F30"/>
    <w:rsid w:val="00DA2FC2"/>
    <w:rsid w:val="00DA51AE"/>
    <w:rsid w:val="00DB52F7"/>
    <w:rsid w:val="00DB79ED"/>
    <w:rsid w:val="00DC172D"/>
    <w:rsid w:val="00DC4D4A"/>
    <w:rsid w:val="00DC587A"/>
    <w:rsid w:val="00DF66A1"/>
    <w:rsid w:val="00E17544"/>
    <w:rsid w:val="00E23B21"/>
    <w:rsid w:val="00E31F4D"/>
    <w:rsid w:val="00E40261"/>
    <w:rsid w:val="00E43BE1"/>
    <w:rsid w:val="00E54ADB"/>
    <w:rsid w:val="00E6130E"/>
    <w:rsid w:val="00E6662D"/>
    <w:rsid w:val="00E84A23"/>
    <w:rsid w:val="00E84CDB"/>
    <w:rsid w:val="00EA32BC"/>
    <w:rsid w:val="00EB19CE"/>
    <w:rsid w:val="00ED544B"/>
    <w:rsid w:val="00EE6B91"/>
    <w:rsid w:val="00EE70A6"/>
    <w:rsid w:val="00F002B4"/>
    <w:rsid w:val="00F06C7B"/>
    <w:rsid w:val="00F07AA3"/>
    <w:rsid w:val="00F11B3D"/>
    <w:rsid w:val="00F307A0"/>
    <w:rsid w:val="00F32189"/>
    <w:rsid w:val="00F6470D"/>
    <w:rsid w:val="00F73018"/>
    <w:rsid w:val="00F75093"/>
    <w:rsid w:val="00F75932"/>
    <w:rsid w:val="00F816B5"/>
    <w:rsid w:val="00FB1ABE"/>
    <w:rsid w:val="00FB2579"/>
    <w:rsid w:val="00FC0E07"/>
    <w:rsid w:val="00FC76E9"/>
    <w:rsid w:val="00FE02B9"/>
    <w:rsid w:val="00FE43AB"/>
    <w:rsid w:val="00FF412E"/>
    <w:rsid w:val="00FF5BC1"/>
    <w:rsid w:val="06BC1575"/>
    <w:rsid w:val="0A987B57"/>
    <w:rsid w:val="0B866A12"/>
    <w:rsid w:val="0E8C7C0B"/>
    <w:rsid w:val="14372F04"/>
    <w:rsid w:val="14420818"/>
    <w:rsid w:val="1BEF0D47"/>
    <w:rsid w:val="1CE34C97"/>
    <w:rsid w:val="22827C23"/>
    <w:rsid w:val="24892189"/>
    <w:rsid w:val="27696029"/>
    <w:rsid w:val="2B864BC1"/>
    <w:rsid w:val="2B926316"/>
    <w:rsid w:val="2C535019"/>
    <w:rsid w:val="2CD429AF"/>
    <w:rsid w:val="32CE5CD4"/>
    <w:rsid w:val="365D2766"/>
    <w:rsid w:val="390E57AC"/>
    <w:rsid w:val="3C210C13"/>
    <w:rsid w:val="3D39209A"/>
    <w:rsid w:val="40977CC4"/>
    <w:rsid w:val="413936CE"/>
    <w:rsid w:val="430D570C"/>
    <w:rsid w:val="44EC7059"/>
    <w:rsid w:val="45197E22"/>
    <w:rsid w:val="49443B18"/>
    <w:rsid w:val="4AC84120"/>
    <w:rsid w:val="4C3E7555"/>
    <w:rsid w:val="4C43163E"/>
    <w:rsid w:val="4DF01DE3"/>
    <w:rsid w:val="53A172BD"/>
    <w:rsid w:val="56CD655B"/>
    <w:rsid w:val="580D638D"/>
    <w:rsid w:val="5C815646"/>
    <w:rsid w:val="5CE61568"/>
    <w:rsid w:val="5FE25FC2"/>
    <w:rsid w:val="614A4558"/>
    <w:rsid w:val="67657A36"/>
    <w:rsid w:val="70430702"/>
    <w:rsid w:val="7FAC153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36" w:firstLineChars="236"/>
      <w:jc w:val="both"/>
    </w:pPr>
    <w:rPr>
      <w:rFonts w:ascii="Times New Roman" w:hAnsi="Times New Roman" w:cs="Times New Roman" w:eastAsiaTheme="minorEastAsia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tabs>
        <w:tab w:val="left" w:pos="993"/>
      </w:tabs>
      <w:ind w:firstLineChars="0"/>
      <w:outlineLvl w:val="0"/>
    </w:pPr>
    <w:rPr>
      <w:rFonts w:eastAsia="华文中宋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7"/>
    <w:unhideWhenUsed/>
    <w:qFormat/>
    <w:uiPriority w:val="0"/>
    <w:pPr>
      <w:keepNext/>
      <w:keepLines/>
      <w:numPr>
        <w:ilvl w:val="1"/>
        <w:numId w:val="1"/>
      </w:numPr>
      <w:tabs>
        <w:tab w:val="left" w:pos="851"/>
        <w:tab w:val="clear" w:pos="567"/>
      </w:tabs>
      <w:ind w:firstLineChars="0"/>
      <w:outlineLvl w:val="1"/>
    </w:pPr>
    <w:rPr>
      <w:rFonts w:eastAsia="华文中宋" w:cstheme="majorBidi"/>
      <w:b/>
      <w:bCs/>
      <w:sz w:val="28"/>
      <w:szCs w:val="32"/>
    </w:rPr>
  </w:style>
  <w:style w:type="paragraph" w:styleId="4">
    <w:name w:val="heading 3"/>
    <w:basedOn w:val="1"/>
    <w:next w:val="1"/>
    <w:link w:val="35"/>
    <w:unhideWhenUsed/>
    <w:qFormat/>
    <w:uiPriority w:val="0"/>
    <w:pPr>
      <w:keepNext/>
      <w:keepLines/>
      <w:numPr>
        <w:ilvl w:val="2"/>
        <w:numId w:val="1"/>
      </w:numPr>
      <w:ind w:firstLineChars="0"/>
      <w:outlineLvl w:val="2"/>
    </w:pPr>
    <w:rPr>
      <w:rFonts w:ascii="华文中宋" w:hAnsi="华文中宋" w:eastAsia="华文中宋"/>
      <w:b/>
      <w:kern w:val="20"/>
      <w:sz w:val="28"/>
      <w:szCs w:val="30"/>
    </w:rPr>
  </w:style>
  <w:style w:type="paragraph" w:styleId="5">
    <w:name w:val="heading 4"/>
    <w:basedOn w:val="1"/>
    <w:next w:val="1"/>
    <w:link w:val="40"/>
    <w:unhideWhenUsed/>
    <w:qFormat/>
    <w:uiPriority w:val="0"/>
    <w:pPr>
      <w:keepNext/>
      <w:keepLines/>
      <w:numPr>
        <w:ilvl w:val="3"/>
        <w:numId w:val="1"/>
      </w:numPr>
      <w:ind w:firstLineChars="0"/>
      <w:jc w:val="left"/>
      <w:outlineLvl w:val="3"/>
    </w:pPr>
    <w:rPr>
      <w:rFonts w:eastAsia="华文中宋"/>
      <w:b/>
      <w:kern w:val="24"/>
      <w:szCs w:val="28"/>
    </w:rPr>
  </w:style>
  <w:style w:type="paragraph" w:styleId="6">
    <w:name w:val="heading 5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1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caption"/>
    <w:basedOn w:val="1"/>
    <w:next w:val="1"/>
    <w:link w:val="44"/>
    <w:qFormat/>
    <w:uiPriority w:val="0"/>
    <w:pPr>
      <w:ind w:firstLine="425" w:firstLineChars="200"/>
      <w:jc w:val="center"/>
    </w:pPr>
    <w:rPr>
      <w:rFonts w:eastAsia="宋体"/>
      <w:sz w:val="21"/>
      <w:szCs w:val="20"/>
    </w:rPr>
  </w:style>
  <w:style w:type="paragraph" w:styleId="9">
    <w:name w:val="Document Map"/>
    <w:basedOn w:val="1"/>
    <w:link w:val="26"/>
    <w:unhideWhenUsed/>
    <w:qFormat/>
    <w:uiPriority w:val="99"/>
    <w:rPr>
      <w:rFonts w:ascii="宋体" w:eastAsia="宋体"/>
      <w:sz w:val="18"/>
      <w:szCs w:val="18"/>
    </w:rPr>
  </w:style>
  <w:style w:type="paragraph" w:styleId="10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3">
    <w:name w:val="Balloon Text"/>
    <w:basedOn w:val="1"/>
    <w:link w:val="45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4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5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</w:style>
  <w:style w:type="paragraph" w:styleId="17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8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0">
    <w:name w:val="toc 9"/>
    <w:basedOn w:val="1"/>
    <w:next w:val="1"/>
    <w:unhideWhenUsed/>
    <w:qFormat/>
    <w:uiPriority w:val="39"/>
    <w:pPr>
      <w:ind w:left="3360" w:leftChars="1600"/>
    </w:pPr>
  </w:style>
  <w:style w:type="character" w:styleId="22">
    <w:name w:val="Hyperlink"/>
    <w:basedOn w:val="21"/>
    <w:unhideWhenUsed/>
    <w:qFormat/>
    <w:uiPriority w:val="99"/>
    <w:rPr>
      <w:color w:val="0000FF" w:themeColor="hyperlink"/>
      <w:u w:val="single"/>
    </w:rPr>
  </w:style>
  <w:style w:type="table" w:styleId="24">
    <w:name w:val="Table Grid"/>
    <w:basedOn w:val="2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25">
    <w:name w:val="标题 1 Char"/>
    <w:basedOn w:val="21"/>
    <w:link w:val="2"/>
    <w:qFormat/>
    <w:uiPriority w:val="0"/>
    <w:rPr>
      <w:rFonts w:ascii="Times New Roman" w:hAnsi="Times New Roman" w:eastAsia="华文中宋" w:cs="Times New Roman"/>
      <w:b/>
      <w:bCs/>
      <w:kern w:val="44"/>
      <w:sz w:val="32"/>
      <w:szCs w:val="44"/>
    </w:rPr>
  </w:style>
  <w:style w:type="character" w:customStyle="1" w:styleId="26">
    <w:name w:val="文档结构图 Char"/>
    <w:basedOn w:val="21"/>
    <w:link w:val="9"/>
    <w:semiHidden/>
    <w:qFormat/>
    <w:uiPriority w:val="99"/>
    <w:rPr>
      <w:rFonts w:ascii="宋体" w:eastAsia="宋体"/>
      <w:sz w:val="18"/>
      <w:szCs w:val="18"/>
    </w:rPr>
  </w:style>
  <w:style w:type="character" w:customStyle="1" w:styleId="27">
    <w:name w:val="标题 2 Char"/>
    <w:basedOn w:val="21"/>
    <w:link w:val="3"/>
    <w:qFormat/>
    <w:uiPriority w:val="0"/>
    <w:rPr>
      <w:rFonts w:ascii="Times New Roman" w:hAnsi="Times New Roman" w:eastAsia="华文中宋" w:cstheme="majorBidi"/>
      <w:b/>
      <w:bCs/>
      <w:sz w:val="28"/>
      <w:szCs w:val="32"/>
    </w:rPr>
  </w:style>
  <w:style w:type="character" w:customStyle="1" w:styleId="28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9">
    <w:name w:val="页脚 Char"/>
    <w:basedOn w:val="21"/>
    <w:link w:val="14"/>
    <w:qFormat/>
    <w:uiPriority w:val="99"/>
    <w:rPr>
      <w:sz w:val="18"/>
      <w:szCs w:val="18"/>
    </w:rPr>
  </w:style>
  <w:style w:type="paragraph" w:customStyle="1" w:styleId="30">
    <w:name w:val="样式1"/>
    <w:basedOn w:val="14"/>
    <w:link w:val="32"/>
    <w:qFormat/>
    <w:uiPriority w:val="0"/>
    <w:pPr>
      <w:pBdr>
        <w:top w:val="single" w:color="auto" w:sz="4" w:space="1"/>
      </w:pBdr>
      <w:ind w:firstLine="0" w:firstLineChars="0"/>
      <w:jc w:val="center"/>
    </w:pPr>
    <w:rPr>
      <w:sz w:val="21"/>
      <w:szCs w:val="21"/>
    </w:rPr>
  </w:style>
  <w:style w:type="paragraph" w:customStyle="1" w:styleId="31">
    <w:name w:val="样式2"/>
    <w:basedOn w:val="30"/>
    <w:link w:val="34"/>
    <w:qFormat/>
    <w:uiPriority w:val="0"/>
    <w:pPr>
      <w:pBdr>
        <w:top w:val="single" w:color="1F497D" w:themeColor="text2" w:sz="6" w:space="1"/>
      </w:pBdr>
    </w:pPr>
  </w:style>
  <w:style w:type="character" w:customStyle="1" w:styleId="32">
    <w:name w:val="样式1 Char"/>
    <w:basedOn w:val="29"/>
    <w:link w:val="30"/>
    <w:qFormat/>
    <w:uiPriority w:val="0"/>
    <w:rPr>
      <w:rFonts w:ascii="Times New Roman" w:hAnsi="Times New Roman" w:cs="Times New Roman"/>
      <w:szCs w:val="21"/>
    </w:rPr>
  </w:style>
  <w:style w:type="paragraph" w:customStyle="1" w:styleId="33">
    <w:name w:val="样式3"/>
    <w:basedOn w:val="15"/>
    <w:link w:val="36"/>
    <w:qFormat/>
    <w:uiPriority w:val="0"/>
    <w:pPr>
      <w:pBdr>
        <w:bottom w:val="none" w:color="auto" w:sz="0" w:space="0"/>
      </w:pBdr>
      <w:spacing w:before="120" w:after="120"/>
      <w:ind w:firstLine="0" w:firstLineChars="0"/>
      <w:jc w:val="both"/>
    </w:pPr>
  </w:style>
  <w:style w:type="character" w:customStyle="1" w:styleId="34">
    <w:name w:val="样式2 Char"/>
    <w:basedOn w:val="32"/>
    <w:link w:val="31"/>
    <w:qFormat/>
    <w:uiPriority w:val="0"/>
  </w:style>
  <w:style w:type="character" w:customStyle="1" w:styleId="35">
    <w:name w:val="标题 3 Char"/>
    <w:basedOn w:val="21"/>
    <w:link w:val="4"/>
    <w:qFormat/>
    <w:uiPriority w:val="0"/>
    <w:rPr>
      <w:rFonts w:ascii="华文中宋" w:hAnsi="华文中宋" w:eastAsia="华文中宋" w:cs="Times New Roman"/>
      <w:b/>
      <w:kern w:val="20"/>
      <w:sz w:val="28"/>
      <w:szCs w:val="30"/>
    </w:rPr>
  </w:style>
  <w:style w:type="character" w:customStyle="1" w:styleId="36">
    <w:name w:val="样式3 Char"/>
    <w:basedOn w:val="28"/>
    <w:link w:val="33"/>
    <w:qFormat/>
    <w:uiPriority w:val="0"/>
  </w:style>
  <w:style w:type="paragraph" w:customStyle="1" w:styleId="37">
    <w:name w:val="3级标题"/>
    <w:basedOn w:val="3"/>
    <w:link w:val="39"/>
    <w:qFormat/>
    <w:uiPriority w:val="0"/>
    <w:pPr>
      <w:numPr>
        <w:ilvl w:val="0"/>
        <w:numId w:val="0"/>
      </w:numPr>
      <w:tabs>
        <w:tab w:val="left" w:pos="1080"/>
      </w:tabs>
    </w:pPr>
  </w:style>
  <w:style w:type="paragraph" w:customStyle="1" w:styleId="38">
    <w:name w:val="2级标题"/>
    <w:basedOn w:val="3"/>
    <w:link w:val="41"/>
    <w:qFormat/>
    <w:uiPriority w:val="0"/>
  </w:style>
  <w:style w:type="character" w:customStyle="1" w:styleId="39">
    <w:name w:val="3级标题 Char"/>
    <w:basedOn w:val="27"/>
    <w:link w:val="37"/>
    <w:qFormat/>
    <w:uiPriority w:val="0"/>
  </w:style>
  <w:style w:type="character" w:customStyle="1" w:styleId="40">
    <w:name w:val="标题 4 Char"/>
    <w:basedOn w:val="21"/>
    <w:link w:val="5"/>
    <w:qFormat/>
    <w:uiPriority w:val="0"/>
    <w:rPr>
      <w:rFonts w:ascii="Times New Roman" w:hAnsi="Times New Roman" w:eastAsia="华文中宋" w:cs="Times New Roman"/>
      <w:b/>
      <w:kern w:val="24"/>
      <w:sz w:val="24"/>
      <w:szCs w:val="28"/>
    </w:rPr>
  </w:style>
  <w:style w:type="character" w:customStyle="1" w:styleId="41">
    <w:name w:val="2级标题 Char"/>
    <w:basedOn w:val="27"/>
    <w:link w:val="38"/>
    <w:qFormat/>
    <w:uiPriority w:val="0"/>
    <w:rPr>
      <w:sz w:val="28"/>
    </w:rPr>
  </w:style>
  <w:style w:type="character" w:customStyle="1" w:styleId="42">
    <w:name w:val="标题 5 Char"/>
    <w:basedOn w:val="21"/>
    <w:link w:val="6"/>
    <w:qFormat/>
    <w:uiPriority w:val="9"/>
    <w:rPr>
      <w:b/>
      <w:bCs/>
      <w:sz w:val="28"/>
      <w:szCs w:val="28"/>
    </w:rPr>
  </w:style>
  <w:style w:type="paragraph" w:customStyle="1" w:styleId="43">
    <w:name w:val="1.1.1.1.1"/>
    <w:basedOn w:val="5"/>
    <w:qFormat/>
    <w:uiPriority w:val="0"/>
    <w:pPr>
      <w:tabs>
        <w:tab w:val="left" w:pos="992"/>
      </w:tabs>
      <w:spacing w:before="120" w:after="120"/>
      <w:ind w:left="992"/>
    </w:pPr>
    <w:rPr>
      <w:bCs/>
    </w:rPr>
  </w:style>
  <w:style w:type="character" w:customStyle="1" w:styleId="44">
    <w:name w:val="题注 Char"/>
    <w:link w:val="8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45">
    <w:name w:val="批注框文本 Char"/>
    <w:basedOn w:val="21"/>
    <w:link w:val="13"/>
    <w:semiHidden/>
    <w:qFormat/>
    <w:uiPriority w:val="99"/>
    <w:rPr>
      <w:rFonts w:ascii="Times New Roman" w:hAnsi="Times New Roman" w:cs="Times New Roman"/>
      <w:sz w:val="18"/>
      <w:szCs w:val="18"/>
    </w:rPr>
  </w:style>
  <w:style w:type="paragraph" w:customStyle="1" w:styleId="46">
    <w:name w:val="TOC Heading"/>
    <w:basedOn w:val="2"/>
    <w:next w:val="1"/>
    <w:unhideWhenUsed/>
    <w:qFormat/>
    <w:uiPriority w:val="39"/>
    <w:pPr>
      <w:widowControl/>
      <w:numPr>
        <w:numId w:val="0"/>
      </w:numPr>
      <w:spacing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paragraph" w:customStyle="1" w:styleId="47">
    <w:name w:val="5级"/>
    <w:basedOn w:val="5"/>
    <w:link w:val="49"/>
    <w:qFormat/>
    <w:uiPriority w:val="0"/>
    <w:pPr>
      <w:numPr>
        <w:ilvl w:val="4"/>
      </w:numPr>
      <w:tabs>
        <w:tab w:val="left" w:pos="1276"/>
      </w:tabs>
    </w:pPr>
  </w:style>
  <w:style w:type="paragraph" w:customStyle="1" w:styleId="48">
    <w:name w:val="样式4"/>
    <w:basedOn w:val="15"/>
    <w:link w:val="51"/>
    <w:qFormat/>
    <w:uiPriority w:val="0"/>
    <w:pPr>
      <w:pBdr>
        <w:bottom w:val="none" w:color="auto" w:sz="0" w:space="0"/>
      </w:pBdr>
      <w:spacing w:before="120" w:after="120"/>
      <w:ind w:firstLine="425"/>
    </w:pPr>
  </w:style>
  <w:style w:type="character" w:customStyle="1" w:styleId="49">
    <w:name w:val="5级 Char"/>
    <w:basedOn w:val="40"/>
    <w:link w:val="47"/>
    <w:qFormat/>
    <w:uiPriority w:val="0"/>
  </w:style>
  <w:style w:type="paragraph" w:customStyle="1" w:styleId="50">
    <w:name w:val="样式5"/>
    <w:basedOn w:val="1"/>
    <w:link w:val="52"/>
    <w:qFormat/>
    <w:uiPriority w:val="0"/>
    <w:pPr>
      <w:pBdr>
        <w:bottom w:val="single" w:color="C0504D" w:themeColor="accent2" w:sz="6" w:space="1"/>
      </w:pBdr>
      <w:spacing w:line="240" w:lineRule="auto"/>
      <w:ind w:firstLine="0" w:firstLineChars="0"/>
      <w:jc w:val="left"/>
    </w:pPr>
  </w:style>
  <w:style w:type="character" w:customStyle="1" w:styleId="51">
    <w:name w:val="样式4 Char"/>
    <w:basedOn w:val="28"/>
    <w:link w:val="48"/>
    <w:qFormat/>
    <w:uiPriority w:val="0"/>
    <w:rPr>
      <w:rFonts w:ascii="Times New Roman" w:hAnsi="Times New Roman" w:cs="Times New Roman"/>
    </w:rPr>
  </w:style>
  <w:style w:type="character" w:customStyle="1" w:styleId="52">
    <w:name w:val="样式5 Char"/>
    <w:basedOn w:val="21"/>
    <w:link w:val="50"/>
    <w:qFormat/>
    <w:uiPriority w:val="0"/>
    <w:rPr>
      <w:rFonts w:ascii="Times New Roman" w:hAnsi="Times New Roman" w:cs="Times New Roman"/>
      <w:sz w:val="24"/>
    </w:rPr>
  </w:style>
  <w:style w:type="paragraph" w:customStyle="1" w:styleId="53">
    <w:name w:val="样式6"/>
    <w:basedOn w:val="15"/>
    <w:link w:val="54"/>
    <w:qFormat/>
    <w:uiPriority w:val="0"/>
    <w:pPr>
      <w:pBdr>
        <w:bottom w:val="none" w:color="auto" w:sz="0" w:space="0"/>
      </w:pBdr>
      <w:spacing w:before="120" w:after="120"/>
      <w:ind w:firstLine="425"/>
    </w:pPr>
  </w:style>
  <w:style w:type="character" w:customStyle="1" w:styleId="54">
    <w:name w:val="样式6 Char"/>
    <w:basedOn w:val="28"/>
    <w:link w:val="53"/>
    <w:qFormat/>
    <w:uiPriority w:val="0"/>
    <w:rPr>
      <w:rFonts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3.xml"/><Relationship Id="rId49" Type="http://schemas.microsoft.com/office/2006/relationships/keyMapCustomizations" Target="customizations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126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20B25B1-1E23-4EAA-BB04-E007D1B204E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http://sdwm.org</Company>
  <Pages>3</Pages>
  <Words>262</Words>
  <Characters>1499</Characters>
  <Lines>12</Lines>
  <Paragraphs>3</Paragraphs>
  <ScaleCrop>false</ScaleCrop>
  <LinksUpToDate>false</LinksUpToDate>
  <CharactersWithSpaces>1758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2013-09-16T07:42:00Z</dcterms:created>
  <dc:creator>xwtao</dc:creator>
  <cp:lastModifiedBy>liuzt</cp:lastModifiedBy>
  <dcterms:modified xsi:type="dcterms:W3CDTF">2016-08-12T02:30:16Z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