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lang w:eastAsia="zh-CN"/>
        </w:rPr>
      </w:pPr>
      <w:bookmarkStart w:id="0" w:name="_GoBack"/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6183630" cy="4966970"/>
            <wp:effectExtent l="0" t="0" r="1270" b="11430"/>
            <wp:docPr id="1" name="图片 1" descr="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T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用例编号：</w:t>
      </w:r>
      <w:r>
        <w:rPr>
          <w:rFonts w:hint="eastAsia"/>
        </w:rPr>
        <w:t xml:space="preserve">        </w:t>
      </w:r>
      <w:r>
        <w:rPr>
          <w:rFonts w:hint="eastAsia"/>
          <w:b/>
        </w:rPr>
        <w:t>用例名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ATM取款</w:t>
      </w:r>
    </w:p>
    <w:p>
      <w:pPr>
        <w:rPr>
          <w:b/>
        </w:rPr>
      </w:pPr>
      <w:r>
        <w:rPr>
          <w:rFonts w:hint="eastAsia"/>
          <w:b/>
        </w:rPr>
        <w:t>执行者：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王肖肖</w:t>
      </w:r>
    </w:p>
    <w:p>
      <w:r>
        <w:rPr>
          <w:rFonts w:hint="eastAsia"/>
          <w:b/>
        </w:rPr>
        <w:t>前置条件：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ATM处于准备就绪状态。</w:t>
      </w:r>
    </w:p>
    <w:p>
      <w:r>
        <w:rPr>
          <w:rFonts w:hint="eastAsia"/>
          <w:b/>
        </w:rPr>
        <w:t>后置条件</w:t>
      </w:r>
      <w:r>
        <w:rPr>
          <w:rFonts w:hint="eastAsia"/>
        </w:rPr>
        <w:t>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用例结束时 ATM又回到准备就绪状态</w:t>
      </w:r>
    </w:p>
    <w:p>
      <w:pPr>
        <w:rPr>
          <w:b/>
        </w:rPr>
      </w:pPr>
      <w:r>
        <w:rPr>
          <w:rFonts w:hint="eastAsia"/>
          <w:b/>
        </w:rPr>
        <w:t>涉众利益：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方便用户存款、取款、查询、转账、改密码。</w:t>
      </w:r>
    </w:p>
    <w:p/>
    <w:p>
      <w:pPr>
        <w:rPr>
          <w:b/>
        </w:rPr>
      </w:pPr>
      <w:r>
        <w:rPr>
          <w:rFonts w:hint="eastAsia"/>
          <w:b/>
        </w:rPr>
        <w:t>基本路径：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准备提款—客户将银行卡插入ATM机的读卡机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验证银行卡—ATM机从银行卡的磁条中读取账户代码，并检查它是否属于可以接收的银行卡。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输入PIN-ATM机提示并要求客户输入PIN码。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验证账户代码和PIN-ATM机验证账户代码和PIN以确定该账户是否有效以及所输入的PIN对该账户来说是否正确。对于此事件流，账户是有效的而且PIN对此账户来说正确无误。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ATM选项-ATM机显示在本机上可用的各种选项。在此事件流中，银行客户通常选择“提款”。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输入金额-客户输入要从ATM机中提取的金额。对于此事件流，客户需选择预设的金额。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授权-ATM机 通过将卡ID、PIN、金额以及账户信息作为一笔交易发送给银行系统来启动验证过程。对于此事件流，银行系统处于联机状态，而且对授权请求给予答复，批准完成提款过程，并且据此更新账户余额。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出钞-ATM机清点并向客户提供现金。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返回银行卡-ATM机将客户的银行卡返还。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收据-ATM机打印收据并提供给客户。ATM机还相应地更新内部记录。</w:t>
      </w:r>
    </w:p>
    <w:p/>
    <w:p/>
    <w:p/>
    <w:p/>
    <w:p/>
    <w:p/>
    <w:p/>
    <w:p/>
    <w:p>
      <w:pPr>
        <w:rPr>
          <w:b/>
        </w:rPr>
      </w:pPr>
      <w:r>
        <w:rPr>
          <w:rFonts w:hint="eastAsia"/>
          <w:b/>
        </w:rPr>
        <w:t>扩展路径：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无效信用卡在基本流步骤1中，客户插入的信用卡在后台服务器中没有对应的帐号，系统显示错误信息并退出信用卡，用例结束。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客户密码不正确在基本流步骤2中，客户输入错误的信用卡密码，系统提示客户重新输入密码，客户重新输入正确信用卡密码后继续基本流中的下一个步骤；如客户输入密码错误超过３次，系统没收客户插入的信用卡，用例结束</w:t>
      </w:r>
      <w:r>
        <w:rPr>
          <w:rFonts w:hint="eastAsia"/>
          <w:lang w:eastAsia="zh-CN"/>
        </w:rPr>
        <w:t>。</w:t>
      </w:r>
    </w:p>
    <w:p>
      <w:r>
        <w:rPr>
          <w:rFonts w:hint="eastAsia"/>
          <w:lang w:val="en-US" w:eastAsia="zh-CN"/>
        </w:rPr>
        <w:t>3）</w:t>
      </w:r>
      <w:r>
        <w:rPr>
          <w:rFonts w:hint="eastAsia"/>
        </w:rPr>
        <w:t>退出在基本流的任何一个步骤中，客户都可以选择“取消(Cancel)”退出，系统退出信用卡，用例结束。</w:t>
      </w:r>
    </w:p>
    <w:p/>
    <w:p/>
    <w:p>
      <w:pPr>
        <w:rPr>
          <w:b/>
        </w:rPr>
      </w:pPr>
      <w:r>
        <w:rPr>
          <w:rFonts w:hint="eastAsia"/>
          <w:b/>
        </w:rPr>
        <w:t>字段列表：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准备提款—客户将银行卡插入ATM机的读卡机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2验证银行卡—ATM机从银行卡的磁条中读取账户代码，并检查它是否属于可以接收的银行卡。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输入PIN-ATM机提示并要求客户输入PIN码。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验证账户代码和PIN-ATM机验证账户代码和PIN以确定该账户是否有效以及所输入的PIN对该账户来说是否正确。对于此事件流，账户是有效的而且PIN对此账户来说正确无误。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ATM选项-ATM机显示在本机上可用的各种选项。在此事件流中，银行客户通常选择“提款”。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输入金额-客户输入要从ATM机中提取的金额。对于此事件流，客户需选择预设的金额。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授权-ATM机 通过将卡ID、PIN、金额以及账户信息作为一笔交易发送给银行系统来启动验证过程。对于此事件流，银行系统处于联机状态，而且对授权请求给予答复，批准完成提款过程，并且据此更新账户余额。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出钞-ATM机清点并向客户提供现金。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返回银行卡-ATM机将客户的银行卡返还。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收据-ATM机打印收据并提供给客户。ATM机还相应地更新内部记录。</w:t>
      </w:r>
    </w:p>
    <w:p/>
    <w:p>
      <w:pPr>
        <w:rPr>
          <w:b/>
        </w:rPr>
      </w:pPr>
      <w:r>
        <w:rPr>
          <w:rFonts w:hint="eastAsia"/>
          <w:b/>
        </w:rPr>
        <w:t>业务规则：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7b单日取款不得超过5000元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6c每次取款不得超过2000元</w:t>
      </w:r>
    </w:p>
    <w:p/>
    <w:p>
      <w:pPr>
        <w:rPr>
          <w:b/>
        </w:rPr>
      </w:pPr>
      <w:r>
        <w:rPr>
          <w:rFonts w:hint="eastAsia"/>
          <w:b/>
        </w:rPr>
        <w:t>质量需求：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在存款、取款、查询、转账、改密码时不能出现错误</w:t>
      </w:r>
    </w:p>
    <w:p/>
    <w:p>
      <w:pPr>
        <w:rPr>
          <w:b/>
        </w:rPr>
      </w:pPr>
      <w:r>
        <w:rPr>
          <w:rFonts w:hint="eastAsia"/>
          <w:b/>
        </w:rPr>
        <w:t>设计约束：</w:t>
      </w:r>
    </w:p>
    <w:p>
      <w:pPr>
        <w:widowControl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D47E10"/>
    <w:multiLevelType w:val="singleLevel"/>
    <w:tmpl w:val="D2D47E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4EF91A8"/>
    <w:multiLevelType w:val="singleLevel"/>
    <w:tmpl w:val="E4EF91A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62"/>
    <w:rsid w:val="004C71E8"/>
    <w:rsid w:val="005661F4"/>
    <w:rsid w:val="00C331FF"/>
    <w:rsid w:val="00DC62BA"/>
    <w:rsid w:val="00E55E62"/>
    <w:rsid w:val="0AF24650"/>
    <w:rsid w:val="56256438"/>
    <w:rsid w:val="630B0D92"/>
    <w:rsid w:val="6E822A33"/>
    <w:rsid w:val="74750572"/>
    <w:rsid w:val="78A1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头"/>
    <w:basedOn w:val="1"/>
    <w:qFormat/>
    <w:uiPriority w:val="0"/>
    <w:pPr>
      <w:spacing w:line="360" w:lineRule="auto"/>
      <w:jc w:val="center"/>
    </w:pPr>
    <w:rPr>
      <w:rFonts w:ascii="Times New Roman" w:hAnsi="Times New Roman" w:eastAsia="宋体" w:cs="Times New Roman"/>
      <w:b/>
      <w:bCs/>
      <w:szCs w:val="20"/>
    </w:rPr>
  </w:style>
  <w:style w:type="paragraph" w:customStyle="1" w:styleId="5">
    <w:name w:val="表格文字"/>
    <w:next w:val="1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snapToGrid w:val="0"/>
      <w:kern w:val="21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com2</Company>
  <Pages>2</Pages>
  <Words>37</Words>
  <Characters>214</Characters>
  <Lines>1</Lines>
  <Paragraphs>1</Paragraphs>
  <TotalTime>1</TotalTime>
  <ScaleCrop>false</ScaleCrop>
  <LinksUpToDate>false</LinksUpToDate>
  <CharactersWithSpaces>250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2012-06-27T02:22:00Z</dcterms:created>
  <dc:creator>usr1</dc:creator>
  <cp:lastModifiedBy>碎碎吖!</cp:lastModifiedBy>
  <dcterms:modified xsi:type="dcterms:W3CDTF">2020-06-09T13:32:04Z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