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299C7C">
      <w:pPr>
        <w:pStyle w:val="9"/>
      </w:pPr>
      <w:r>
        <w:t>销售岗位全流程节点优化设计</w:t>
      </w:r>
    </w:p>
    <w:p w14:paraId="69B4DA6F">
      <w:pPr>
        <w:pStyle w:val="4"/>
      </w:pPr>
      <w:r>
        <w:t>一、目标与规划阶段（奠定执行基础）</w:t>
      </w:r>
    </w:p>
    <w:p w14:paraId="68A7FD41">
      <w:pPr>
        <w:pStyle w:val="16"/>
        <w:numPr>
          <w:ilvl w:val="0"/>
          <w:numId w:val="1"/>
        </w:numPr>
      </w:pPr>
      <w:r>
        <w:rPr>
          <w:b/>
          <w:bCs/>
        </w:rPr>
        <w:t>任务（目标）设定</w:t>
      </w:r>
    </w:p>
    <w:p w14:paraId="194182D0">
      <w:pPr>
        <w:pStyle w:val="16"/>
        <w:numPr>
          <w:ilvl w:val="1"/>
          <w:numId w:val="2"/>
        </w:numPr>
      </w:pPr>
      <w:r>
        <w:t>A：明确岗位核心任务（业绩指标、市场拓展、客户维护等）及年度总目标（量化可考核）</w:t>
      </w:r>
    </w:p>
    <w:p w14:paraId="2DC51708">
      <w:pPr>
        <w:pStyle w:val="16"/>
        <w:numPr>
          <w:ilvl w:val="1"/>
          <w:numId w:val="2"/>
        </w:numPr>
      </w:pPr>
      <w:r>
        <w:t>B：目标拆解（按月度 / 季度拆分、按产品线 / 区域细分，明确各维度权重）</w:t>
      </w:r>
    </w:p>
    <w:p w14:paraId="43A8CB5A">
      <w:pPr>
        <w:pStyle w:val="16"/>
        <w:numPr>
          <w:ilvl w:val="1"/>
          <w:numId w:val="2"/>
        </w:numPr>
      </w:pPr>
      <w:r>
        <w:t>C：目标动态校准（每季度结合市场变化、资源适配性调整，同步更新拆解方案）</w:t>
      </w:r>
    </w:p>
    <w:p w14:paraId="240D6D4B">
      <w:pPr>
        <w:pStyle w:val="16"/>
        <w:numPr>
          <w:ilvl w:val="1"/>
          <w:numId w:val="2"/>
        </w:numPr>
      </w:pPr>
      <w:r>
        <w:t>D：配套激励与考核（绑定目标的考核指标、奖惩规则，明确达标 / 超额激励）</w:t>
      </w:r>
    </w:p>
    <w:p w14:paraId="490BAC9E">
      <w:pPr>
        <w:pStyle w:val="16"/>
        <w:numPr>
          <w:ilvl w:val="0"/>
          <w:numId w:val="1"/>
        </w:numPr>
        <w:ind w:left="288" w:leftChars="0" w:hanging="288" w:firstLineChars="0"/>
      </w:pPr>
      <w:r>
        <w:rPr>
          <w:b/>
          <w:bCs/>
        </w:rPr>
        <w:t>资源盘点与整合</w:t>
      </w:r>
    </w:p>
    <w:p w14:paraId="62FD38F4">
      <w:pPr>
        <w:pStyle w:val="16"/>
        <w:numPr>
          <w:ilvl w:val="1"/>
          <w:numId w:val="2"/>
        </w:numPr>
      </w:pPr>
      <w:r>
        <w:t>A：客户资源（现有客户体量、活跃度、忠诚度分级）</w:t>
      </w:r>
    </w:p>
    <w:p w14:paraId="4FB12F83">
      <w:pPr>
        <w:pStyle w:val="16"/>
        <w:numPr>
          <w:ilvl w:val="1"/>
          <w:numId w:val="2"/>
        </w:numPr>
      </w:pPr>
      <w:r>
        <w:t>B：产品资源（可销售产品清单、库存状态、核心卖点、迭代规划）</w:t>
      </w:r>
    </w:p>
    <w:p w14:paraId="3D180D5C">
      <w:pPr>
        <w:pStyle w:val="16"/>
        <w:numPr>
          <w:ilvl w:val="1"/>
          <w:numId w:val="2"/>
        </w:numPr>
      </w:pPr>
      <w:r>
        <w:t>C：渠道资源（现有合作渠道、潜在拓展渠道、渠道支持政策）</w:t>
      </w:r>
    </w:p>
    <w:p w14:paraId="2CB8BA95">
      <w:pPr>
        <w:pStyle w:val="16"/>
        <w:numPr>
          <w:ilvl w:val="1"/>
          <w:numId w:val="2"/>
        </w:numPr>
      </w:pPr>
      <w:r>
        <w:t>D：外部资源（竞品分析：优势 / 劣势 / 定价 / 客户反馈；行业政策、市场趋势）</w:t>
      </w:r>
    </w:p>
    <w:p w14:paraId="3C54E217">
      <w:pPr>
        <w:pStyle w:val="16"/>
        <w:numPr>
          <w:ilvl w:val="1"/>
          <w:numId w:val="2"/>
        </w:numPr>
      </w:pPr>
      <w:r>
        <w:t>E：内部资源（技术支持、售后保障、产能适配、审批流程时效）</w:t>
      </w:r>
    </w:p>
    <w:p w14:paraId="11021D2B">
      <w:pPr>
        <w:pStyle w:val="4"/>
      </w:pPr>
      <w:r>
        <w:t>二、客户开发与对接阶段（精准触达核心）</w:t>
      </w:r>
    </w:p>
    <w:p w14:paraId="36BF002E">
      <w:pPr>
        <w:pStyle w:val="16"/>
        <w:numPr>
          <w:ilvl w:val="0"/>
          <w:numId w:val="3"/>
        </w:numPr>
      </w:pPr>
      <w:r>
        <w:rPr>
          <w:b/>
          <w:bCs/>
        </w:rPr>
        <w:t>客户定位与筛选</w:t>
      </w:r>
    </w:p>
    <w:p w14:paraId="4CCDDD82">
      <w:pPr>
        <w:pStyle w:val="16"/>
        <w:numPr>
          <w:ilvl w:val="1"/>
          <w:numId w:val="2"/>
        </w:numPr>
      </w:pPr>
      <w:r>
        <w:t>A：客户基础信息采集（行业、规模、地域、联系方式、组织架构）</w:t>
      </w:r>
    </w:p>
    <w:p w14:paraId="55A011D1">
      <w:pPr>
        <w:pStyle w:val="16"/>
        <w:numPr>
          <w:ilvl w:val="1"/>
          <w:numId w:val="2"/>
        </w:numPr>
      </w:pPr>
      <w:r>
        <w:t>B：客户市场情况分析（市场份额、发展阶段、痛点与机遇）</w:t>
      </w:r>
    </w:p>
    <w:p w14:paraId="6F622356">
      <w:pPr>
        <w:pStyle w:val="16"/>
        <w:numPr>
          <w:ilvl w:val="1"/>
          <w:numId w:val="2"/>
        </w:numPr>
      </w:pPr>
      <w:r>
        <w:t>C：核心业务与需求匹配（明确客户主营业务，初步判断合作可能性）</w:t>
      </w:r>
    </w:p>
    <w:p w14:paraId="1EF883AC">
      <w:pPr>
        <w:pStyle w:val="16"/>
        <w:numPr>
          <w:ilvl w:val="1"/>
          <w:numId w:val="2"/>
        </w:numPr>
      </w:pPr>
      <w:r>
        <w:t>D：需求优先级排序（核心需求、次要需求、潜在需求分类）</w:t>
      </w:r>
    </w:p>
    <w:p w14:paraId="150D26D9">
      <w:pPr>
        <w:pStyle w:val="16"/>
        <w:numPr>
          <w:ilvl w:val="1"/>
          <w:numId w:val="2"/>
        </w:numPr>
      </w:pPr>
      <w:r>
        <w:t>E：合作潜力评估（采购量、合作周期、付款能力、转介绍价值）</w:t>
      </w:r>
    </w:p>
    <w:p w14:paraId="01D12DE2">
      <w:pPr>
        <w:pStyle w:val="16"/>
        <w:numPr>
          <w:ilvl w:val="0"/>
          <w:numId w:val="3"/>
        </w:numPr>
        <w:ind w:left="288" w:leftChars="0" w:hanging="288" w:firstLineChars="0"/>
      </w:pPr>
      <w:r>
        <w:rPr>
          <w:b/>
          <w:bCs/>
        </w:rPr>
        <w:t>关键人挖掘与关系维护</w:t>
      </w:r>
    </w:p>
    <w:p w14:paraId="1337F8C1">
      <w:pPr>
        <w:pStyle w:val="16"/>
        <w:numPr>
          <w:ilvl w:val="1"/>
          <w:numId w:val="2"/>
        </w:numPr>
      </w:pPr>
      <w:r>
        <w:t>A：关键人识别（直接触达 / 间接推荐，明确决策者、使用者、影响者）</w:t>
      </w:r>
    </w:p>
    <w:p w14:paraId="7D563583">
      <w:pPr>
        <w:pStyle w:val="16"/>
        <w:numPr>
          <w:ilvl w:val="1"/>
          <w:numId w:val="2"/>
        </w:numPr>
      </w:pPr>
      <w:r>
        <w:t>B：决策链梳理（厘清各角色分工、决策流程与权重）</w:t>
      </w:r>
    </w:p>
    <w:p w14:paraId="40EE1697">
      <w:pPr>
        <w:pStyle w:val="16"/>
        <w:numPr>
          <w:ilvl w:val="1"/>
          <w:numId w:val="2"/>
        </w:numPr>
      </w:pPr>
      <w:r>
        <w:t>C：关键人需求挖掘（职业诉求、决策痛点、个人偏好、合作顾虑）</w:t>
      </w:r>
    </w:p>
    <w:p w14:paraId="57873CFE">
      <w:pPr>
        <w:pStyle w:val="16"/>
        <w:numPr>
          <w:ilvl w:val="1"/>
          <w:numId w:val="2"/>
        </w:numPr>
      </w:pPr>
      <w:r>
        <w:t>D：关系递进（初步接触→价值传递→建立信任→深度绑定，如行业干货分享、定制化建议）</w:t>
      </w:r>
    </w:p>
    <w:p w14:paraId="47ADA0F0">
      <w:pPr>
        <w:pStyle w:val="16"/>
        <w:numPr>
          <w:ilvl w:val="0"/>
          <w:numId w:val="3"/>
        </w:numPr>
        <w:ind w:left="288" w:leftChars="0" w:hanging="288" w:firstLineChars="0"/>
      </w:pPr>
      <w:r>
        <w:rPr>
          <w:b/>
          <w:bCs/>
        </w:rPr>
        <w:t>定制化方案呈现</w:t>
      </w:r>
    </w:p>
    <w:p w14:paraId="1716CCE3">
      <w:pPr>
        <w:pStyle w:val="16"/>
        <w:numPr>
          <w:ilvl w:val="1"/>
          <w:numId w:val="2"/>
        </w:numPr>
      </w:pPr>
      <w:r>
        <w:t>A：产品价值匹配（基于客户需求突出核心卖点，规避无效功能）</w:t>
      </w:r>
    </w:p>
    <w:p w14:paraId="3E45F90D">
      <w:pPr>
        <w:pStyle w:val="16"/>
        <w:numPr>
          <w:ilvl w:val="1"/>
          <w:numId w:val="2"/>
        </w:numPr>
      </w:pPr>
      <w:r>
        <w:t>B：差异化优势呈现（对比竞品 / 行业标准，强调独特价值）</w:t>
      </w:r>
    </w:p>
    <w:p w14:paraId="712633EA">
      <w:pPr>
        <w:pStyle w:val="16"/>
        <w:numPr>
          <w:ilvl w:val="1"/>
          <w:numId w:val="2"/>
        </w:numPr>
      </w:pPr>
      <w:r>
        <w:t>C：案例佐证（同行业成功案例、相似需求解决方案效果）</w:t>
      </w:r>
    </w:p>
    <w:p w14:paraId="3619304A">
      <w:pPr>
        <w:pStyle w:val="16"/>
        <w:numPr>
          <w:ilvl w:val="1"/>
          <w:numId w:val="2"/>
        </w:numPr>
      </w:pPr>
      <w:r>
        <w:t>D：互动演示（产品试用、方案答疑，强化客户感知）</w:t>
      </w:r>
    </w:p>
    <w:p w14:paraId="0533AA1A">
      <w:pPr>
        <w:pStyle w:val="4"/>
      </w:pPr>
      <w:r>
        <w:t>三、需求转化与签约阶段（推动合作落地）</w:t>
      </w:r>
    </w:p>
    <w:p w14:paraId="0576C24F">
      <w:pPr>
        <w:pStyle w:val="16"/>
        <w:numPr>
          <w:ilvl w:val="0"/>
          <w:numId w:val="4"/>
        </w:numPr>
      </w:pPr>
      <w:r>
        <w:rPr>
          <w:b/>
          <w:bCs/>
        </w:rPr>
        <w:t>客户需求深度挖掘与验证</w:t>
      </w:r>
    </w:p>
    <w:p w14:paraId="58FF553A">
      <w:pPr>
        <w:pStyle w:val="16"/>
        <w:numPr>
          <w:ilvl w:val="1"/>
          <w:numId w:val="2"/>
        </w:numPr>
      </w:pPr>
      <w:r>
        <w:t>A：多维度调研（访谈、问卷、市场数据交叉验证）</w:t>
      </w:r>
    </w:p>
    <w:p w14:paraId="5A999BCC">
      <w:pPr>
        <w:pStyle w:val="16"/>
        <w:numPr>
          <w:ilvl w:val="1"/>
          <w:numId w:val="2"/>
        </w:numPr>
      </w:pPr>
      <w:r>
        <w:t>B：需求真实性判断（区分刚性需求 / 弹性需求 / 虚假需求）</w:t>
      </w:r>
    </w:p>
    <w:p w14:paraId="408424B4">
      <w:pPr>
        <w:pStyle w:val="16"/>
        <w:numPr>
          <w:ilvl w:val="1"/>
          <w:numId w:val="2"/>
        </w:numPr>
      </w:pPr>
      <w:r>
        <w:t>C：痛点深度剖析（明确需求背后的核心诉求与决策驱动力）</w:t>
      </w:r>
    </w:p>
    <w:p w14:paraId="043838BC">
      <w:pPr>
        <w:pStyle w:val="16"/>
        <w:numPr>
          <w:ilvl w:val="0"/>
          <w:numId w:val="4"/>
        </w:numPr>
        <w:ind w:left="288" w:leftChars="0" w:hanging="288" w:firstLineChars="0"/>
      </w:pPr>
      <w:r>
        <w:rPr>
          <w:b/>
          <w:bCs/>
        </w:rPr>
        <w:t>需求分析与方案优化</w:t>
      </w:r>
    </w:p>
    <w:p w14:paraId="3A8A0194">
      <w:pPr>
        <w:pStyle w:val="16"/>
        <w:numPr>
          <w:ilvl w:val="1"/>
          <w:numId w:val="2"/>
        </w:numPr>
      </w:pPr>
      <w:r>
        <w:t>A：需求 - 产品适配性分析（评估功能、服务、交付周期的匹配度）</w:t>
      </w:r>
    </w:p>
    <w:p w14:paraId="5C73F8F3">
      <w:pPr>
        <w:pStyle w:val="16"/>
        <w:numPr>
          <w:ilvl w:val="1"/>
          <w:numId w:val="2"/>
        </w:numPr>
      </w:pPr>
      <w:r>
        <w:t>B：方案调整（优化功能配置、压缩交付周期、补充增值服务）</w:t>
      </w:r>
    </w:p>
    <w:p w14:paraId="304254CF">
      <w:pPr>
        <w:pStyle w:val="16"/>
        <w:numPr>
          <w:ilvl w:val="1"/>
          <w:numId w:val="2"/>
        </w:numPr>
      </w:pPr>
      <w:r>
        <w:t>C：内部可行性评审（协调技术、生产、售后确认方案落地性）</w:t>
      </w:r>
    </w:p>
    <w:p w14:paraId="7595D7F4">
      <w:pPr>
        <w:pStyle w:val="16"/>
        <w:numPr>
          <w:ilvl w:val="0"/>
          <w:numId w:val="4"/>
        </w:numPr>
        <w:ind w:left="288" w:leftChars="0" w:hanging="288" w:firstLineChars="0"/>
      </w:pPr>
      <w:r>
        <w:rPr>
          <w:b/>
          <w:bCs/>
        </w:rPr>
        <w:t>预算适配与报价谈判</w:t>
      </w:r>
    </w:p>
    <w:p w14:paraId="06063D7C">
      <w:pPr>
        <w:pStyle w:val="16"/>
        <w:numPr>
          <w:ilvl w:val="1"/>
          <w:numId w:val="2"/>
        </w:numPr>
      </w:pPr>
      <w:r>
        <w:t>A：预算调研（了解客户预算范围、付款周期偏好）</w:t>
      </w:r>
    </w:p>
    <w:p w14:paraId="0FB11AC2">
      <w:pPr>
        <w:pStyle w:val="16"/>
        <w:numPr>
          <w:ilvl w:val="1"/>
          <w:numId w:val="2"/>
        </w:numPr>
      </w:pPr>
      <w:r>
        <w:t>B：报价制定（结合成本、利润目标、市场行情，设定底价与让步空间）</w:t>
      </w:r>
    </w:p>
    <w:p w14:paraId="26315EA7">
      <w:pPr>
        <w:pStyle w:val="16"/>
        <w:numPr>
          <w:ilvl w:val="1"/>
          <w:numId w:val="2"/>
        </w:numPr>
      </w:pPr>
      <w:r>
        <w:t>C：谈判策略（增值服务置换、付款方式灵活调整、长期合作优惠）</w:t>
      </w:r>
    </w:p>
    <w:p w14:paraId="59FBAB81">
      <w:pPr>
        <w:pStyle w:val="16"/>
        <w:numPr>
          <w:ilvl w:val="1"/>
          <w:numId w:val="2"/>
        </w:numPr>
      </w:pPr>
      <w:r>
        <w:t>D：报价说明（清晰拆解成本构成、价值回报，解答价格疑虑）</w:t>
      </w:r>
    </w:p>
    <w:p w14:paraId="5BF70DDD">
      <w:pPr>
        <w:pStyle w:val="16"/>
        <w:numPr>
          <w:ilvl w:val="0"/>
          <w:numId w:val="4"/>
        </w:numPr>
        <w:ind w:left="288" w:leftChars="0" w:hanging="288" w:firstLineChars="0"/>
      </w:pPr>
      <w:r>
        <w:rPr>
          <w:b/>
          <w:bCs/>
        </w:rPr>
        <w:t>签约与风险把控</w:t>
      </w:r>
    </w:p>
    <w:p w14:paraId="11C11767">
      <w:pPr>
        <w:pStyle w:val="16"/>
        <w:numPr>
          <w:ilvl w:val="1"/>
          <w:numId w:val="2"/>
        </w:numPr>
      </w:pPr>
      <w:r>
        <w:t>A：合同条款协商（明确交付标准、权利义务、违约责任、售后保障）</w:t>
      </w:r>
    </w:p>
    <w:p w14:paraId="68FA025D">
      <w:pPr>
        <w:pStyle w:val="16"/>
        <w:numPr>
          <w:ilvl w:val="1"/>
          <w:numId w:val="2"/>
        </w:numPr>
      </w:pPr>
      <w:r>
        <w:t>B：合规性评审（客户资质审核、合同条款合规性、法律风险排查）</w:t>
      </w:r>
    </w:p>
    <w:p w14:paraId="16B7AC68">
      <w:pPr>
        <w:pStyle w:val="16"/>
        <w:numPr>
          <w:ilvl w:val="1"/>
          <w:numId w:val="2"/>
        </w:numPr>
      </w:pPr>
      <w:r>
        <w:t>C：签约流程跟进（文件准备、审批对接、签章确认，确保流程高效）</w:t>
      </w:r>
    </w:p>
    <w:p w14:paraId="667D68B7">
      <w:pPr>
        <w:pStyle w:val="4"/>
      </w:pPr>
      <w:r>
        <w:t>四、履约与售后阶段（保障口碑与复购）</w:t>
      </w:r>
    </w:p>
    <w:p w14:paraId="3E6F1FFB">
      <w:pPr>
        <w:pStyle w:val="16"/>
        <w:numPr>
          <w:ilvl w:val="0"/>
          <w:numId w:val="5"/>
        </w:numPr>
      </w:pPr>
      <w:r>
        <w:rPr>
          <w:b/>
          <w:bCs/>
        </w:rPr>
        <w:t>履约执行与进度跟踪</w:t>
      </w:r>
    </w:p>
    <w:p w14:paraId="2EF37289">
      <w:pPr>
        <w:pStyle w:val="16"/>
        <w:numPr>
          <w:ilvl w:val="1"/>
          <w:numId w:val="2"/>
        </w:numPr>
      </w:pPr>
      <w:r>
        <w:t>A：履约计划制定（明确交付节点、责任人、沟通反馈机制）</w:t>
      </w:r>
    </w:p>
    <w:p w14:paraId="433CDCF2">
      <w:pPr>
        <w:pStyle w:val="16"/>
        <w:numPr>
          <w:ilvl w:val="1"/>
          <w:numId w:val="2"/>
        </w:numPr>
      </w:pPr>
      <w:r>
        <w:t>B：交付执行（按合同标准完成产品 / 服务交付，同步提供使用指导）</w:t>
      </w:r>
    </w:p>
    <w:p w14:paraId="7BC37A39">
      <w:pPr>
        <w:pStyle w:val="16"/>
        <w:numPr>
          <w:ilvl w:val="1"/>
          <w:numId w:val="2"/>
        </w:numPr>
      </w:pPr>
      <w:r>
        <w:t>C：验收对接（协助客户完成验收，整理验收凭证）</w:t>
      </w:r>
    </w:p>
    <w:p w14:paraId="200B4F7A">
      <w:pPr>
        <w:pStyle w:val="16"/>
        <w:numPr>
          <w:ilvl w:val="1"/>
          <w:numId w:val="2"/>
        </w:numPr>
      </w:pPr>
      <w:r>
        <w:t>D：问题应急处理（针对延期、质量异议等制定快速响应方案）</w:t>
      </w:r>
    </w:p>
    <w:p w14:paraId="197D9295">
      <w:pPr>
        <w:pStyle w:val="16"/>
        <w:numPr>
          <w:ilvl w:val="1"/>
          <w:numId w:val="2"/>
        </w:numPr>
      </w:pPr>
      <w:r>
        <w:t>E：回款跟进（按付款节点提醒、对接财务，确保及时回款）</w:t>
      </w:r>
    </w:p>
    <w:p w14:paraId="60F8421A">
      <w:pPr>
        <w:pStyle w:val="16"/>
        <w:numPr>
          <w:ilvl w:val="0"/>
          <w:numId w:val="5"/>
        </w:numPr>
        <w:ind w:left="288" w:leftChars="0" w:hanging="288" w:firstLineChars="0"/>
      </w:pPr>
      <w:r>
        <w:rPr>
          <w:b/>
          <w:bCs/>
        </w:rPr>
        <w:t>售后跟踪与价值深挖</w:t>
      </w:r>
    </w:p>
    <w:p w14:paraId="0FE0A632">
      <w:pPr>
        <w:pStyle w:val="16"/>
        <w:numPr>
          <w:ilvl w:val="1"/>
          <w:numId w:val="2"/>
        </w:numPr>
      </w:pPr>
      <w:r>
        <w:t>A：服务满意度调研（交付后 1 周 / 1 个月 / 季度定期回访）</w:t>
      </w:r>
    </w:p>
    <w:p w14:paraId="0A4BDA55">
      <w:pPr>
        <w:pStyle w:val="16"/>
        <w:numPr>
          <w:ilvl w:val="1"/>
          <w:numId w:val="2"/>
        </w:numPr>
      </w:pPr>
      <w:r>
        <w:t>B：交付物优化（根据客户反馈调整产品 / 服务细节）</w:t>
      </w:r>
    </w:p>
    <w:p w14:paraId="0AA13D6D">
      <w:pPr>
        <w:pStyle w:val="16"/>
        <w:numPr>
          <w:ilvl w:val="1"/>
          <w:numId w:val="2"/>
        </w:numPr>
      </w:pPr>
      <w:r>
        <w:t>C：续约推进（提前 3-6 个月启动续约沟通，提供续约优惠）</w:t>
      </w:r>
    </w:p>
    <w:p w14:paraId="6E5202C2">
      <w:pPr>
        <w:pStyle w:val="16"/>
        <w:numPr>
          <w:ilvl w:val="1"/>
          <w:numId w:val="2"/>
        </w:numPr>
      </w:pPr>
      <w:r>
        <w:t>D：转介绍挖掘（告知转介绍政策，激励老客户推荐新客户）</w:t>
      </w:r>
    </w:p>
    <w:p w14:paraId="4C2A6BE9">
      <w:pPr>
        <w:pStyle w:val="16"/>
        <w:numPr>
          <w:ilvl w:val="1"/>
          <w:numId w:val="2"/>
        </w:numPr>
      </w:pPr>
      <w:r>
        <w:t>E：二次开发（基于客户新需求，推动交叉销售 / 升级销售）</w:t>
      </w:r>
    </w:p>
    <w:p w14:paraId="52ACED99">
      <w:pPr>
        <w:pStyle w:val="4"/>
      </w:pPr>
      <w:r>
        <w:t>五、复盘与迭代阶段（反哺后续工作）</w:t>
      </w:r>
    </w:p>
    <w:p w14:paraId="2DBEB991">
      <w:pPr>
        <w:pStyle w:val="16"/>
        <w:numPr>
          <w:ilvl w:val="0"/>
          <w:numId w:val="6"/>
        </w:numPr>
      </w:pPr>
      <w:r>
        <w:rPr>
          <w:b/>
          <w:bCs/>
        </w:rPr>
        <w:t>节点复盘（贯穿全流程）</w:t>
      </w:r>
    </w:p>
    <w:p w14:paraId="6A4DA003">
      <w:pPr>
        <w:pStyle w:val="16"/>
        <w:numPr>
          <w:ilvl w:val="1"/>
          <w:numId w:val="2"/>
        </w:numPr>
      </w:pPr>
      <w:r>
        <w:t>A：月度复盘（目标完成率、环节卡点、改进措施）</w:t>
      </w:r>
    </w:p>
    <w:p w14:paraId="11B6C8CA">
      <w:pPr>
        <w:pStyle w:val="16"/>
        <w:numPr>
          <w:ilvl w:val="1"/>
          <w:numId w:val="2"/>
        </w:numPr>
      </w:pPr>
      <w:r>
        <w:t>B：重大节点专项复盘（签约、履约、售后问题专项分析）</w:t>
      </w:r>
    </w:p>
    <w:p w14:paraId="179DFCEB">
      <w:pPr>
        <w:pStyle w:val="16"/>
        <w:numPr>
          <w:ilvl w:val="0"/>
          <w:numId w:val="6"/>
        </w:numPr>
        <w:ind w:left="288" w:leftChars="0" w:hanging="288" w:firstLineChars="0"/>
      </w:pPr>
      <w:bookmarkStart w:id="0" w:name="_GoBack"/>
      <w:bookmarkEnd w:id="0"/>
      <w:r>
        <w:rPr>
          <w:b/>
          <w:bCs/>
        </w:rPr>
        <w:t>项目总结与沉淀</w:t>
      </w:r>
    </w:p>
    <w:p w14:paraId="68B8A7F5">
      <w:pPr>
        <w:pStyle w:val="16"/>
        <w:numPr>
          <w:ilvl w:val="1"/>
          <w:numId w:val="2"/>
        </w:numPr>
      </w:pPr>
      <w:r>
        <w:t>A：案例沉淀（成功 / 失败案例详细记录，提炼关键经验）</w:t>
      </w:r>
    </w:p>
    <w:p w14:paraId="1A903D93">
      <w:pPr>
        <w:pStyle w:val="16"/>
        <w:numPr>
          <w:ilvl w:val="1"/>
          <w:numId w:val="2"/>
        </w:numPr>
      </w:pPr>
      <w:r>
        <w:t>B：客户反馈整理（同步至产品、售后部门，推动整体优化）</w:t>
      </w:r>
    </w:p>
    <w:p w14:paraId="68AB6C99">
      <w:pPr>
        <w:pStyle w:val="16"/>
        <w:numPr>
          <w:ilvl w:val="1"/>
          <w:numId w:val="2"/>
        </w:numPr>
      </w:pPr>
      <w:r>
        <w:t>C：流程迭代（针对低效环节提出优化建议，更新销售 SOP）</w:t>
      </w:r>
    </w:p>
    <w:p w14:paraId="2DEA473C">
      <w:pPr>
        <w:pStyle w:val="16"/>
        <w:numPr>
          <w:ilvl w:val="1"/>
          <w:numId w:val="2"/>
        </w:numPr>
      </w:pPr>
      <w:r>
        <w:t>D：成果反哺（将总结结论用于下一轮目标制定、资源配置）</w:t>
      </w:r>
    </w:p>
    <w:p w14:paraId="20C30DD5">
      <w:pPr>
        <w:pStyle w:val="17"/>
        <w:pBdr>
          <w:left w:val="single" w:color="BBBFC4" w:sz="18" w:space="0"/>
        </w:pBdr>
      </w:pP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lowerLetter"/>
      <w:lvlText w:val="%2.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lowerRoman"/>
      <w:lvlText w:val="%3.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decimal"/>
      <w:lvlText w:val="%4.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lowerLetter"/>
      <w:lvlText w:val="%5.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lowerRoman"/>
      <w:lvlText w:val="%6.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decimal"/>
      <w:lvlText w:val="%7.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lowerLetter"/>
      <w:lvlText w:val="%8.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lowerRoman"/>
      <w:lvlText w:val="%9."/>
      <w:lvlJc w:val="left"/>
      <w:pPr>
        <w:ind w:left="3744" w:hanging="288"/>
      </w:pPr>
      <w:rPr>
        <w:color w:val="3370FF"/>
        <w:sz w:val="22"/>
        <w:szCs w:val="22"/>
      </w:rPr>
    </w:lvl>
  </w:abstractNum>
  <w:abstractNum w:abstractNumId="1">
    <w:nsid w:val="59ADCABA"/>
    <w:multiLevelType w:val="multilevel"/>
    <w:tmpl w:val="59ADCABA"/>
    <w:lvl w:ilvl="0" w:tentative="0">
      <w:start w:val="1"/>
      <w:numFmt w:val="bullet"/>
      <w:lvlText w:val="•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bullet"/>
      <w:lvlText w:val="◦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bullet"/>
      <w:lvlText w:val="▪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bullet"/>
      <w:lvlText w:val="•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bullet"/>
      <w:lvlText w:val="◦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bullet"/>
      <w:lvlText w:val="▪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bullet"/>
      <w:lvlText w:val="•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bullet"/>
      <w:lvlText w:val="◦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bullet"/>
      <w:lvlText w:val="▪"/>
      <w:lvlJc w:val="left"/>
      <w:pPr>
        <w:ind w:left="3744" w:hanging="288"/>
      </w:pPr>
      <w:rPr>
        <w:color w:val="3370FF"/>
        <w:sz w:val="22"/>
        <w:szCs w:val="22"/>
      </w:r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0"/>
    <w:lvlOverride w:ilvl="0">
      <w:startOverride w:val="1"/>
    </w:lvlOverride>
  </w:num>
  <w:num w:numId="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149C5764"/>
    <w:rsid w:val="3C61266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pPr>
      <w:spacing w:before="380" w:after="140" w:line="288" w:lineRule="auto"/>
      <w:ind w:left="0"/>
      <w:jc w:val="left"/>
      <w:outlineLvl w:val="0"/>
    </w:pPr>
    <w:rPr>
      <w:rFonts w:ascii="Arial" w:hAnsi="Arial" w:eastAsia="等线" w:cs="Arial"/>
      <w:b/>
      <w:bCs/>
      <w:sz w:val="36"/>
      <w:szCs w:val="36"/>
    </w:rPr>
  </w:style>
  <w:style w:type="paragraph" w:styleId="3">
    <w:name w:val="heading 2"/>
    <w:next w:val="1"/>
    <w:qFormat/>
    <w:uiPriority w:val="0"/>
    <w:pPr>
      <w:spacing w:before="320" w:after="120" w:line="288" w:lineRule="auto"/>
      <w:ind w:left="0"/>
      <w:jc w:val="left"/>
      <w:outlineLvl w:val="1"/>
    </w:pPr>
    <w:rPr>
      <w:rFonts w:ascii="Arial" w:hAnsi="Arial" w:eastAsia="等线" w:cs="Arial"/>
      <w:b/>
      <w:bCs/>
      <w:sz w:val="32"/>
      <w:szCs w:val="32"/>
    </w:rPr>
  </w:style>
  <w:style w:type="paragraph" w:styleId="4">
    <w:name w:val="heading 3"/>
    <w:next w:val="1"/>
    <w:qFormat/>
    <w:uiPriority w:val="0"/>
    <w:pPr>
      <w:spacing w:before="300" w:after="120" w:line="288" w:lineRule="auto"/>
      <w:ind w:left="0"/>
      <w:jc w:val="left"/>
      <w:outlineLvl w:val="2"/>
    </w:pPr>
    <w:rPr>
      <w:rFonts w:ascii="Arial" w:hAnsi="Arial" w:eastAsia="等线" w:cs="Arial"/>
      <w:b/>
      <w:bCs/>
      <w:sz w:val="30"/>
      <w:szCs w:val="30"/>
    </w:rPr>
  </w:style>
  <w:style w:type="paragraph" w:styleId="5">
    <w:name w:val="heading 4"/>
    <w:next w:val="1"/>
    <w:qFormat/>
    <w:uiPriority w:val="0"/>
    <w:pPr>
      <w:spacing w:before="260" w:after="120" w:line="288" w:lineRule="auto"/>
      <w:ind w:left="0"/>
      <w:jc w:val="left"/>
      <w:outlineLvl w:val="3"/>
    </w:pPr>
    <w:rPr>
      <w:rFonts w:ascii="Arial" w:hAnsi="Arial" w:eastAsia="等线" w:cs="Arial"/>
      <w:b/>
      <w:bCs/>
      <w:sz w:val="28"/>
      <w:szCs w:val="28"/>
    </w:rPr>
  </w:style>
  <w:style w:type="paragraph" w:styleId="6">
    <w:name w:val="heading 5"/>
    <w:next w:val="1"/>
    <w:qFormat/>
    <w:uiPriority w:val="0"/>
    <w:pPr>
      <w:spacing w:before="240" w:after="120" w:line="288" w:lineRule="auto"/>
      <w:ind w:left="0"/>
      <w:jc w:val="left"/>
      <w:outlineLvl w:val="4"/>
    </w:pPr>
    <w:rPr>
      <w:rFonts w:ascii="Arial" w:hAnsi="Arial" w:eastAsia="等线" w:cs="Arial"/>
      <w:b/>
      <w:bCs/>
      <w:sz w:val="24"/>
      <w:szCs w:val="24"/>
    </w:rPr>
  </w:style>
  <w:style w:type="paragraph" w:styleId="7">
    <w:name w:val="heading 6"/>
    <w:next w:val="1"/>
    <w:qFormat/>
    <w:uiPriority w:val="0"/>
    <w:pPr>
      <w:spacing w:before="240" w:after="120" w:line="288" w:lineRule="auto"/>
      <w:ind w:left="0"/>
      <w:jc w:val="left"/>
      <w:outlineLvl w:val="5"/>
    </w:pPr>
    <w:rPr>
      <w:rFonts w:ascii="Arial" w:hAnsi="Arial" w:eastAsia="等线" w:cs="Arial"/>
      <w:b/>
      <w:bCs/>
      <w:sz w:val="24"/>
      <w:szCs w:val="24"/>
    </w:rPr>
  </w:style>
  <w:style w:type="character" w:default="1" w:styleId="11">
    <w:name w:val="Default Paragraph Font"/>
    <w:semiHidden/>
    <w:qFormat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9">
    <w:name w:val="Title"/>
    <w:qFormat/>
    <w:uiPriority w:val="0"/>
    <w:pPr>
      <w:spacing w:before="480" w:after="480" w:line="288" w:lineRule="auto"/>
      <w:ind w:left="0"/>
    </w:pPr>
    <w:rPr>
      <w:rFonts w:ascii="Arial" w:hAnsi="Arial" w:eastAsia="等线" w:cs="Arial"/>
      <w:b/>
      <w:bCs/>
      <w:sz w:val="52"/>
      <w:szCs w:val="52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paragraph" w:styleId="14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15">
    <w:name w:val="Footnote Text Char"/>
    <w:link w:val="8"/>
    <w:semiHidden/>
    <w:unhideWhenUsed/>
    <w:qFormat/>
    <w:uiPriority w:val="99"/>
    <w:rPr>
      <w:sz w:val="20"/>
      <w:szCs w:val="20"/>
    </w:rPr>
  </w:style>
  <w:style w:type="paragraph" w:customStyle="1" w:styleId="16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  <w:style w:type="paragraph" w:customStyle="1" w:styleId="17">
    <w:name w:val="_Style 14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color w:val="8F959E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1673</Words>
  <Characters>1677</Characters>
  <TotalTime>3</TotalTime>
  <ScaleCrop>false</ScaleCrop>
  <LinksUpToDate>false</LinksUpToDate>
  <CharactersWithSpaces>1717</CharactersWithSpaces>
  <Application>WPS Office_12.1.0.24657_F1E327BC-269C-435d-A152-05C5408002CA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2026-03-09T09:19:00Z</dcterms:created>
  <dc:creator>Un-named</dc:creator>
  <cp:lastModifiedBy>数衍科技-吴学强</cp:lastModifiedBy>
  <dcterms:modified xsi:type="dcterms:W3CDTF">2026-03-23T05:57:23Z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eyJoZGlkIjoiZTI5MjY5M2ZjY2Q5ODE4ZmJhMWM0OTkzMDJmNzY5NTkiLCJ1c2VySWQiOiIzODcyNjc4NzUifQ==</vt:lpwstr>
  </property>
  <property fmtid="{D5CDD505-2E9C-101B-9397-08002B2CF9AE}" pid="3" name="KSOProductBuildVer">
    <vt:lpwstr>2052-12.1.0.24657</vt:lpwstr>
  </property>
  <property fmtid="{D5CDD505-2E9C-101B-9397-08002B2CF9AE}" pid="4" name="ICV">
    <vt:lpwstr>A81494793D0C405B9FFD466C5210377C_12</vt:lpwstr>
  </property>
</Properties>
</file>