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/>
        <w:jc w:val="center"/>
      </w:pPr>
      <w:r>
        <w:rPr>
          <w:rFonts w:ascii="Times New Roman" w:hAnsi="Times New Roman" w:eastAsia="SimSun"/>
          <w:b/>
          <w:sz w:val="26"/>
        </w:rPr>
        <w:t>王希昊（Xihao Wang）CFA · FRM · CQF</w:t>
      </w:r>
    </w:p>
    <w:p>
      <w:pPr>
        <w:spacing w:before="0" w:after="60"/>
        <w:ind w:left="0"/>
        <w:jc w:val="center"/>
      </w:pPr>
      <w:r>
        <w:rPr>
          <w:rFonts w:ascii="Times New Roman" w:hAnsi="Times New Roman" w:eastAsia="SimSun"/>
          <w:b w:val="0"/>
          <w:sz w:val="17"/>
        </w:rPr>
        <w:t>邮箱：wangxihao93@gmail.com   |   电话：706-3008681   |   LinkedIn: linkedin.com/in/xihao-wang</w:t>
      </w:r>
    </w:p>
    <w:p>
      <w:pPr>
        <w:spacing w:before="80" w:after="20"/>
        <w:ind w:left="0"/>
        <w:pBdr>
          <w:bottom w:val="single" w:sz="6" w:space="1" w:color="000000"/>
        </w:pBdr>
      </w:pPr>
      <w:r>
        <w:rPr>
          <w:rFonts w:ascii="Times New Roman" w:hAnsi="Times New Roman" w:eastAsia="SimSun"/>
          <w:b/>
          <w:color w:val="000000"/>
          <w:sz w:val="20"/>
        </w:rPr>
        <w:t>个人简介</w:t>
      </w:r>
    </w:p>
    <w:p>
      <w:pPr>
        <w:spacing w:before="0" w:after="40"/>
        <w:ind w:left="0"/>
      </w:pPr>
      <w:r>
        <w:rPr>
          <w:rFonts w:ascii="Times New Roman" w:hAnsi="Times New Roman" w:eastAsia="SimSun"/>
          <w:b w:val="0"/>
          <w:sz w:val="18"/>
        </w:rPr>
        <w:t>MUFG Capital Analytics 副总监（Associate Director）· 量化分析师兼策略师。10年以上横跨公开市场股权风险与私募市场的经验，私募股权现金流预测与LLM驱动分析领域专家。主导构建服务净资产规模$4,000B+私募基金的AI组合监控与分析平台、全公司报表系统与业绩归因框架，将复杂金融数据转化为经得起审计的决策。CFA、FRM、CQF持证人。</w:t>
      </w:r>
    </w:p>
    <w:p>
      <w:pPr>
        <w:spacing w:before="80" w:after="20"/>
        <w:ind w:left="0"/>
        <w:pBdr>
          <w:bottom w:val="single" w:sz="6" w:space="1" w:color="000000"/>
        </w:pBdr>
      </w:pPr>
      <w:r>
        <w:rPr>
          <w:rFonts w:ascii="Times New Roman" w:hAnsi="Times New Roman" w:eastAsia="SimSun"/>
          <w:b/>
          <w:color w:val="000000"/>
          <w:sz w:val="20"/>
        </w:rPr>
        <w:t>工作经历</w:t>
      </w:r>
    </w:p>
    <w:p>
      <w:pPr>
        <w:tabs>
          <w:tab w:pos="10656" w:val="right"/>
        </w:tabs>
      </w:pPr>
      <w:r>
        <w:rPr>
          <w:rFonts w:ascii="Times New Roman" w:hAnsi="Times New Roman" w:eastAsia="SimSun"/>
          <w:b/>
          <w:sz w:val="18"/>
        </w:rPr>
        <w:t>MUFG Capital Analytics，达拉斯，德州</w:t>
      </w:r>
      <w:r>
        <w:rPr>
          <w:rFonts w:ascii="Times New Roman" w:hAnsi="Times New Roman" w:eastAsia="SimSun"/>
          <w:sz w:val="18"/>
        </w:rPr>
        <w:tab/>
        <w:t>2025年7月至今</w:t>
      </w:r>
    </w:p>
    <w:p>
      <w:pPr>
        <w:spacing w:before="0" w:after="0"/>
        <w:ind w:left="0"/>
      </w:pPr>
      <w:r>
        <w:rPr>
          <w:rFonts w:ascii="Times New Roman" w:hAnsi="Times New Roman" w:eastAsia="SimSun"/>
          <w:b/>
          <w:sz w:val="18"/>
        </w:rPr>
        <w:t>副总监（Associate Director）— 量化分析师兼策略师</w:t>
      </w:r>
    </w:p>
    <w:p>
      <w:pPr>
        <w:spacing w:after="20"/>
        <w:ind w:left="259"/>
      </w:pPr>
      <w:r>
        <w:rPr>
          <w:rFonts w:ascii="Times New Roman" w:hAnsi="Times New Roman" w:eastAsia="SimSun"/>
          <w:sz w:val="18"/>
        </w:rPr>
        <w:t>• AI驱动的PE组合监控平台（$4,000B+私募基金NAV）：基于Snowflake统一数据模型，设计并主导开发AI驱动的PE组合监控平台，服务资产净值合计$4,000B+的私募股权基金。对内支撑公司级盈利分析与报表，对外为LP（有限合伙人）提供客户级组合监控、现金流预测与承诺资本投放分析。核心为LLM+RAG+agent skills——客户以自然语言提问，系统自动生成图表与分析结论，所有输出经源数据校验、零幻觉。</w:t>
      </w:r>
    </w:p>
    <w:p>
      <w:pPr>
        <w:spacing w:after="20"/>
        <w:ind w:left="259"/>
      </w:pPr>
      <w:r>
        <w:rPr>
          <w:rFonts w:ascii="Times New Roman" w:hAnsi="Times New Roman" w:eastAsia="SimSun"/>
          <w:sz w:val="18"/>
        </w:rPr>
        <w:t>• 全公司基金配置报表系统：为全公司基金会计师、基金控制人与总监设计开发端到端报表系统，数据质量显著提升，彻底消除手工输入错误，将原本一周的报表周期压缩至几分钟。</w:t>
      </w:r>
    </w:p>
    <w:p>
      <w:pPr>
        <w:spacing w:after="20"/>
        <w:ind w:left="259"/>
      </w:pPr>
      <w:r>
        <w:rPr>
          <w:rFonts w:ascii="Times New Roman" w:hAnsi="Times New Roman" w:eastAsia="SimSun"/>
          <w:sz w:val="18"/>
        </w:rPr>
        <w:t>• 私募股权现金流预测与LP组合分析：作为私募现金流预测专家，构建覆盖组合监控、承诺资本投放节奏与前瞻现金流预测的LP分析体系，并开发PE组合业绩贡献与归因分析，将组合结果分解至底层基金与公司层面的驱动因素。</w:t>
      </w:r>
    </w:p>
    <w:p>
      <w:pPr>
        <w:spacing w:after="40"/>
        <w:ind w:left="259"/>
      </w:pPr>
      <w:r>
        <w:rPr>
          <w:rFonts w:ascii="Times New Roman" w:hAnsi="Times New Roman" w:eastAsia="SimSun"/>
          <w:sz w:val="18"/>
        </w:rPr>
        <w:t>• 主导另类资产组合的量化研究与策略工作，与前台协作，将模型洞察转化为投资与风险决策。</w:t>
      </w:r>
    </w:p>
    <w:p>
      <w:pPr>
        <w:tabs>
          <w:tab w:pos="10656" w:val="right"/>
        </w:tabs>
      </w:pPr>
      <w:r>
        <w:rPr>
          <w:rFonts w:ascii="Times New Roman" w:hAnsi="Times New Roman" w:eastAsia="SimSun"/>
          <w:b/>
          <w:sz w:val="18"/>
        </w:rPr>
        <w:t>The Beneficient Company Group，达拉斯，德州</w:t>
      </w:r>
      <w:r>
        <w:rPr>
          <w:rFonts w:ascii="Times New Roman" w:hAnsi="Times New Roman" w:eastAsia="SimSun"/>
          <w:sz w:val="18"/>
        </w:rPr>
        <w:tab/>
        <w:t>2021年12月–2025年7月</w:t>
      </w:r>
    </w:p>
    <w:p>
      <w:pPr>
        <w:spacing w:before="0" w:after="0"/>
        <w:ind w:left="0"/>
      </w:pPr>
      <w:r>
        <w:rPr>
          <w:rFonts w:ascii="Times New Roman" w:hAnsi="Times New Roman" w:eastAsia="SimSun"/>
          <w:b/>
          <w:sz w:val="18"/>
        </w:rPr>
        <w:t>分析师/经理 — 组合构建与风险</w:t>
      </w:r>
    </w:p>
    <w:p>
      <w:pPr>
        <w:spacing w:after="20"/>
        <w:ind w:left="259"/>
      </w:pPr>
      <w:r>
        <w:rPr>
          <w:rFonts w:ascii="Times New Roman" w:hAnsi="Times New Roman" w:eastAsia="SimSun"/>
          <w:sz w:val="18"/>
        </w:rPr>
        <w:t>• 设计、构建并主导公司私募资产现金流预测模型：以蒙特卡洛模拟为核心引擎，每个参数独立建模（量化与机器学习方法），支撑全组合流动性预测与二级市场定价。</w:t>
      </w:r>
    </w:p>
    <w:p>
      <w:pPr>
        <w:spacing w:after="20"/>
        <w:ind w:left="259"/>
      </w:pPr>
      <w:r>
        <w:rPr>
          <w:rFonts w:ascii="Times New Roman" w:hAnsi="Times New Roman" w:eastAsia="SimSun"/>
          <w:sz w:val="18"/>
        </w:rPr>
        <w:t>• 开发并改进覆盖全部私募资产的Python估值模型（ValueAlt），融入数据驱动量化研究，持续精化估值假设。</w:t>
      </w:r>
    </w:p>
    <w:p>
      <w:pPr>
        <w:spacing w:after="20"/>
        <w:ind w:left="259"/>
      </w:pPr>
      <w:r>
        <w:rPr>
          <w:rFonts w:ascii="Times New Roman" w:hAnsi="Times New Roman" w:eastAsia="SimSun"/>
          <w:sz w:val="18"/>
        </w:rPr>
        <w:t>• 开发私募资产CECL计量方法，满足监管与财务披露要求。</w:t>
      </w:r>
    </w:p>
    <w:p>
      <w:pPr>
        <w:spacing w:after="20"/>
        <w:ind w:left="259"/>
      </w:pPr>
      <w:r>
        <w:rPr>
          <w:rFonts w:ascii="Times New Roman" w:hAnsi="Times New Roman" w:eastAsia="SimSun"/>
          <w:sz w:val="18"/>
        </w:rPr>
        <w:t>• 实施数据驱动ESG评级框架，覆盖Ben私募股权组合全量资产。</w:t>
      </w:r>
    </w:p>
    <w:p>
      <w:pPr>
        <w:spacing w:after="40"/>
        <w:ind w:left="259"/>
      </w:pPr>
      <w:r>
        <w:rPr>
          <w:rFonts w:ascii="Times New Roman" w:hAnsi="Times New Roman" w:eastAsia="SimSun"/>
          <w:sz w:val="18"/>
        </w:rPr>
        <w:t>• 负责全组合季度仓位与风险分析，含情景分析与压力测试。</w:t>
      </w:r>
    </w:p>
    <w:p>
      <w:pPr>
        <w:tabs>
          <w:tab w:pos="10656" w:val="right"/>
        </w:tabs>
      </w:pPr>
      <w:r>
        <w:rPr>
          <w:rFonts w:ascii="Times New Roman" w:hAnsi="Times New Roman" w:eastAsia="SimSun"/>
          <w:b/>
          <w:sz w:val="18"/>
        </w:rPr>
        <w:t>Invesco Ltd.，休斯顿，德州及亚特兰大，佐治亚州</w:t>
      </w:r>
      <w:r>
        <w:rPr>
          <w:rFonts w:ascii="Times New Roman" w:hAnsi="Times New Roman" w:eastAsia="SimSun"/>
          <w:sz w:val="18"/>
        </w:rPr>
        <w:tab/>
        <w:t>2016年5月–2021年12月</w:t>
      </w:r>
    </w:p>
    <w:p>
      <w:pPr>
        <w:spacing w:before="0" w:after="0"/>
        <w:ind w:left="0"/>
      </w:pPr>
      <w:r>
        <w:rPr>
          <w:rFonts w:ascii="Times New Roman" w:hAnsi="Times New Roman" w:eastAsia="SimSun"/>
          <w:b/>
          <w:sz w:val="18"/>
        </w:rPr>
        <w:t>组合风险分析师（股权风险实习生：2016年5月–2017年5月，分析师：2017年6月–2021年12月）</w:t>
      </w:r>
    </w:p>
    <w:p>
      <w:pPr>
        <w:spacing w:after="20"/>
        <w:ind w:left="259"/>
      </w:pPr>
      <w:r>
        <w:rPr>
          <w:rFonts w:ascii="Times New Roman" w:hAnsi="Times New Roman" w:eastAsia="SimSun"/>
          <w:sz w:val="18"/>
        </w:rPr>
        <w:t>• 负责CIO监督报告与风险快照等季度报告体系的维护与升级，直接向高管层交付，与多个投资团队组合经理直接协作。</w:t>
      </w:r>
    </w:p>
    <w:p>
      <w:pPr>
        <w:spacing w:after="20"/>
        <w:ind w:left="259"/>
      </w:pPr>
      <w:r>
        <w:rPr>
          <w:rFonts w:ascii="Times New Roman" w:hAnsi="Times New Roman" w:eastAsia="SimSun"/>
          <w:sz w:val="18"/>
        </w:rPr>
        <w:t>• 执行经典公募基金分析工具集：业绩分析、贡献与归因、因子分析与风险报告，覆盖多个投资团队。</w:t>
      </w:r>
    </w:p>
    <w:p>
      <w:pPr>
        <w:spacing w:after="20"/>
        <w:ind w:left="259"/>
      </w:pPr>
      <w:r>
        <w:rPr>
          <w:rFonts w:ascii="Times New Roman" w:hAnsi="Times New Roman" w:eastAsia="SimSun"/>
          <w:sz w:val="18"/>
        </w:rPr>
        <w:t>• 开发量化止损策略（简单与集成），在Russell与MSCI指数回测，并实现每日止损报表的全自动Python系统。</w:t>
      </w:r>
    </w:p>
    <w:p>
      <w:pPr>
        <w:spacing w:after="20"/>
        <w:ind w:left="259"/>
      </w:pPr>
      <w:r>
        <w:rPr>
          <w:rFonts w:ascii="Times New Roman" w:hAnsi="Times New Roman" w:eastAsia="SimSun"/>
          <w:sz w:val="18"/>
        </w:rPr>
        <w:t>• 主导Invesco Canada策略模拟与自动选股系统开发，测试框架在极端情形下验证模拟精度，荣获2018年Principles at Work奖。</w:t>
      </w:r>
    </w:p>
    <w:p>
      <w:pPr>
        <w:spacing w:after="20"/>
        <w:ind w:left="259"/>
      </w:pPr>
      <w:r>
        <w:rPr>
          <w:rFonts w:ascii="Times New Roman" w:hAnsi="Times New Roman" w:eastAsia="SimSun"/>
          <w:sz w:val="18"/>
        </w:rPr>
        <w:t>• 开发数据驱动量化风险因子研究，协助高级分析师进行基金审查与风险监督。</w:t>
      </w:r>
    </w:p>
    <w:p>
      <w:pPr>
        <w:spacing w:after="40"/>
        <w:ind w:left="259"/>
      </w:pPr>
      <w:r>
        <w:rPr>
          <w:rFonts w:ascii="Times New Roman" w:hAnsi="Times New Roman" w:eastAsia="SimSun"/>
          <w:sz w:val="18"/>
        </w:rPr>
        <w:t>• 使用R与Python完成统计分析，开展多机器学习算法量化研究（情景测试、市场聚类）；深入掌握Barra、Northfield、Axioma风险模型。</w:t>
      </w:r>
    </w:p>
    <w:p>
      <w:pPr>
        <w:spacing w:before="80" w:after="20"/>
        <w:ind w:left="0"/>
        <w:pBdr>
          <w:bottom w:val="single" w:sz="6" w:space="1" w:color="000000"/>
        </w:pBdr>
      </w:pPr>
      <w:r>
        <w:rPr>
          <w:rFonts w:ascii="Times New Roman" w:hAnsi="Times New Roman" w:eastAsia="SimSun"/>
          <w:b/>
          <w:color w:val="000000"/>
          <w:sz w:val="20"/>
        </w:rPr>
        <w:t>项目 / 成果</w:t>
      </w:r>
    </w:p>
    <w:p>
      <w:r>
        <w:rPr>
          <w:rFonts w:ascii="Times New Roman" w:hAnsi="Times New Roman" w:eastAsia="SimSun"/>
          <w:b/>
          <w:sz w:val="18"/>
        </w:rPr>
        <w:t>交易定价模型开发与增强，Beneficient</w:t>
      </w:r>
    </w:p>
    <w:p>
      <w:pPr>
        <w:spacing w:after="40"/>
        <w:ind w:left="259"/>
      </w:pPr>
      <w:r>
        <w:rPr>
          <w:rFonts w:ascii="Times New Roman" w:hAnsi="Times New Roman" w:eastAsia="SimSun"/>
          <w:sz w:val="18"/>
        </w:rPr>
        <w:t>• 将原有Excel模型迁移至Python并优化性能；利用私募基金数据重估模型假设；设计方法论无缝整合承销团队的发现。</w:t>
      </w:r>
    </w:p>
    <w:p>
      <w:r>
        <w:rPr>
          <w:rFonts w:ascii="Times New Roman" w:hAnsi="Times New Roman" w:eastAsia="SimSun"/>
          <w:b/>
          <w:sz w:val="18"/>
        </w:rPr>
        <w:t>PE组合监控平台，MUFG Capital Analytics</w:t>
      </w:r>
    </w:p>
    <w:p>
      <w:pPr>
        <w:spacing w:after="40"/>
        <w:ind w:left="259"/>
      </w:pPr>
      <w:r>
        <w:rPr>
          <w:rFonts w:ascii="Times New Roman" w:hAnsi="Times New Roman" w:eastAsia="SimSun"/>
          <w:sz w:val="18"/>
        </w:rPr>
        <w:t>• 设计并开发公司AI驱动的PE组合监控平台，覆盖盈利分析、LP组合监控、现金流预测与承诺资本投放，LLM与RAG自动生成图表与结论、零幻觉。</w:t>
      </w:r>
    </w:p>
    <w:p>
      <w:pPr>
        <w:spacing w:before="80" w:after="20"/>
        <w:ind w:left="0"/>
        <w:pBdr>
          <w:bottom w:val="single" w:sz="6" w:space="1" w:color="000000"/>
        </w:pBdr>
      </w:pPr>
      <w:r>
        <w:rPr>
          <w:rFonts w:ascii="Times New Roman" w:hAnsi="Times New Roman" w:eastAsia="SimSun"/>
          <w:b/>
          <w:color w:val="000000"/>
          <w:sz w:val="20"/>
        </w:rPr>
        <w:t>教育背景</w:t>
      </w:r>
    </w:p>
    <w:p>
      <w:pPr>
        <w:tabs>
          <w:tab w:pos="10656" w:val="right"/>
        </w:tabs>
      </w:pPr>
      <w:r>
        <w:rPr>
          <w:rFonts w:ascii="Times New Roman" w:hAnsi="Times New Roman" w:eastAsia="SimSun"/>
          <w:b/>
          <w:sz w:val="18"/>
        </w:rPr>
        <w:t>莱斯大学（Rice University），休斯顿，德州</w:t>
      </w:r>
      <w:r>
        <w:rPr>
          <w:rFonts w:ascii="Times New Roman" w:hAnsi="Times New Roman" w:eastAsia="SimSun"/>
          <w:sz w:val="18"/>
        </w:rPr>
        <w:tab/>
        <w:t>2017年5月</w:t>
      </w:r>
    </w:p>
    <w:p>
      <w:pPr>
        <w:spacing w:before="0" w:after="0"/>
        <w:ind w:left="0"/>
      </w:pPr>
      <w:r>
        <w:rPr>
          <w:rFonts w:ascii="Times New Roman" w:hAnsi="Times New Roman" w:eastAsia="SimSun"/>
          <w:b/>
          <w:sz w:val="18"/>
        </w:rPr>
        <w:t>计算科学与工程硕士（大数据方向）</w:t>
      </w:r>
    </w:p>
    <w:p>
      <w:pPr>
        <w:tabs>
          <w:tab w:pos="10656" w:val="right"/>
        </w:tabs>
      </w:pPr>
      <w:r>
        <w:rPr>
          <w:rFonts w:ascii="Times New Roman" w:hAnsi="Times New Roman" w:eastAsia="SimSun"/>
          <w:b/>
          <w:sz w:val="18"/>
        </w:rPr>
        <w:t>俄亥俄州立大学（Ohio State University），哥伦布，俄亥俄州</w:t>
      </w:r>
      <w:r>
        <w:rPr>
          <w:rFonts w:ascii="Times New Roman" w:hAnsi="Times New Roman" w:eastAsia="SimSun"/>
          <w:sz w:val="18"/>
        </w:rPr>
        <w:tab/>
        <w:t>2014年12月</w:t>
      </w:r>
    </w:p>
    <w:p>
      <w:pPr>
        <w:spacing w:before="0" w:after="0"/>
        <w:ind w:left="0"/>
      </w:pPr>
      <w:r>
        <w:rPr>
          <w:rFonts w:ascii="Times New Roman" w:hAnsi="Times New Roman" w:eastAsia="SimSun"/>
          <w:b/>
          <w:sz w:val="18"/>
        </w:rPr>
        <w:t>理论数学学士，辅修经济学，Magna Cum Laude</w:t>
      </w:r>
    </w:p>
    <w:p>
      <w:pPr>
        <w:spacing w:before="80" w:after="20"/>
        <w:ind w:left="0"/>
        <w:pBdr>
          <w:bottom w:val="single" w:sz="6" w:space="1" w:color="000000"/>
        </w:pBdr>
      </w:pPr>
      <w:r>
        <w:rPr>
          <w:rFonts w:ascii="Times New Roman" w:hAnsi="Times New Roman" w:eastAsia="SimSun"/>
          <w:b/>
          <w:color w:val="000000"/>
          <w:sz w:val="20"/>
        </w:rPr>
        <w:t>计算机技能</w:t>
      </w:r>
    </w:p>
    <w:p>
      <w:pPr>
        <w:spacing w:after="20"/>
        <w:ind w:left="259"/>
      </w:pPr>
      <w:r>
        <w:rPr>
          <w:rFonts w:ascii="Times New Roman" w:hAnsi="Times New Roman" w:eastAsia="SimSun"/>
          <w:sz w:val="18"/>
        </w:rPr>
        <w:t>• 精通Python、SQL、R、MATLAB、Excel VBA、SAS等编程语言。</w:t>
      </w:r>
    </w:p>
    <w:p>
      <w:pPr>
        <w:spacing w:after="20"/>
        <w:ind w:left="259"/>
      </w:pPr>
      <w:r>
        <w:rPr>
          <w:rFonts w:ascii="Times New Roman" w:hAnsi="Times New Roman" w:eastAsia="SimSun"/>
          <w:sz w:val="18"/>
        </w:rPr>
        <w:t>• 精通LLM应用开发，包括检索增强生成（RAG）流水线、agent skills与AI分析系统；日常使用Snowflake构建数据模型与分析。</w:t>
      </w:r>
    </w:p>
    <w:p>
      <w:pPr>
        <w:spacing w:after="20"/>
        <w:ind w:left="259"/>
      </w:pPr>
      <w:r>
        <w:rPr>
          <w:rFonts w:ascii="Times New Roman" w:hAnsi="Times New Roman" w:eastAsia="SimSun"/>
          <w:sz w:val="18"/>
        </w:rPr>
        <w:t>• 精通Microsoft Office套件、FactSet、Power BI、关系数据库与Snowflake等生产工具。</w:t>
      </w:r>
    </w:p>
    <w:p>
      <w:pPr>
        <w:spacing w:before="80" w:after="20"/>
        <w:ind w:left="0"/>
        <w:pBdr>
          <w:bottom w:val="single" w:sz="6" w:space="1" w:color="000000"/>
        </w:pBdr>
      </w:pPr>
      <w:r>
        <w:rPr>
          <w:rFonts w:ascii="Times New Roman" w:hAnsi="Times New Roman" w:eastAsia="SimSun"/>
          <w:b/>
          <w:color w:val="000000"/>
          <w:sz w:val="20"/>
        </w:rPr>
        <w:t>成就与证书</w:t>
      </w:r>
    </w:p>
    <w:p>
      <w:pPr>
        <w:tabs>
          <w:tab w:pos="10656" w:val="right"/>
        </w:tabs>
      </w:pPr>
      <w:r>
        <w:rPr>
          <w:rFonts w:ascii="Times New Roman" w:hAnsi="Times New Roman" w:eastAsia="SimSun"/>
          <w:b/>
          <w:sz w:val="18"/>
        </w:rPr>
        <w:t>量化金融证书（CQF）</w:t>
      </w:r>
      <w:r>
        <w:rPr>
          <w:rFonts w:ascii="Times New Roman" w:hAnsi="Times New Roman" w:eastAsia="SimSun"/>
          <w:sz w:val="18"/>
        </w:rPr>
        <w:tab/>
        <w:t>2025年8月</w:t>
      </w:r>
    </w:p>
    <w:p>
      <w:pPr>
        <w:tabs>
          <w:tab w:pos="10656" w:val="right"/>
        </w:tabs>
      </w:pPr>
      <w:r>
        <w:rPr>
          <w:rFonts w:ascii="Times New Roman" w:hAnsi="Times New Roman" w:eastAsia="SimSun"/>
          <w:b/>
          <w:sz w:val="18"/>
        </w:rPr>
        <w:t>FRM一级与二级考试所有风险课程最高分</w:t>
      </w:r>
      <w:r>
        <w:rPr>
          <w:rFonts w:ascii="Times New Roman" w:hAnsi="Times New Roman" w:eastAsia="SimSun"/>
          <w:sz w:val="18"/>
        </w:rPr>
        <w:tab/>
        <w:t>2023年8月</w:t>
      </w:r>
    </w:p>
    <w:p>
      <w:pPr>
        <w:tabs>
          <w:tab w:pos="10656" w:val="right"/>
        </w:tabs>
      </w:pPr>
      <w:r>
        <w:rPr>
          <w:rFonts w:ascii="Times New Roman" w:hAnsi="Times New Roman" w:eastAsia="SimSun"/>
          <w:b/>
          <w:sz w:val="18"/>
        </w:rPr>
        <w:t>CFA ESG投资证书</w:t>
      </w:r>
      <w:r>
        <w:rPr>
          <w:rFonts w:ascii="Times New Roman" w:hAnsi="Times New Roman" w:eastAsia="SimSun"/>
          <w:sz w:val="18"/>
        </w:rPr>
        <w:tab/>
        <w:t>2022年1月</w:t>
      </w:r>
    </w:p>
    <w:p>
      <w:pPr>
        <w:tabs>
          <w:tab w:pos="10656" w:val="right"/>
        </w:tabs>
      </w:pPr>
      <w:r>
        <w:rPr>
          <w:rFonts w:ascii="Times New Roman" w:hAnsi="Times New Roman" w:eastAsia="SimSun"/>
          <w:b/>
          <w:sz w:val="18"/>
        </w:rPr>
        <w:t>CFA持证人（2019年以Top 5%通过全部三级考试）</w:t>
      </w:r>
      <w:r>
        <w:rPr>
          <w:rFonts w:ascii="Times New Roman" w:hAnsi="Times New Roman" w:eastAsia="SimSun"/>
          <w:sz w:val="18"/>
        </w:rPr>
        <w:tab/>
        <w:t>2020年8月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