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0"/>
        <w:jc w:val="center"/>
      </w:pPr>
      <w:r>
        <w:rPr>
          <w:rFonts w:ascii="Times New Roman" w:hAnsi="Times New Roman" w:eastAsia="SimSun"/>
          <w:b/>
          <w:sz w:val="28"/>
        </w:rPr>
        <w:t>王希昊（Xihao Wang）CFA · FRM · CQF</w:t>
      </w:r>
    </w:p>
    <w:p>
      <w:pPr>
        <w:spacing w:before="0" w:after="60"/>
        <w:ind w:left="0"/>
        <w:jc w:val="center"/>
      </w:pPr>
      <w:r>
        <w:rPr>
          <w:rFonts w:ascii="Times New Roman" w:hAnsi="Times New Roman" w:eastAsia="SimSun"/>
          <w:b w:val="0"/>
          <w:sz w:val="17"/>
        </w:rPr>
        <w:t>邮箱：wangxihao93@gmail.com   |   电话：706-3008681   |   LinkedIn: linkedin.com/in/xihao-wang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个人简介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MUFG Capital Analytics 副总监（Associate Director），量化分析师兼策略师。10年以上公开市场股权风险与私募市场经验；私募股权现金流预测与LLM驱动分析专家，构建AI盈利分析平台、全公司报表系统与业绩归因框架，将复杂金融数据转化为可辩护的决策。CFA、FRM、CQF持证人。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工作经历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MUFG Capital Analytics，达拉斯，德州</w:t>
      </w:r>
      <w:r>
        <w:rPr>
          <w:rFonts w:ascii="Times New Roman" w:hAnsi="Times New Roman" w:eastAsia="SimSun"/>
          <w:sz w:val="19"/>
        </w:rPr>
        <w:tab/>
        <w:t>2025年7月至今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9"/>
        </w:rPr>
        <w:t>副总监（Associate Director）— 量化分析师兼策略师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LLM盈利分析平台（$4,000B+私募基金NAV）：基于统一数据模型（Snowflake）设计开发AI驱动的公司级盈利与量化分析平台，服务净资产规模4,000B+美元的私募基金；对内支撑公司盈利分析与报表，对外为LP提供客户级组合监控、现金流预测与承诺资本投放分析。平台以LLM、RAG与agent skills为核心，客户以自然语言提问即可自动生成图表与分析结论，所有输出基于源数据、零幻觉。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全公司基金配置报表系统：供全公司基金会计师、基金控制人与总监使用的端到端系统，显著提升数据质量，消除手工输入错误，将一周的报表周期压缩至几分钟。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私募股权现金流预测与LP分析：构建覆盖组合监控、承诺资本投放与前瞻现金流预测的LP分析体系，并开发PE组合业绩贡献与归因分析。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9"/>
        </w:rPr>
        <w:t>• 主导另类资产组合的量化研究与策略工作，与前台利益相关方协作，将模型洞察转化为投资与风险决策。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The Beneficient Company Group，达拉斯，德州</w:t>
      </w:r>
      <w:r>
        <w:rPr>
          <w:rFonts w:ascii="Times New Roman" w:hAnsi="Times New Roman" w:eastAsia="SimSun"/>
          <w:sz w:val="19"/>
        </w:rPr>
        <w:tab/>
        <w:t>2021年12月–2025年7月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9"/>
        </w:rPr>
        <w:t>分析师/经理 — 组合构建与风险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设计、构建并主导私募资产现金流预测模型：以蒙特卡洛模拟为核心，每个参数独立建模（量化与机器学习方法）。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开发并改进覆盖全部私募资产的Python估值模型（ValueAlt），融入数据驱动量化研究以精化假设。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开发私募资产CECL计量方法。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实施Ben私募股权组合的数据驱动ESG评级框架与分析。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9"/>
        </w:rPr>
        <w:t>• 对Ben组合进行全面的季度仓位与风险分析，包括情景与压力测试。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Invesco Ltd.，休斯顿，德州及亚特兰大，佐治亚州</w:t>
      </w:r>
      <w:r>
        <w:rPr>
          <w:rFonts w:ascii="Times New Roman" w:hAnsi="Times New Roman" w:eastAsia="SimSun"/>
          <w:sz w:val="19"/>
        </w:rPr>
        <w:tab/>
        <w:t>2016年5月–2021年12月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9"/>
        </w:rPr>
        <w:t>组合风险分析师（股权风险实习生：2016年5月–2017年5月，分析师：2017年6月–2021年12月）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维护并增强股权风险团队季度报告（CIO报告与风险快照）。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开发数据驱动量化风险因子研究，协助高级分析师进行基金审查与风险监督。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为多个投资团队执行基金业绩/风险归因与量化风险分析。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开发量化止损策略（简单与集成）并回测Russell与MSCI指数，实现每日止损报告的完全自动化Python系统。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为Invesco Canada设计定制组合与风险包，并主导自动化项目。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9"/>
        </w:rPr>
        <w:t>• 使用R与Python设计编写统计分析；开展多机器学习算法量化研究（情景测试与市场聚类）；深入理解Barra、Northfield与Axioma风险模型。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项目 / 成果</w:t>
      </w:r>
    </w:p>
    <w:p>
      <w:r>
        <w:rPr>
          <w:rFonts w:ascii="Times New Roman" w:hAnsi="Times New Roman" w:eastAsia="SimSun"/>
          <w:b/>
          <w:sz w:val="19"/>
        </w:rPr>
        <w:t>交易定价模型开发与增强，Beneficient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9"/>
        </w:rPr>
        <w:t>• 将原有Excel模型迁移至Python并优化性能；利用数据供应商的私募基金数据重估模型假设；设计方法论无缝整合承销团队的发现。</w:t>
      </w:r>
    </w:p>
    <w:p>
      <w:r>
        <w:rPr>
          <w:rFonts w:ascii="Times New Roman" w:hAnsi="Times New Roman" w:eastAsia="SimSun"/>
          <w:b/>
          <w:sz w:val="19"/>
        </w:rPr>
        <w:t>PE组合监控平台，MUFG Capital Analytics</w:t>
      </w:r>
    </w:p>
    <w:p>
      <w:pPr>
        <w:spacing w:after="40"/>
        <w:ind w:left="259"/>
      </w:pPr>
      <w:r>
        <w:rPr>
          <w:rFonts w:ascii="Times New Roman" w:hAnsi="Times New Roman" w:eastAsia="SimSun"/>
          <w:sz w:val="19"/>
        </w:rPr>
        <w:t>• 设计并开发公司AI驱动的PE组合监控平台，覆盖盈利分析、LP组合监控、现金流预测与承诺资本投放，LLM与RAG自动生成图表与结论、零幻觉。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教育背景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莱斯大学（Rice University），休斯顿，德州</w:t>
      </w:r>
      <w:r>
        <w:rPr>
          <w:rFonts w:ascii="Times New Roman" w:hAnsi="Times New Roman" w:eastAsia="SimSun"/>
          <w:sz w:val="19"/>
        </w:rPr>
        <w:tab/>
        <w:t>2017年5月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9"/>
        </w:rPr>
        <w:t>计算科学与工程硕士（大数据方向）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俄亥俄州立大学（Ohio State University），哥伦布，俄亥俄州</w:t>
      </w:r>
      <w:r>
        <w:rPr>
          <w:rFonts w:ascii="Times New Roman" w:hAnsi="Times New Roman" w:eastAsia="SimSun"/>
          <w:sz w:val="19"/>
        </w:rPr>
        <w:tab/>
        <w:t>2014年12月</w:t>
      </w:r>
    </w:p>
    <w:p>
      <w:pPr>
        <w:spacing w:before="0" w:after="0"/>
        <w:ind w:left="0"/>
      </w:pPr>
      <w:r>
        <w:rPr>
          <w:rFonts w:ascii="Times New Roman" w:hAnsi="Times New Roman" w:eastAsia="SimSun"/>
          <w:b/>
          <w:sz w:val="19"/>
        </w:rPr>
        <w:t>理论数学学士，辅修经济学，Magna Cum Laude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计算机技能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精通Python、SQL、R、MATLAB、Excel VBA、SAS等编程语言。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精通LLM应用开发，包括检索增强生成（RAG）流水线、agent skills与AI分析系统。</w:t>
      </w:r>
    </w:p>
    <w:p>
      <w:pPr>
        <w:spacing w:after="20"/>
        <w:ind w:left="259"/>
      </w:pPr>
      <w:r>
        <w:rPr>
          <w:rFonts w:ascii="Times New Roman" w:hAnsi="Times New Roman" w:eastAsia="SimSun"/>
          <w:sz w:val="19"/>
        </w:rPr>
        <w:t>• 精通Microsoft Office套件、FactSet、Power BI、关系数据库与Snowflake等生产工具。</w:t>
      </w:r>
    </w:p>
    <w:p>
      <w:pPr>
        <w:spacing w:before="80" w:after="20"/>
        <w:ind w:left="0"/>
        <w:pBdr>
          <w:bottom w:val="single" w:sz="6" w:space="1" w:color="00479B"/>
        </w:pBdr>
      </w:pPr>
      <w:r>
        <w:rPr>
          <w:rFonts w:ascii="Times New Roman" w:hAnsi="Times New Roman" w:eastAsia="SimSun"/>
          <w:b/>
          <w:color w:val="00479B"/>
          <w:sz w:val="21"/>
        </w:rPr>
        <w:t>成就与证书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量化金融证书（CQF）</w:t>
      </w:r>
      <w:r>
        <w:rPr>
          <w:rFonts w:ascii="Times New Roman" w:hAnsi="Times New Roman" w:eastAsia="SimSun"/>
          <w:sz w:val="19"/>
        </w:rPr>
        <w:tab/>
        <w:t>2025年8月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FRM一级与二级考试所有风险课程最高分</w:t>
      </w:r>
      <w:r>
        <w:rPr>
          <w:rFonts w:ascii="Times New Roman" w:hAnsi="Times New Roman" w:eastAsia="SimSun"/>
          <w:sz w:val="19"/>
        </w:rPr>
        <w:tab/>
        <w:t>2023年8月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CFA ESG投资证书</w:t>
      </w:r>
      <w:r>
        <w:rPr>
          <w:rFonts w:ascii="Times New Roman" w:hAnsi="Times New Roman" w:eastAsia="SimSun"/>
          <w:sz w:val="19"/>
        </w:rPr>
        <w:tab/>
        <w:t>2022年1月</w:t>
      </w:r>
    </w:p>
    <w:p>
      <w:pPr>
        <w:tabs>
          <w:tab w:pos="10656" w:val="right"/>
        </w:tabs>
      </w:pPr>
      <w:r>
        <w:rPr>
          <w:rFonts w:ascii="Times New Roman" w:hAnsi="Times New Roman" w:eastAsia="SimSun"/>
          <w:b/>
          <w:sz w:val="19"/>
        </w:rPr>
        <w:t>CFA持证人（2019年以Top 5%通过全部三级考试）</w:t>
      </w:r>
      <w:r>
        <w:rPr>
          <w:rFonts w:ascii="Times New Roman" w:hAnsi="Times New Roman" w:eastAsia="SimSun"/>
          <w:sz w:val="19"/>
        </w:rPr>
        <w:tab/>
        <w:t>2020年8月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SimSu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