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314" w:after="314"/>
        <w:ind w:left="0" w:right="0" w:firstLine="482"/>
        <w:jc w:val="center"/>
      </w:pPr>
      <w:r>
        <w:rPr>
          <w:rFonts w:ascii="Times New Roman" w:hAnsi="Times New Roman" w:eastAsia="宋体"/>
          <w:b/>
          <w:sz w:val="24"/>
        </w:rPr>
        <w:t>一种基于证据风险表征与非对称三支决策的计算机学科主观题自动评分方法及系统</w:t>
      </w:r>
    </w:p>
    <w:p>
      <w:pPr>
        <w:keepNext/>
        <w:widowControl/>
        <w:spacing w:before="0" w:after="0" w:line="360" w:lineRule="auto"/>
        <w:ind w:left="0" w:right="0"/>
        <w:jc w:val="left"/>
      </w:pPr>
      <w:r>
        <w:rPr>
          <w:rFonts w:ascii="Times New Roman" w:hAnsi="Times New Roman" w:eastAsia="宋体"/>
          <w:b/>
          <w:sz w:val="24"/>
        </w:rPr>
        <w:t>技术领域</w:t>
      </w:r>
    </w:p>
    <w:p>
      <w:pPr>
        <w:pStyle w:val="BodyText"/>
        <w:widowControl/>
        <w:spacing w:before="0" w:after="0" w:line="360" w:lineRule="auto"/>
        <w:ind w:firstLine="480" w:left="0" w:right="0"/>
        <w:jc w:val="both"/>
      </w:pPr>
      <w:r>
        <w:rPr>
          <w:rFonts w:ascii="Times New Roman" w:hAnsi="Times New Roman" w:eastAsia="宋体"/>
          <w:sz w:val="24"/>
        </w:rPr>
        <w:t>本发明涉及自然语言处理、计算机视觉、智能教育评价和不确定性决策技术领域，尤其涉及一种基于逐评分项证据风险表征和非对称三支决策的计算机学科主观题自动评分方法、系统、电子设备及计算机可读存储介质。</w:t>
      </w:r>
    </w:p>
    <w:p>
      <w:pPr>
        <w:keepNext/>
        <w:widowControl/>
        <w:spacing w:before="0" w:after="0" w:line="360" w:lineRule="auto"/>
        <w:ind w:left="0" w:right="0"/>
        <w:jc w:val="left"/>
      </w:pPr>
      <w:r>
        <w:rPr>
          <w:rFonts w:ascii="Times New Roman" w:hAnsi="Times New Roman" w:eastAsia="宋体"/>
          <w:b/>
          <w:sz w:val="24"/>
        </w:rPr>
        <w:t>背景技术</w:t>
      </w:r>
    </w:p>
    <w:p>
      <w:pPr>
        <w:pStyle w:val="BodyText"/>
        <w:widowControl/>
        <w:spacing w:before="0" w:after="0" w:line="360" w:lineRule="auto"/>
        <w:ind w:firstLine="480" w:left="0" w:right="0"/>
        <w:jc w:val="both"/>
      </w:pPr>
      <w:r>
        <w:rPr>
          <w:rFonts w:ascii="Times New Roman" w:hAnsi="Times New Roman" w:eastAsia="宋体"/>
          <w:sz w:val="24"/>
        </w:rPr>
        <w:t>计算机学科主观题的答案形式具有明显异质性。同一道题中可能同时出现自然语言说明、程序代码、数学公式、数据结构、执行序列、状态转换、表格或手绘示意图。传统的关键词匹配方法难以判断等价表达、步骤依赖关系和局部正确性；直接使用生成式模型给出单一总分，又容易把证据缺失、识别错误或多次评分不一致隐含在最终分数中。</w:t>
      </w:r>
    </w:p>
    <w:p>
      <w:pPr>
        <w:pStyle w:val="BodyText"/>
        <w:widowControl/>
        <w:spacing w:before="0" w:after="0" w:line="360" w:lineRule="auto"/>
        <w:ind w:firstLine="480" w:left="0" w:right="0"/>
        <w:jc w:val="both"/>
      </w:pPr>
      <w:r>
        <w:rPr>
          <w:rFonts w:ascii="Times New Roman" w:hAnsi="Times New Roman" w:eastAsia="宋体"/>
          <w:sz w:val="24"/>
        </w:rPr>
        <w:t>现有自动评分方法通常采用统一置信度阈值，将样本简单划分为自动评分或人工处理两类。当阈值偏低时，证据不足或评分不稳定的答案可能被直接发布；当阈值偏高时，大量可可靠评分的答案被转入人工处理。该二支方式没有区分可直接接受、需要有限仲裁以及缺乏自动评分条件三种状态，也没有将证据质量、评分稳定性和评分项映射一致性转换为可解释的决策变量。</w:t>
      </w:r>
    </w:p>
    <w:p>
      <w:pPr>
        <w:pStyle w:val="BodyText"/>
        <w:widowControl/>
        <w:spacing w:before="0" w:after="0" w:line="360" w:lineRule="auto"/>
        <w:ind w:firstLine="480" w:left="0" w:right="0"/>
        <w:jc w:val="both"/>
      </w:pPr>
      <w:r>
        <w:rPr>
          <w:rFonts w:ascii="Times New Roman" w:hAnsi="Times New Roman" w:eastAsia="宋体"/>
          <w:sz w:val="24"/>
        </w:rPr>
        <w:t>此外，普通的多次评分通常仅对多个分数取平均，未利用各评分探针对逐评分项证据的引用情况和判定一致性。当多次评分的数值接近但共同依赖错误证据时，仅以分数方差作为可靠性依据仍可能产生错误自动接受。因此，需要一种以逐评分项证据为基础、联合刻画多类风险并采用非对称损失进行三支分流的自动评分技术方案。</w:t>
      </w:r>
    </w:p>
    <w:p>
      <w:pPr>
        <w:keepNext/>
        <w:widowControl/>
        <w:spacing w:before="0" w:after="0" w:line="360" w:lineRule="auto"/>
        <w:ind w:left="0" w:right="0"/>
        <w:jc w:val="left"/>
      </w:pPr>
      <w:r>
        <w:rPr>
          <w:rFonts w:ascii="Times New Roman" w:hAnsi="Times New Roman" w:eastAsia="宋体"/>
          <w:b/>
          <w:sz w:val="24"/>
        </w:rPr>
        <w:t>发明内容</w:t>
      </w:r>
    </w:p>
    <w:p>
      <w:pPr>
        <w:pStyle w:val="BodyText"/>
        <w:widowControl/>
        <w:spacing w:before="0" w:after="0" w:line="360" w:lineRule="auto"/>
        <w:ind w:firstLine="480" w:left="0" w:right="0"/>
        <w:jc w:val="both"/>
      </w:pPr>
      <w:r>
        <w:rPr>
          <w:rFonts w:ascii="Times New Roman" w:hAnsi="Times New Roman" w:eastAsia="宋体"/>
          <w:sz w:val="24"/>
        </w:rPr>
        <w:t>本发明要解决的技术问题是：在计算机学科主观题答案包含文本、公式、代码或图像等多种表达形式的情况下，如何建立评分项与学生答案证据之间的可验证对应关系，如何量化证据不足、评分不稳定和评分项映射冲突所形成的风险，以及如何依据错误自动给分和过度转人工处理的不同代价，对评分结果进行可解释的三支决策。</w:t>
      </w:r>
    </w:p>
    <w:p>
      <w:pPr>
        <w:pStyle w:val="BodyText"/>
        <w:widowControl/>
        <w:spacing w:before="0" w:after="0" w:line="360" w:lineRule="auto"/>
        <w:ind w:firstLine="480" w:left="0" w:right="0"/>
        <w:jc w:val="both"/>
      </w:pPr>
      <w:r>
        <w:rPr>
          <w:rFonts w:ascii="Times New Roman" w:hAnsi="Times New Roman" w:eastAsia="宋体"/>
          <w:sz w:val="24"/>
        </w:rPr>
        <w:t>为解决上述技术问题，本发明提供一种基于证据风险表征和非对称三支决策的计算机学科主观题自动评分方法，如图1所示，包括以下步骤：</w:t>
      </w:r>
    </w:p>
    <w:p>
      <w:pPr>
        <w:pStyle w:val="BodyText"/>
        <w:widowControl/>
        <w:spacing w:before="0" w:after="0" w:line="360" w:lineRule="auto"/>
        <w:ind w:firstLine="480" w:left="0" w:right="0"/>
        <w:jc w:val="both"/>
      </w:pPr>
      <w:r>
        <w:rPr>
          <w:rFonts w:ascii="Times New Roman" w:hAnsi="Times New Roman" w:eastAsia="宋体"/>
          <w:sz w:val="24"/>
        </w:rPr>
        <w:t>S1、接收待评分题目的题目内容、参考答案、结构化评分细则以及学生答案；所述学生答案包括答案文本和/或答题图像。</w:t>
      </w:r>
    </w:p>
    <w:p>
      <w:pPr>
        <w:pStyle w:val="BodyText"/>
        <w:widowControl/>
        <w:spacing w:before="0" w:after="0" w:line="360" w:lineRule="auto"/>
        <w:ind w:firstLine="480" w:left="0" w:right="0"/>
        <w:jc w:val="both"/>
      </w:pPr>
      <w:r>
        <w:rPr>
          <w:rFonts w:ascii="Times New Roman" w:hAnsi="Times New Roman" w:eastAsia="宋体"/>
          <w:sz w:val="24"/>
        </w:rPr>
        <w:t>S2、对学生答案执行答案规范化和答案类型识别；其中，答案规范化至少包括字符编码统一、空白和换行整理、公式符号统一、代码片段边界保持、列表或表格结构恢复以及答题图像的文字识别，答案类型包括说明型、计算型、证明型、程序型、表格型、序列型、图结构型和混合型中的至少一种。</w:t>
      </w:r>
    </w:p>
    <w:p>
      <w:pPr>
        <w:pStyle w:val="BodyText"/>
        <w:widowControl/>
        <w:spacing w:before="0" w:after="0" w:line="360" w:lineRule="auto"/>
        <w:ind w:firstLine="480" w:left="0" w:right="0"/>
        <w:jc w:val="both"/>
      </w:pPr>
      <w:r>
        <w:rPr>
          <w:rFonts w:ascii="Times New Roman" w:hAnsi="Times New Roman" w:eastAsia="宋体"/>
          <w:sz w:val="24"/>
        </w:rPr>
        <w:t>S3、将结构化评分细则表示为由多个评分项构成的评分契约，并针对每个评分项从学生答案中抽取学生事实，建立评分项、学生事实和原始答案位置之间的证据映射。</w:t>
      </w:r>
    </w:p>
    <w:p>
      <w:pPr>
        <w:pStyle w:val="BodyText"/>
        <w:widowControl/>
        <w:spacing w:before="0" w:after="0" w:line="360" w:lineRule="auto"/>
        <w:ind w:firstLine="480" w:left="0" w:right="0"/>
        <w:jc w:val="both"/>
      </w:pPr>
      <w:r>
        <w:rPr>
          <w:rFonts w:ascii="Times New Roman" w:hAnsi="Times New Roman" w:eastAsia="宋体"/>
          <w:sz w:val="24"/>
        </w:rPr>
        <w:t>S4、在相同评分契约和证据映射约束下执行K个相互独立的评分探针，获得探针分数及逐评分项判定，并由所述探针分数形成基线分。</w:t>
      </w:r>
    </w:p>
    <w:p>
      <w:pPr>
        <w:pStyle w:val="BodyText"/>
        <w:widowControl/>
        <w:spacing w:before="0" w:after="0" w:line="360" w:lineRule="auto"/>
        <w:ind w:firstLine="480" w:left="0" w:right="0"/>
        <w:jc w:val="both"/>
      </w:pPr>
      <w:r>
        <w:rPr>
          <w:rFonts w:ascii="Times New Roman" w:hAnsi="Times New Roman" w:eastAsia="宋体"/>
          <w:sz w:val="24"/>
        </w:rPr>
        <w:t>S5、根据证据映射质量、多个评分探针的分数离散程度以及逐评分项判定一致性，分别计算证据质量风险、评分稳定性风险和评分项映射风险，并将三类风险映射为安全自动评分隶属度。</w:t>
      </w:r>
    </w:p>
    <w:p>
      <w:pPr>
        <w:pStyle w:val="BodyText"/>
        <w:widowControl/>
        <w:spacing w:before="0" w:after="0" w:line="360" w:lineRule="auto"/>
        <w:ind w:firstLine="480" w:left="0" w:right="0"/>
        <w:jc w:val="both"/>
      </w:pPr>
      <w:r>
        <w:rPr>
          <w:rFonts w:ascii="Times New Roman" w:hAnsi="Times New Roman" w:eastAsia="宋体"/>
          <w:sz w:val="24"/>
        </w:rPr>
        <w:t>S6、根据错误自动给分、边界域处理和人工复核的非对称损失确定上阈值和下阈值；当安全自动评分隶属度不低于上阈值时进入正域POS并自动接受基线分，当安全自动评分隶属度位于上阈值与下阈值之间时进入边界域BND并执行受限仲裁，当安全自动评分隶属度不高于下阈值或满足硬拒判条件时进入负域NEG并请求人工复核。</w:t>
      </w:r>
    </w:p>
    <w:p>
      <w:pPr>
        <w:pStyle w:val="BodyText"/>
        <w:widowControl/>
        <w:spacing w:before="0" w:after="0" w:line="360" w:lineRule="auto"/>
        <w:ind w:firstLine="480" w:left="0" w:right="0"/>
        <w:jc w:val="both"/>
      </w:pPr>
      <w:r>
        <w:rPr>
          <w:rFonts w:ascii="Times New Roman" w:hAnsi="Times New Roman" w:eastAsia="宋体"/>
          <w:sz w:val="24"/>
        </w:rPr>
        <w:t>S7、输出评分结果、逐评分项判定和三支决策路由结果；当进入负域时，评分结果为人工复核请求而非自动发布的确定分值。</w:t>
      </w:r>
    </w:p>
    <w:p>
      <w:pPr>
        <w:pStyle w:val="BodyText"/>
        <w:widowControl/>
        <w:spacing w:before="0" w:after="0" w:line="360" w:lineRule="auto"/>
        <w:ind w:firstLine="480" w:left="0" w:right="0"/>
        <w:jc w:val="both"/>
      </w:pPr>
      <w:r>
        <w:rPr>
          <w:rFonts w:ascii="Times New Roman" w:hAnsi="Times New Roman" w:eastAsia="宋体"/>
          <w:sz w:val="24"/>
        </w:rPr>
        <w:t>与现有技术相比，本发明至少具有以下有益效果：第一，将总分判断分解为评分项级证据匹配，能够定位每一得分或失分结论所依据的学生答案片段；第二，联合使用证据质量风险、评分稳定性风险和评分项映射风险，避免仅凭单次模型分数或分数方差判断可靠性；第三，通过非对称损失确定双阈值，使自动接受、受限仲裁和人工复核三种动作与不同错误代价相对应；第四，在边界域中采用证据方向约束和幅度约束，防止仲裁结果在缺少结构化证据时任意增减分；第五，所述方法适用于包含自然语言、公式、程序代码、表格、序列和图像的计算机学科主观题。</w:t>
      </w:r>
    </w:p>
    <w:p>
      <w:pPr>
        <w:keepNext/>
        <w:widowControl/>
        <w:spacing w:before="0" w:after="0" w:line="360" w:lineRule="auto"/>
        <w:ind w:left="0" w:right="0"/>
        <w:jc w:val="left"/>
      </w:pPr>
      <w:r>
        <w:rPr>
          <w:rFonts w:ascii="Times New Roman" w:hAnsi="Times New Roman" w:eastAsia="宋体"/>
          <w:b/>
          <w:sz w:val="24"/>
        </w:rPr>
        <w:t>附图说明</w:t>
      </w:r>
    </w:p>
    <w:p>
      <w:pPr>
        <w:pStyle w:val="BodyText"/>
        <w:widowControl/>
        <w:spacing w:before="0" w:after="0" w:line="360" w:lineRule="auto"/>
        <w:ind w:firstLine="480" w:left="0" w:right="0"/>
        <w:jc w:val="both"/>
      </w:pPr>
      <w:r>
        <w:rPr>
          <w:rFonts w:ascii="Times New Roman" w:hAnsi="Times New Roman" w:eastAsia="宋体"/>
          <w:sz w:val="24"/>
        </w:rPr>
        <w:t>图1为本发明基于三支决策的计算机学科主观题自动评分总体流程图。</w:t>
      </w:r>
    </w:p>
    <w:p>
      <w:pPr>
        <w:pStyle w:val="BodyText"/>
        <w:widowControl/>
        <w:spacing w:before="0" w:after="0" w:line="360" w:lineRule="auto"/>
        <w:ind w:firstLine="480" w:left="0" w:right="0"/>
        <w:jc w:val="both"/>
      </w:pPr>
      <w:r>
        <w:rPr>
          <w:rFonts w:ascii="Times New Roman" w:hAnsi="Times New Roman" w:eastAsia="宋体"/>
          <w:sz w:val="24"/>
        </w:rPr>
        <w:t>图2为本发明多模态证据构建与多探针评分流程图。</w:t>
      </w:r>
    </w:p>
    <w:p>
      <w:pPr>
        <w:pStyle w:val="BodyText"/>
        <w:widowControl/>
        <w:spacing w:before="0" w:after="0" w:line="360" w:lineRule="auto"/>
        <w:ind w:firstLine="480" w:left="0" w:right="0"/>
        <w:jc w:val="both"/>
      </w:pPr>
      <w:r>
        <w:rPr>
          <w:rFonts w:ascii="Times New Roman" w:hAnsi="Times New Roman" w:eastAsia="宋体"/>
          <w:sz w:val="24"/>
        </w:rPr>
        <w:t>图3为本发明三类风险与安全自动评分隶属度计算示意图。</w:t>
      </w:r>
    </w:p>
    <w:p>
      <w:pPr>
        <w:pStyle w:val="BodyText"/>
        <w:widowControl/>
        <w:spacing w:before="0" w:after="0" w:line="360" w:lineRule="auto"/>
        <w:ind w:firstLine="480" w:left="0" w:right="0"/>
        <w:jc w:val="both"/>
      </w:pPr>
      <w:r>
        <w:rPr>
          <w:rFonts w:ascii="Times New Roman" w:hAnsi="Times New Roman" w:eastAsia="宋体"/>
          <w:sz w:val="24"/>
        </w:rPr>
        <w:t>图4为本发明基于非对称损失双阈值的三支决策分流示意图。</w:t>
      </w:r>
    </w:p>
    <w:p>
      <w:pPr>
        <w:pStyle w:val="BodyText"/>
        <w:widowControl/>
        <w:spacing w:before="0" w:after="0" w:line="360" w:lineRule="auto"/>
        <w:ind w:firstLine="480" w:left="0" w:right="0"/>
        <w:jc w:val="both"/>
      </w:pPr>
      <w:r>
        <w:rPr>
          <w:rFonts w:ascii="Times New Roman" w:hAnsi="Times New Roman" w:eastAsia="宋体"/>
          <w:sz w:val="24"/>
        </w:rPr>
        <w:t>图5为本发明边界域受限仲裁流程图。</w:t>
      </w:r>
    </w:p>
    <w:p>
      <w:pPr>
        <w:pStyle w:val="BodyText"/>
        <w:widowControl/>
        <w:spacing w:before="0" w:after="0" w:line="360" w:lineRule="auto"/>
        <w:ind w:firstLine="480" w:left="0" w:right="0"/>
        <w:jc w:val="both"/>
      </w:pPr>
      <w:r>
        <w:rPr>
          <w:rFonts w:ascii="Times New Roman" w:hAnsi="Times New Roman" w:eastAsia="宋体"/>
          <w:sz w:val="24"/>
        </w:rPr>
        <w:t>图6为本发明自动评分系统的功能模块组成示意图。</w:t>
      </w:r>
    </w:p>
    <w:p>
      <w:pPr>
        <w:keepNext/>
        <w:widowControl/>
        <w:spacing w:before="0" w:after="0" w:line="360" w:lineRule="auto"/>
        <w:ind w:left="0" w:right="0"/>
        <w:jc w:val="left"/>
      </w:pPr>
      <w:r>
        <w:rPr>
          <w:rFonts w:ascii="Times New Roman" w:hAnsi="Times New Roman" w:eastAsia="宋体"/>
          <w:b/>
          <w:sz w:val="24"/>
        </w:rPr>
        <w:t>具体实施方式</w:t>
      </w:r>
    </w:p>
    <w:p>
      <w:pPr>
        <w:pStyle w:val="BodyText"/>
        <w:widowControl/>
        <w:spacing w:before="0" w:after="0" w:line="360" w:lineRule="auto"/>
        <w:ind w:firstLine="480" w:left="0" w:right="0"/>
        <w:jc w:val="both"/>
      </w:pPr>
      <w:r>
        <w:rPr>
          <w:rFonts w:ascii="Times New Roman" w:hAnsi="Times New Roman" w:eastAsia="宋体"/>
          <w:sz w:val="24"/>
        </w:rPr>
        <w:t>下面结合附图和实施例对本发明作进一步说明。以下实施例用于说明本发明的技术构思和可实施方式，不用于限定本发明的保护范围。在不冲突的情况下，各实施例及其中的技术特征可以相互组合。</w:t>
      </w:r>
    </w:p>
    <w:p>
      <w:pPr>
        <w:pStyle w:val="BodyText"/>
        <w:widowControl/>
        <w:spacing w:before="0" w:after="0" w:line="360" w:lineRule="auto"/>
        <w:ind w:firstLine="480" w:left="0" w:right="0"/>
        <w:jc w:val="both"/>
      </w:pPr>
      <w:r>
        <w:rPr>
          <w:rFonts w:ascii="Times New Roman" w:hAnsi="Times New Roman" w:eastAsia="宋体"/>
          <w:sz w:val="24"/>
        </w:rPr>
        <w:t>实施例一：自动评分方法</w:t>
      </w:r>
    </w:p>
    <w:p>
      <w:pPr>
        <w:pStyle w:val="BodyText"/>
        <w:widowControl/>
        <w:spacing w:before="0" w:after="0" w:line="360" w:lineRule="auto"/>
        <w:ind w:firstLine="480" w:left="0" w:right="0"/>
        <w:jc w:val="both"/>
      </w:pPr>
      <w:r>
        <w:rPr>
          <w:rFonts w:ascii="Times New Roman" w:hAnsi="Times New Roman" w:eastAsia="宋体"/>
          <w:sz w:val="24"/>
        </w:rPr>
        <w:t>本实施例采用图1所示流程。系统在步骤S1中接收题目对象Q、参考答案Aref、结构化评分细则R和学生答案Astu。题目对象Q包括题干、题目图像和满分S；结构化评分细则R由n个评分项组成，第i个评分项记为ri，并具有分值pi，满足：</w:t>
      </w:r>
    </w:p>
    <w:p>
      <w:pPr>
        <w:pStyle w:val="BodyText"/>
        <w:widowControl/>
        <w:spacing w:before="0" w:after="0" w:line="360" w:lineRule="auto"/>
        <w:ind w:firstLine="480" w:left="0" w:right="0"/>
        <w:jc w:val="both"/>
      </w:pPr>
      <w:r>
        <w:rPr>
          <w:rFonts w:ascii="Cambria Math" w:hAnsi="Cambria Math" w:eastAsia="宋体"/>
          <w:sz w:val="24"/>
        </w:rPr>
        <w:t>S = Σ(i=1…n) p_i</w:t>
      </w:r>
    </w:p>
    <w:p>
      <w:pPr>
        <w:pStyle w:val="BodyText"/>
        <w:widowControl/>
        <w:spacing w:before="0" w:after="0" w:line="360" w:lineRule="auto"/>
        <w:ind w:firstLine="480" w:left="0" w:right="0"/>
        <w:jc w:val="both"/>
      </w:pPr>
      <w:r>
        <w:rPr>
          <w:rFonts w:ascii="Times New Roman" w:hAnsi="Times New Roman" w:eastAsia="宋体"/>
          <w:sz w:val="24"/>
        </w:rPr>
        <w:t>每个评分项ri至少包括评分项标识、判定目标、分值pi、允许的等价表达、必要条件、排除条件和与其他评分项的依赖关系。通过评分契约限制评分探针只能依据预先定义的评分项和学生答案证据给分，避免将表达流畅度、篇幅或与评分项无关的知识扩展误作得分依据。</w:t>
      </w:r>
    </w:p>
    <w:p>
      <w:pPr>
        <w:pStyle w:val="BodyText"/>
        <w:widowControl/>
        <w:spacing w:before="0" w:after="0" w:line="360" w:lineRule="auto"/>
        <w:ind w:firstLine="480" w:left="0" w:right="0"/>
        <w:jc w:val="both"/>
      </w:pPr>
      <w:r>
        <w:rPr>
          <w:rFonts w:ascii="Times New Roman" w:hAnsi="Times New Roman" w:eastAsia="宋体"/>
          <w:sz w:val="24"/>
        </w:rPr>
        <w:t>在步骤S2中，系统首先保留原始答案副本，再生成规范化答案。对于文本答案，统一字符编码、空白、换行、项目编号和常见同义符号；对于数学答案，统一乘号、等号、上下标和括号表示；对于程序答案，保留代码缩进、关键字、变量关系和控制结构；对于表格或序列答案，恢复行列、顺序和分隔关系；对于答题图像，先执行文字识别和版面分析，并保留识别文本与图像区域之间的位置映射。答案类型识别用于选择相应的事实抽取约束，但不直接决定得分。</w:t>
      </w:r>
    </w:p>
    <w:p>
      <w:pPr>
        <w:pStyle w:val="BodyText"/>
        <w:widowControl/>
        <w:spacing w:before="0" w:after="0" w:line="360" w:lineRule="auto"/>
        <w:ind w:firstLine="480" w:left="0" w:right="0"/>
        <w:jc w:val="both"/>
      </w:pPr>
      <w:r>
        <w:rPr>
          <w:rFonts w:ascii="Times New Roman" w:hAnsi="Times New Roman" w:eastAsia="宋体"/>
          <w:sz w:val="24"/>
        </w:rPr>
        <w:t>在步骤S3中，系统针对每个评分项ri抽取学生事实集合Fi。学生事实是能够由学生答案原文或图像区域直接支持的最小语义单元，例如概念陈述、公式项、推导步骤、程序语句、表格单元、状态转移或图结构关系。每个学生事实包含事实文本、来源位置、提取质量和是否存在否定或冲突表达。系统进一步建立证据映射Ei=(ri,Fi,qi)，其中qi∈[0,1]表示评分项ri对应证据的质量；当未找到支持证据时，Fi为空且qi取0。</w:t>
      </w:r>
    </w:p>
    <w:p>
      <w:pPr>
        <w:pStyle w:val="BodyText"/>
        <w:widowControl/>
        <w:spacing w:before="0" w:after="0" w:line="360" w:lineRule="auto"/>
        <w:ind w:firstLine="480" w:left="0" w:right="0"/>
        <w:jc w:val="both"/>
      </w:pPr>
      <w:r>
        <w:rPr>
          <w:rFonts w:ascii="Times New Roman" w:hAnsi="Times New Roman" w:eastAsia="宋体"/>
          <w:sz w:val="24"/>
        </w:rPr>
        <w:t>如图2所示，题目、参考答案、评分细则和学生答案共同输入逐评分项证据构建器。所述构建器不直接生成总分，而是先完成题型识别、答案规范化、事实抽取和评分项对齐，再将相同的评分契约和证据映射提供给多个独立评分探针。</w:t>
      </w:r>
    </w:p>
    <w:p>
      <w:pPr>
        <w:pStyle w:val="BodyText"/>
        <w:widowControl/>
        <w:spacing w:before="0" w:after="0" w:line="360" w:lineRule="auto"/>
        <w:ind w:firstLine="480" w:left="0" w:right="0"/>
        <w:jc w:val="both"/>
      </w:pPr>
      <w:r>
        <w:rPr>
          <w:rFonts w:ascii="Times New Roman" w:hAnsi="Times New Roman" w:eastAsia="宋体"/>
          <w:sz w:val="24"/>
        </w:rPr>
        <w:t>实施例二：多探针评分与基线分</w:t>
      </w:r>
    </w:p>
    <w:p>
      <w:pPr>
        <w:pStyle w:val="BodyText"/>
        <w:widowControl/>
        <w:spacing w:before="0" w:after="0" w:line="360" w:lineRule="auto"/>
        <w:ind w:firstLine="480" w:left="0" w:right="0"/>
        <w:jc w:val="both"/>
      </w:pPr>
      <w:r>
        <w:rPr>
          <w:rFonts w:ascii="Times New Roman" w:hAnsi="Times New Roman" w:eastAsia="宋体"/>
          <w:sz w:val="24"/>
        </w:rPr>
        <w:t>在步骤S4中，设置K个独立评分探针Pk，k=1，2，…，K。独立是指各探针分别完成推理并输出结构化结果，一个探针不能读取其他探针的分数或理由。每个探针输出总分sk、各评分项的给分值gik、判定状态aik以及引用的学生事实标识；其中0≤gik≤pi，aik用于表示支持、部分支持、不支持或存在冲突。</w:t>
      </w:r>
    </w:p>
    <w:p>
      <w:pPr>
        <w:pStyle w:val="BodyText"/>
        <w:widowControl/>
        <w:spacing w:before="0" w:after="0" w:line="360" w:lineRule="auto"/>
        <w:ind w:firstLine="480" w:left="0" w:right="0"/>
        <w:jc w:val="both"/>
      </w:pPr>
      <w:r>
        <w:rPr>
          <w:rFonts w:ascii="Times New Roman" w:hAnsi="Times New Roman" w:eastAsia="宋体"/>
          <w:sz w:val="24"/>
        </w:rPr>
        <w:t>在一种实施方式中，基线分s_base取K个有效探针分数的算术平均值：</w:t>
      </w:r>
    </w:p>
    <w:p>
      <w:pPr>
        <w:pStyle w:val="BodyText"/>
        <w:widowControl/>
        <w:spacing w:before="0" w:after="0" w:line="360" w:lineRule="auto"/>
        <w:ind w:firstLine="480" w:left="0" w:right="0"/>
        <w:jc w:val="both"/>
      </w:pPr>
      <w:r>
        <w:rPr>
          <w:rFonts w:ascii="Cambria Math" w:hAnsi="Cambria Math" w:eastAsia="宋体"/>
          <w:sz w:val="24"/>
        </w:rPr>
        <w:t>s_base = (1/K) Σ(k=1…K) s_k</w:t>
      </w:r>
    </w:p>
    <w:p>
      <w:pPr>
        <w:pStyle w:val="BodyText"/>
        <w:widowControl/>
        <w:spacing w:before="0" w:after="0" w:line="360" w:lineRule="auto"/>
        <w:ind w:firstLine="480" w:left="0" w:right="0"/>
        <w:jc w:val="both"/>
      </w:pPr>
      <w:r>
        <w:rPr>
          <w:rFonts w:ascii="Times New Roman" w:hAnsi="Times New Roman" w:eastAsia="宋体"/>
          <w:sz w:val="24"/>
        </w:rPr>
        <w:t>若某一探针输出无法解析、超出[0,S]或缺少逐评分项判定，则将其记为无效探针，不参与基线分计算；当有效探针数量低于预设最小值时，触发硬拒判条件并进入负域。基线分仅表示多个探针给出的初始评分中心，是否能够自动接受由后续风险表征和三支决策共同确定。</w:t>
      </w:r>
    </w:p>
    <w:p>
      <w:pPr>
        <w:pStyle w:val="BodyText"/>
        <w:widowControl/>
        <w:spacing w:before="0" w:after="0" w:line="360" w:lineRule="auto"/>
        <w:ind w:firstLine="480" w:left="0" w:right="0"/>
        <w:jc w:val="both"/>
      </w:pPr>
      <w:r>
        <w:rPr>
          <w:rFonts w:ascii="Times New Roman" w:hAnsi="Times New Roman" w:eastAsia="宋体"/>
          <w:sz w:val="24"/>
        </w:rPr>
        <w:t>实施例三：三类风险表征</w:t>
      </w:r>
    </w:p>
    <w:p>
      <w:pPr>
        <w:pStyle w:val="BodyText"/>
        <w:widowControl/>
        <w:spacing w:before="0" w:after="0" w:line="360" w:lineRule="auto"/>
        <w:ind w:firstLine="480" w:left="0" w:right="0"/>
        <w:jc w:val="both"/>
      </w:pPr>
      <w:r>
        <w:rPr>
          <w:rFonts w:ascii="Times New Roman" w:hAnsi="Times New Roman" w:eastAsia="宋体"/>
          <w:sz w:val="24"/>
        </w:rPr>
        <w:t>在步骤S5中，首先计算证据质量风险UE。令qi为评分项ri对应的证据质量，pi为该评分项分值，满分为S，则：</w:t>
      </w:r>
    </w:p>
    <w:p>
      <w:pPr>
        <w:pStyle w:val="BodyText"/>
        <w:widowControl/>
        <w:spacing w:before="0" w:after="0" w:line="360" w:lineRule="auto"/>
        <w:ind w:firstLine="480" w:left="0" w:right="0"/>
        <w:jc w:val="both"/>
      </w:pPr>
      <w:r>
        <w:rPr>
          <w:rFonts w:ascii="Cambria Math" w:hAnsi="Cambria Math" w:eastAsia="宋体"/>
          <w:sz w:val="24"/>
        </w:rPr>
        <w:t>U_E = 1 - [Σ(i=1…n) p_i q_i] / S</w:t>
      </w:r>
    </w:p>
    <w:p>
      <w:pPr>
        <w:pStyle w:val="BodyText"/>
        <w:widowControl/>
        <w:spacing w:before="0" w:after="0" w:line="360" w:lineRule="auto"/>
        <w:ind w:firstLine="480" w:left="0" w:right="0"/>
        <w:jc w:val="both"/>
      </w:pPr>
      <w:r>
        <w:rPr>
          <w:rFonts w:ascii="Times New Roman" w:hAnsi="Times New Roman" w:eastAsia="宋体"/>
          <w:sz w:val="24"/>
        </w:rPr>
        <w:t>证据质量qi可由文字识别置信度、答案结构完整度、事实是否具有明确来源位置以及事实与评分项的语义匹配度共同确定。证据越完整且可定位，UE越接近0；高分值评分项缺少证据时，其对UE的影响大于低分值评分项。</w:t>
      </w:r>
    </w:p>
    <w:p>
      <w:pPr>
        <w:pStyle w:val="BodyText"/>
        <w:widowControl/>
        <w:spacing w:before="0" w:after="0" w:line="360" w:lineRule="auto"/>
        <w:ind w:firstLine="480" w:left="0" w:right="0"/>
        <w:jc w:val="both"/>
      </w:pPr>
      <w:r>
        <w:rPr>
          <w:rFonts w:ascii="Times New Roman" w:hAnsi="Times New Roman" w:eastAsia="宋体"/>
          <w:sz w:val="24"/>
        </w:rPr>
        <w:t>其次计算评分稳定性风险US。令多个有效探针分数的极差为ds：</w:t>
      </w:r>
    </w:p>
    <w:p>
      <w:pPr>
        <w:pStyle w:val="BodyText"/>
        <w:widowControl/>
        <w:spacing w:before="0" w:after="0" w:line="360" w:lineRule="auto"/>
        <w:ind w:firstLine="480" w:left="0" w:right="0"/>
        <w:jc w:val="both"/>
      </w:pPr>
      <w:r>
        <w:rPr>
          <w:rFonts w:ascii="Cambria Math" w:hAnsi="Cambria Math" w:eastAsia="宋体"/>
          <w:sz w:val="24"/>
        </w:rPr>
        <w:t>d_s = max(k) s_k - min(k) s_k</w:t>
      </w:r>
    </w:p>
    <w:p>
      <w:pPr>
        <w:pStyle w:val="BodyText"/>
        <w:widowControl/>
        <w:spacing w:before="0" w:after="0" w:line="360" w:lineRule="auto"/>
        <w:ind w:firstLine="480" w:left="0" w:right="0"/>
        <w:jc w:val="both"/>
      </w:pPr>
      <w:r>
        <w:rPr>
          <w:rFonts w:ascii="Times New Roman" w:hAnsi="Times New Roman" w:eastAsia="宋体"/>
          <w:sz w:val="24"/>
        </w:rPr>
        <w:t>以γS作为允许的分数离散尺度，γ为大于0的尺度系数，则：</w:t>
      </w:r>
    </w:p>
    <w:p>
      <w:pPr>
        <w:pStyle w:val="BodyText"/>
        <w:widowControl/>
        <w:spacing w:before="0" w:after="0" w:line="360" w:lineRule="auto"/>
        <w:ind w:firstLine="480" w:left="0" w:right="0"/>
        <w:jc w:val="both"/>
      </w:pPr>
      <w:r>
        <w:rPr>
          <w:rFonts w:ascii="Cambria Math" w:hAnsi="Cambria Math" w:eastAsia="宋体"/>
          <w:sz w:val="24"/>
        </w:rPr>
        <w:t>U_S = min(1, d_s / (γS))</w:t>
      </w:r>
    </w:p>
    <w:p>
      <w:pPr>
        <w:pStyle w:val="BodyText"/>
        <w:widowControl/>
        <w:spacing w:before="0" w:after="0" w:line="360" w:lineRule="auto"/>
        <w:ind w:firstLine="480" w:left="0" w:right="0"/>
        <w:jc w:val="both"/>
      </w:pPr>
      <w:r>
        <w:rPr>
          <w:rFonts w:ascii="Times New Roman" w:hAnsi="Times New Roman" w:eastAsia="宋体"/>
          <w:sz w:val="24"/>
        </w:rPr>
        <w:t>US反映多个独立评分探针对同一证据集的评分稳定性。分数越集中，US越接近0；分数差异越大，US越接近1。除极差外，也可在不改变风险单调性的前提下采用标准差、四分位距或经满分归一化的其他离散度指标。</w:t>
      </w:r>
    </w:p>
    <w:p>
      <w:pPr>
        <w:pStyle w:val="BodyText"/>
        <w:widowControl/>
        <w:spacing w:before="0" w:after="0" w:line="360" w:lineRule="auto"/>
        <w:ind w:firstLine="480" w:left="0" w:right="0"/>
        <w:jc w:val="both"/>
      </w:pPr>
      <w:r>
        <w:rPr>
          <w:rFonts w:ascii="Times New Roman" w:hAnsi="Times New Roman" w:eastAsia="宋体"/>
          <w:sz w:val="24"/>
        </w:rPr>
        <w:t>再次计算评分项映射风险UR。令ai表示多个探针对评分项ri的判定一致度，ai∈[0,1]，则逐项共识风险为：</w:t>
      </w:r>
    </w:p>
    <w:p>
      <w:pPr>
        <w:pStyle w:val="BodyText"/>
        <w:widowControl/>
        <w:spacing w:before="0" w:after="0" w:line="360" w:lineRule="auto"/>
        <w:ind w:firstLine="480" w:left="0" w:right="0"/>
        <w:jc w:val="both"/>
      </w:pPr>
      <w:r>
        <w:rPr>
          <w:rFonts w:ascii="Cambria Math" w:hAnsi="Cambria Math" w:eastAsia="宋体"/>
          <w:sz w:val="24"/>
        </w:rPr>
        <w:t>U_R^cons = 1 - [Σ(i=1…n) p_i a_i] / S</w:t>
      </w:r>
    </w:p>
    <w:p>
      <w:pPr>
        <w:pStyle w:val="BodyText"/>
        <w:widowControl/>
        <w:spacing w:before="0" w:after="0" w:line="360" w:lineRule="auto"/>
        <w:ind w:firstLine="480" w:left="0" w:right="0"/>
        <w:jc w:val="both"/>
      </w:pPr>
      <w:r>
        <w:rPr>
          <w:rFonts w:ascii="Times New Roman" w:hAnsi="Times New Roman" w:eastAsia="宋体"/>
          <w:sz w:val="24"/>
        </w:rPr>
        <w:t>同时计算证据冲突风险：</w:t>
      </w:r>
    </w:p>
    <w:p>
      <w:pPr>
        <w:pStyle w:val="BodyText"/>
        <w:widowControl/>
        <w:spacing w:before="0" w:after="0" w:line="360" w:lineRule="auto"/>
        <w:ind w:firstLine="480" w:left="0" w:right="0"/>
        <w:jc w:val="both"/>
      </w:pPr>
      <w:r>
        <w:rPr>
          <w:rFonts w:ascii="Cambria Math" w:hAnsi="Cambria Math" w:eastAsia="宋体"/>
          <w:sz w:val="24"/>
        </w:rPr>
        <w:t>U_R^evid = max(r_unsupported, r_contradiction, I_anchor_fail)</w:t>
      </w:r>
    </w:p>
    <w:p>
      <w:pPr>
        <w:pStyle w:val="BodyText"/>
        <w:widowControl/>
        <w:spacing w:before="0" w:after="0" w:line="360" w:lineRule="auto"/>
        <w:ind w:firstLine="480" w:left="0" w:right="0"/>
        <w:jc w:val="both"/>
      </w:pPr>
      <w:r>
        <w:rPr>
          <w:rFonts w:ascii="Times New Roman" w:hAnsi="Times New Roman" w:eastAsia="宋体"/>
          <w:sz w:val="24"/>
        </w:rPr>
        <w:t>其中，r_unsupported表示探针给分但未引用可定位证据的分值比例，r_contradiction表示学生事实与评分项必要条件相冲突的分值比例，I_anchor_fail表示关键高分评分项的证据定位失败指示量。最终评分项映射风险为：</w:t>
      </w:r>
    </w:p>
    <w:p>
      <w:pPr>
        <w:pStyle w:val="BodyText"/>
        <w:widowControl/>
        <w:spacing w:before="0" w:after="0" w:line="360" w:lineRule="auto"/>
        <w:ind w:firstLine="480" w:left="0" w:right="0"/>
        <w:jc w:val="both"/>
      </w:pPr>
      <w:r>
        <w:rPr>
          <w:rFonts w:ascii="Cambria Math" w:hAnsi="Cambria Math" w:eastAsia="宋体"/>
          <w:sz w:val="24"/>
        </w:rPr>
        <w:t>U_R = max(U_R^cons, U_R^evid)</w:t>
      </w:r>
    </w:p>
    <w:p>
      <w:pPr>
        <w:pStyle w:val="BodyText"/>
        <w:widowControl/>
        <w:spacing w:before="0" w:after="0" w:line="360" w:lineRule="auto"/>
        <w:ind w:firstLine="480" w:left="0" w:right="0"/>
        <w:jc w:val="both"/>
      </w:pPr>
      <w:r>
        <w:rPr>
          <w:rFonts w:ascii="Times New Roman" w:hAnsi="Times New Roman" w:eastAsia="宋体"/>
          <w:sz w:val="24"/>
        </w:rPr>
        <w:t>采用最大值能够使逐项判定分歧或证据冲突中的任一高风险因素保留下来，避免不同风险之间相互抵消。上述UE、US和UR均归一化至[0,1]，数值越大表示越不适合自动发布确定分值。</w:t>
      </w:r>
    </w:p>
    <w:p>
      <w:pPr>
        <w:pStyle w:val="BodyText"/>
        <w:widowControl/>
        <w:spacing w:before="0" w:after="0" w:line="360" w:lineRule="auto"/>
        <w:ind w:firstLine="480" w:left="0" w:right="0"/>
        <w:jc w:val="both"/>
      </w:pPr>
      <w:r>
        <w:rPr>
          <w:rFonts w:ascii="Times New Roman" w:hAnsi="Times New Roman" w:eastAsia="宋体"/>
          <w:sz w:val="24"/>
        </w:rPr>
        <w:t>实施例四：安全自动评分隶属度与非对称三支决策</w:t>
      </w:r>
    </w:p>
    <w:p>
      <w:pPr>
        <w:pStyle w:val="BodyText"/>
        <w:widowControl/>
        <w:spacing w:before="0" w:after="0" w:line="360" w:lineRule="auto"/>
        <w:ind w:firstLine="480" w:left="0" w:right="0"/>
        <w:jc w:val="both"/>
      </w:pPr>
      <w:r>
        <w:rPr>
          <w:rFonts w:ascii="Times New Roman" w:hAnsi="Times New Roman" w:eastAsia="宋体"/>
          <w:sz w:val="24"/>
        </w:rPr>
        <w:t>如图3所示，将三类风险映射为安全自动评分隶属度μ。安全自动评分隶属度表示当前答案适合由系统自动发布评分结果的程度。采用单调逻辑映射时：</w:t>
      </w:r>
    </w:p>
    <w:p>
      <w:pPr>
        <w:pStyle w:val="BodyText"/>
        <w:widowControl/>
        <w:spacing w:before="0" w:after="0" w:line="360" w:lineRule="auto"/>
        <w:ind w:firstLine="480" w:left="0" w:right="0"/>
        <w:jc w:val="both"/>
      </w:pPr>
      <w:r>
        <w:rPr>
          <w:rFonts w:ascii="Cambria Math" w:hAnsi="Cambria Math" w:eastAsia="宋体"/>
          <w:sz w:val="24"/>
        </w:rPr>
        <w:t>μ = σ(b_0 - c_E U_E - c_S U_S - c_R U_R)</w:t>
      </w:r>
    </w:p>
    <w:p>
      <w:pPr>
        <w:pStyle w:val="BodyText"/>
        <w:widowControl/>
        <w:spacing w:before="0" w:after="0" w:line="360" w:lineRule="auto"/>
        <w:ind w:firstLine="480" w:left="0" w:right="0"/>
        <w:jc w:val="both"/>
      </w:pPr>
      <w:r>
        <w:rPr>
          <w:rFonts w:ascii="Cambria Math" w:hAnsi="Cambria Math" w:eastAsia="宋体"/>
          <w:sz w:val="24"/>
        </w:rPr>
        <w:t>σ(z) = 1 / (1 + e^(-z))</w:t>
      </w:r>
    </w:p>
    <w:p>
      <w:pPr>
        <w:pStyle w:val="BodyText"/>
        <w:widowControl/>
        <w:spacing w:before="0" w:after="0" w:line="360" w:lineRule="auto"/>
        <w:ind w:firstLine="480" w:left="0" w:right="0"/>
        <w:jc w:val="both"/>
      </w:pPr>
      <w:r>
        <w:rPr>
          <w:rFonts w:ascii="Times New Roman" w:hAnsi="Times New Roman" w:eastAsia="宋体"/>
          <w:sz w:val="24"/>
        </w:rPr>
        <w:t>其中，b0为截距，cE、cS、cR为非负系数。由于各风险项前的系数为非负数，任一风险增大都不会使μ增大，从而保证风险与自动评分适用程度之间的单调关系。</w:t>
      </w:r>
    </w:p>
    <w:p>
      <w:pPr>
        <w:pStyle w:val="BodyText"/>
        <w:widowControl/>
        <w:spacing w:before="0" w:after="0" w:line="360" w:lineRule="auto"/>
        <w:ind w:firstLine="480" w:left="0" w:right="0"/>
        <w:jc w:val="both"/>
      </w:pPr>
      <w:r>
        <w:rPr>
          <w:rFonts w:ascii="Times New Roman" w:hAnsi="Times New Roman" w:eastAsia="宋体"/>
          <w:sz w:val="24"/>
        </w:rPr>
        <w:t>如图4所示，本发明通过非对称损失构造正域、边界域和负域。令x表示安全自动评分隶属度，m为边界域参考点，且0&lt;m&lt;1；λ1表示错误自动接受的损失系数，λ2表示在高隶属度区域进入边界域的损失系数，μ1表示在低隶属度区域自动处理的损失系数，μ2表示在低隶属度区域进入边界域的损失系数，各系数均为正数。定义：</w:t>
      </w:r>
    </w:p>
    <w:p>
      <w:pPr>
        <w:pStyle w:val="BodyText"/>
        <w:widowControl/>
        <w:spacing w:before="0" w:after="0" w:line="360" w:lineRule="auto"/>
        <w:ind w:firstLine="480" w:left="0" w:right="0"/>
        <w:jc w:val="both"/>
      </w:pPr>
      <w:r>
        <w:rPr>
          <w:rFonts w:ascii="Cambria Math" w:hAnsi="Cambria Math" w:eastAsia="宋体"/>
          <w:sz w:val="24"/>
        </w:rPr>
        <w:t>L_POS(x) = λ_1(1-x)</w:t>
      </w:r>
    </w:p>
    <w:p>
      <w:pPr>
        <w:pStyle w:val="BodyText"/>
        <w:widowControl/>
        <w:spacing w:before="0" w:after="0" w:line="360" w:lineRule="auto"/>
        <w:ind w:firstLine="480" w:left="0" w:right="0"/>
        <w:jc w:val="both"/>
      </w:pPr>
      <w:r>
        <w:rPr>
          <w:rFonts w:ascii="Cambria Math" w:hAnsi="Cambria Math" w:eastAsia="宋体"/>
          <w:sz w:val="24"/>
        </w:rPr>
        <w:t>L_BND^+(x) = λ_2(x-m),  x ≥ m</w:t>
      </w:r>
    </w:p>
    <w:p>
      <w:pPr>
        <w:pStyle w:val="BodyText"/>
        <w:widowControl/>
        <w:spacing w:before="0" w:after="0" w:line="360" w:lineRule="auto"/>
        <w:ind w:firstLine="480" w:left="0" w:right="0"/>
        <w:jc w:val="both"/>
      </w:pPr>
      <w:r>
        <w:rPr>
          <w:rFonts w:ascii="Cambria Math" w:hAnsi="Cambria Math" w:eastAsia="宋体"/>
          <w:sz w:val="24"/>
        </w:rPr>
        <w:t>L_BND^-(x) = μ_2(m-x),  x &lt; m</w:t>
      </w:r>
    </w:p>
    <w:p>
      <w:pPr>
        <w:pStyle w:val="BodyText"/>
        <w:widowControl/>
        <w:spacing w:before="0" w:after="0" w:line="360" w:lineRule="auto"/>
        <w:ind w:firstLine="480" w:left="0" w:right="0"/>
        <w:jc w:val="both"/>
      </w:pPr>
      <w:r>
        <w:rPr>
          <w:rFonts w:ascii="Cambria Math" w:hAnsi="Cambria Math" w:eastAsia="宋体"/>
          <w:sz w:val="24"/>
        </w:rPr>
        <w:t>L_NEG(x) = μ_1 x</w:t>
      </w:r>
    </w:p>
    <w:p>
      <w:pPr>
        <w:pStyle w:val="BodyText"/>
        <w:widowControl/>
        <w:spacing w:before="0" w:after="0" w:line="360" w:lineRule="auto"/>
        <w:ind w:firstLine="480" w:left="0" w:right="0"/>
        <w:jc w:val="both"/>
      </w:pPr>
      <w:r>
        <w:rPr>
          <w:rFonts w:ascii="Times New Roman" w:hAnsi="Times New Roman" w:eastAsia="宋体"/>
          <w:sz w:val="24"/>
        </w:rPr>
        <w:t>通过令正域损失与高隶属度边界域损失相等、负域损失与低隶属度边界域损失相等，得到上阈值α和下阈值β：</w:t>
      </w:r>
    </w:p>
    <w:p>
      <w:pPr>
        <w:pStyle w:val="BodyText"/>
        <w:widowControl/>
        <w:spacing w:before="0" w:after="0" w:line="360" w:lineRule="auto"/>
        <w:ind w:firstLine="480" w:left="0" w:right="0"/>
        <w:jc w:val="both"/>
      </w:pPr>
      <w:r>
        <w:rPr>
          <w:rFonts w:ascii="Cambria Math" w:hAnsi="Cambria Math" w:eastAsia="宋体"/>
          <w:sz w:val="24"/>
        </w:rPr>
        <w:t>α = (λ_1 + λ_2 m) / (λ_1 + λ_2)</w:t>
      </w:r>
    </w:p>
    <w:p>
      <w:pPr>
        <w:pStyle w:val="BodyText"/>
        <w:widowControl/>
        <w:spacing w:before="0" w:after="0" w:line="360" w:lineRule="auto"/>
        <w:ind w:firstLine="480" w:left="0" w:right="0"/>
        <w:jc w:val="both"/>
      </w:pPr>
      <w:r>
        <w:rPr>
          <w:rFonts w:ascii="Cambria Math" w:hAnsi="Cambria Math" w:eastAsia="宋体"/>
          <w:sz w:val="24"/>
        </w:rPr>
        <w:t>β = μ_2 m / (μ_1 + μ_2)</w:t>
      </w:r>
    </w:p>
    <w:p>
      <w:pPr>
        <w:pStyle w:val="BodyText"/>
        <w:widowControl/>
        <w:spacing w:before="0" w:after="0" w:line="360" w:lineRule="auto"/>
        <w:ind w:firstLine="480" w:left="0" w:right="0"/>
        <w:jc w:val="both"/>
      </w:pPr>
      <w:r>
        <w:rPr>
          <w:rFonts w:ascii="Times New Roman" w:hAnsi="Times New Roman" w:eastAsia="宋体"/>
          <w:sz w:val="24"/>
        </w:rPr>
        <w:t>参数选择应满足0≤β&lt;α≤1。由于λ1、λ2、μ1和μ2可以分别表示不同动作的代价，上阈值和下阈值不必关于0.5对称，从而适应错误自动给分与人工复核成本不相同的评分场景。</w:t>
      </w:r>
    </w:p>
    <w:p>
      <w:pPr>
        <w:pStyle w:val="BodyText"/>
        <w:widowControl/>
        <w:spacing w:before="0" w:after="0" w:line="360" w:lineRule="auto"/>
        <w:ind w:firstLine="480" w:left="0" w:right="0"/>
        <w:jc w:val="both"/>
      </w:pPr>
      <w:r>
        <w:rPr>
          <w:rFonts w:ascii="Times New Roman" w:hAnsi="Times New Roman" w:eastAsia="宋体"/>
          <w:sz w:val="24"/>
        </w:rPr>
        <w:t>三支决策规则为：当μ≥α时，样本进入正域POS，系统自动接受基线分s_base；当β&lt;μ&lt;α时，样本进入边界域BND，系统执行受限仲裁；当μ≤β时，样本进入负域NEG，系统输出人工复核请求。若出现学生答案为空、关键输入缺失、有效探针数量不足、关键评分项无可用证据或解析结果越界等硬拒判条件，则不再依赖μ的大小，直接进入负域。</w:t>
      </w:r>
    </w:p>
    <w:p>
      <w:pPr>
        <w:pStyle w:val="BodyText"/>
        <w:widowControl/>
        <w:spacing w:before="0" w:after="0" w:line="360" w:lineRule="auto"/>
        <w:ind w:firstLine="480" w:left="0" w:right="0"/>
        <w:jc w:val="both"/>
      </w:pPr>
      <w:r>
        <w:rPr>
          <w:rFonts w:ascii="Times New Roman" w:hAnsi="Times New Roman" w:eastAsia="宋体"/>
          <w:sz w:val="24"/>
        </w:rPr>
        <w:t>实施例五：边界域受限仲裁</w:t>
      </w:r>
    </w:p>
    <w:p>
      <w:pPr>
        <w:pStyle w:val="BodyText"/>
        <w:widowControl/>
        <w:spacing w:before="0" w:after="0" w:line="360" w:lineRule="auto"/>
        <w:ind w:firstLine="480" w:left="0" w:right="0"/>
        <w:jc w:val="both"/>
      </w:pPr>
      <w:r>
        <w:rPr>
          <w:rFonts w:ascii="Times New Roman" w:hAnsi="Times New Roman" w:eastAsia="宋体"/>
          <w:sz w:val="24"/>
        </w:rPr>
        <w:t>边界域不是重新进行无约束评分，而是在基线分附近根据结构化证据执行方向和幅度均受限制的修正。如图5所示，仲裁器接收基线分s_base、候选分c、评分项级新增或冲突证据以及满分S。令M为具有新增支持证据但在基线逐项判定中未充分计分的分值总量，O为候选结果提出扣分且具有冲突证据支持的分值总量，则证据允许的修正方向和上限为：</w:t>
      </w:r>
    </w:p>
    <w:p>
      <w:pPr>
        <w:pStyle w:val="BodyText"/>
        <w:widowControl/>
        <w:spacing w:before="0" w:after="0" w:line="360" w:lineRule="auto"/>
        <w:ind w:firstLine="480" w:left="0" w:right="0"/>
        <w:jc w:val="both"/>
      </w:pPr>
      <w:r>
        <w:rPr>
          <w:rFonts w:ascii="Cambria Math" w:hAnsi="Cambria Math" w:eastAsia="宋体"/>
          <w:sz w:val="24"/>
        </w:rPr>
        <w:t>δ_evid = M - O</w:t>
      </w:r>
    </w:p>
    <w:p>
      <w:pPr>
        <w:pStyle w:val="BodyText"/>
        <w:widowControl/>
        <w:spacing w:before="0" w:after="0" w:line="360" w:lineRule="auto"/>
        <w:ind w:firstLine="480" w:left="0" w:right="0"/>
        <w:jc w:val="both"/>
      </w:pPr>
      <w:r>
        <w:rPr>
          <w:rFonts w:ascii="Times New Roman" w:hAnsi="Times New Roman" w:eastAsia="宋体"/>
          <w:sz w:val="24"/>
        </w:rPr>
        <w:t>候选分相对于基线分的建议修正量为：</w:t>
      </w:r>
    </w:p>
    <w:p>
      <w:pPr>
        <w:pStyle w:val="BodyText"/>
        <w:widowControl/>
        <w:spacing w:before="0" w:after="0" w:line="360" w:lineRule="auto"/>
        <w:ind w:firstLine="480" w:left="0" w:right="0"/>
        <w:jc w:val="both"/>
      </w:pPr>
      <w:r>
        <w:rPr>
          <w:rFonts w:ascii="Cambria Math" w:hAnsi="Cambria Math" w:eastAsia="宋体"/>
          <w:sz w:val="24"/>
        </w:rPr>
        <w:t>δ_prop = c - s_base</w:t>
      </w:r>
    </w:p>
    <w:p>
      <w:pPr>
        <w:pStyle w:val="BodyText"/>
        <w:widowControl/>
        <w:spacing w:before="0" w:after="0" w:line="360" w:lineRule="auto"/>
        <w:ind w:firstLine="480" w:left="0" w:right="0"/>
        <w:jc w:val="both"/>
      </w:pPr>
      <w:r>
        <w:rPr>
          <w:rFonts w:ascii="Times New Roman" w:hAnsi="Times New Roman" w:eastAsia="宋体"/>
          <w:sz w:val="24"/>
        </w:rPr>
        <w:t>设r∈(0,1]为单次仲裁允许修正的满分比例，仅当δprop与δevid方向一致时接受修正，并进行限幅：</w:t>
      </w:r>
    </w:p>
    <w:p>
      <w:pPr>
        <w:pStyle w:val="BodyText"/>
        <w:widowControl/>
        <w:spacing w:before="0" w:after="0" w:line="360" w:lineRule="auto"/>
        <w:ind w:firstLine="480" w:left="0" w:right="0"/>
        <w:jc w:val="both"/>
      </w:pPr>
      <w:r>
        <w:rPr>
          <w:rFonts w:ascii="Cambria Math" w:hAnsi="Cambria Math" w:eastAsia="宋体"/>
          <w:sz w:val="24"/>
        </w:rPr>
        <w:t>δ_acc = sign(δ_evid) · min(|δ_prop|, |δ_evid|, rS)</w:t>
      </w:r>
    </w:p>
    <w:p>
      <w:pPr>
        <w:pStyle w:val="BodyText"/>
        <w:widowControl/>
        <w:spacing w:before="0" w:after="0" w:line="360" w:lineRule="auto"/>
        <w:ind w:firstLine="480" w:left="0" w:right="0"/>
        <w:jc w:val="both"/>
      </w:pPr>
      <w:r>
        <w:rPr>
          <w:rFonts w:ascii="Cambria Math" w:hAnsi="Cambria Math" w:eastAsia="宋体"/>
          <w:sz w:val="24"/>
        </w:rPr>
        <w:t>f_BND = clip_[0,S](s_base + δ_acc)</w:t>
      </w:r>
    </w:p>
    <w:p>
      <w:pPr>
        <w:pStyle w:val="BodyText"/>
        <w:widowControl/>
        <w:spacing w:before="0" w:after="0" w:line="360" w:lineRule="auto"/>
        <w:ind w:firstLine="480" w:left="0" w:right="0"/>
        <w:jc w:val="both"/>
      </w:pPr>
      <w:r>
        <w:rPr>
          <w:rFonts w:ascii="Times New Roman" w:hAnsi="Times New Roman" w:eastAsia="宋体"/>
          <w:sz w:val="24"/>
        </w:rPr>
        <w:t>其中，clip[0,S]表示将分数限制在0至S范围内。若候选分缺少新增结构化证据、修正方向与证据方向相反、修正超过证据可支持的分值或超过rS，则保持基线分或输出人工复核请求。由此使边界域能够处理可解释的小幅偏差，而不允许仲裁器凭整体印象大幅改分。</w:t>
      </w:r>
    </w:p>
    <w:p>
      <w:pPr>
        <w:pStyle w:val="BodyText"/>
        <w:widowControl/>
        <w:spacing w:before="0" w:after="0" w:line="360" w:lineRule="auto"/>
        <w:ind w:firstLine="480" w:left="0" w:right="0"/>
        <w:jc w:val="both"/>
      </w:pPr>
      <w:r>
        <w:rPr>
          <w:rFonts w:ascii="Times New Roman" w:hAnsi="Times New Roman" w:eastAsia="宋体"/>
          <w:sz w:val="24"/>
        </w:rPr>
        <w:t>实施例六：计算机学科主观题数据集与适用场景</w:t>
      </w:r>
    </w:p>
    <w:p>
      <w:pPr>
        <w:pStyle w:val="BodyText"/>
        <w:widowControl/>
        <w:spacing w:before="0" w:after="0" w:line="360" w:lineRule="auto"/>
        <w:ind w:firstLine="480" w:left="0" w:right="0"/>
        <w:jc w:val="both"/>
      </w:pPr>
      <w:r>
        <w:rPr>
          <w:rFonts w:ascii="Times New Roman" w:hAnsi="Times New Roman" w:eastAsia="宋体"/>
          <w:sz w:val="24"/>
        </w:rPr>
        <w:t>为实现本发明，可建立计算机学科主观题数据集。每个题目记录至少包括题目标识、课程组、题目文本、题目图像、参考答案、满分、结构化评分细则和答案类型；每份学生答案记录至少包括答案标识、所属题目标识、答案文本和/或答题图像。数据集中的原始内容与由步骤S2、S3产生的规范化答案、学生事实和证据映射分开保存。</w:t>
      </w:r>
    </w:p>
    <w:p>
      <w:pPr>
        <w:pStyle w:val="BodyText"/>
        <w:widowControl/>
        <w:spacing w:before="0" w:after="0" w:line="360" w:lineRule="auto"/>
        <w:ind w:firstLine="480" w:left="0" w:right="0"/>
        <w:jc w:val="both"/>
      </w:pPr>
      <w:r>
        <w:rPr>
          <w:rFonts w:ascii="Times New Roman" w:hAnsi="Times New Roman" w:eastAsia="宋体"/>
          <w:sz w:val="24"/>
        </w:rPr>
        <w:t>在一个具体实施例中，数据集包括45道计算机学科主观题和3411份学生答案，覆盖CO、CPL、DM、ISC、ML、OS和POC七个课程组。其中，CO包括13题、1401份答案；CPL包括8题、465份答案；DM包括3题、267份答案；ISC包括9题、624份答案；ML包括4题、223份答案；OS包括2题、85份答案；POC包括6题、346份答案。上述数量用于说明本方法能够应用于多课程、多答案形式的计算机学科评分场景，不构成对数据规模或课程范围的限制。</w:t>
      </w:r>
    </w:p>
    <w:p>
      <w:pPr>
        <w:pStyle w:val="BodyText"/>
        <w:widowControl/>
        <w:spacing w:before="0" w:after="0" w:line="360" w:lineRule="auto"/>
        <w:ind w:firstLine="480" w:left="0" w:right="0"/>
        <w:jc w:val="both"/>
      </w:pPr>
      <w:r>
        <w:rPr>
          <w:rFonts w:ascii="Times New Roman" w:hAnsi="Times New Roman" w:eastAsia="宋体"/>
          <w:sz w:val="24"/>
        </w:rPr>
        <w:t>对于说明型答案，学生事实主要为概念、条件、因果关系和步骤；对于计算型答案，学生事实主要为已知量、公式、代入过程和结果；对于程序型答案，学生事实主要为语法结构、变量关系、控制流程和输出；对于图结构型答案，学生事实主要为节点、边、方向、标注和约束。不同答案类型使用不同的事实抽取模板，但统一输出评分项级证据映射，因此后续三类风险计算和三支决策规则保持一致。</w:t>
      </w:r>
    </w:p>
    <w:p>
      <w:pPr>
        <w:pStyle w:val="BodyText"/>
        <w:widowControl/>
        <w:spacing w:before="0" w:after="0" w:line="360" w:lineRule="auto"/>
        <w:ind w:firstLine="480" w:left="0" w:right="0"/>
        <w:jc w:val="both"/>
      </w:pPr>
      <w:r>
        <w:rPr>
          <w:rFonts w:ascii="Times New Roman" w:hAnsi="Times New Roman" w:eastAsia="宋体"/>
          <w:sz w:val="24"/>
        </w:rPr>
        <w:t>实施例七：自动评分系统、电子设备及存储介质</w:t>
      </w:r>
    </w:p>
    <w:p>
      <w:pPr>
        <w:pStyle w:val="BodyText"/>
        <w:widowControl/>
        <w:spacing w:before="0" w:after="0" w:line="360" w:lineRule="auto"/>
        <w:ind w:firstLine="480" w:left="0" w:right="0"/>
        <w:jc w:val="both"/>
      </w:pPr>
      <w:r>
        <w:rPr>
          <w:rFonts w:ascii="Times New Roman" w:hAnsi="Times New Roman" w:eastAsia="宋体"/>
          <w:sz w:val="24"/>
        </w:rPr>
        <w:t>如图6所示，本发明还提供一种基于三支决策的计算机学科主观题自动评分系统，包括数据接入模块、预处理与证据抽取模块、多探针评分模块、风险表征模块、三支决策模块、边界域受限仲裁模块和结果输出模块。</w:t>
      </w:r>
    </w:p>
    <w:p>
      <w:pPr>
        <w:pStyle w:val="BodyText"/>
        <w:widowControl/>
        <w:spacing w:before="0" w:after="0" w:line="360" w:lineRule="auto"/>
        <w:ind w:firstLine="480" w:left="0" w:right="0"/>
        <w:jc w:val="both"/>
      </w:pPr>
      <w:r>
        <w:rPr>
          <w:rFonts w:ascii="Times New Roman" w:hAnsi="Times New Roman" w:eastAsia="宋体"/>
          <w:sz w:val="24"/>
        </w:rPr>
        <w:t>数据接入模块用于接收题目、参考答案、结构化评分细则以及学生答案文本和/或答题图像；预处理与证据抽取模块用于执行答案规范化、答案类型识别、文字识别、学生事实抽取和逐评分项证据映射；多探针评分模块用于在相同评分契约下执行多个独立评分探针并形成基线分；风险表征模块用于计算UE、US、UR和安全自动评分隶属度μ；三支决策模块用于根据硬拒判条件及阈值α、β确定POS、BND或NEG；边界域受限仲裁模块用于执行结构化证据门控、修正方向校验和修正幅度限制；结果输出模块用于输出评分结果、逐评分项判定、路由结果以及人工复核请求。</w:t>
      </w:r>
    </w:p>
    <w:p>
      <w:pPr>
        <w:pStyle w:val="BodyText"/>
        <w:widowControl/>
        <w:spacing w:before="0" w:after="0" w:line="360" w:lineRule="auto"/>
        <w:ind w:firstLine="480" w:left="0" w:right="0"/>
        <w:jc w:val="both"/>
      </w:pPr>
      <w:r>
        <w:rPr>
          <w:rFonts w:ascii="Times New Roman" w:hAnsi="Times New Roman" w:eastAsia="宋体"/>
          <w:sz w:val="24"/>
        </w:rPr>
        <w:t>本发明还提供一种电子设备，包括处理器和存储器，存储器中存储有计算机程序，所述计算机程序被处理器执行时实现上述任一实施例所述的方法。本发明还提供一种计算机可读存储介质，其上存储有计算机程序，所述计算机程序被处理器执行时实现上述任一实施例所述的方法。</w:t>
      </w:r>
    </w:p>
    <w:p>
      <w:pPr>
        <w:pStyle w:val="BodyText"/>
        <w:widowControl/>
        <w:spacing w:before="0" w:after="0" w:line="360" w:lineRule="auto"/>
        <w:ind w:firstLine="480" w:left="0" w:right="0"/>
        <w:jc w:val="both"/>
      </w:pPr>
      <w:r>
        <w:rPr>
          <w:rFonts w:ascii="Times New Roman" w:hAnsi="Times New Roman" w:eastAsia="宋体"/>
          <w:sz w:val="24"/>
        </w:rPr>
        <w:t>以上所述仅为本发明的具体实施方式。对于本领域技术人员而言，在不脱离本发明技术构思的前提下，可对风险指标的具体计算方式、独立评分探针数量、答案类型集合或模块部署方式作出等同替换或变形；所述等同替换或变形均应落入本发明的保护范围。</w:t>
      </w:r>
    </w:p>
    <w:p>
      <w:pPr>
        <w:sectPr>
          <w:headerReference w:type="default" r:id="rId9"/>
          <w:footerReference w:type="default" r:id="rId10"/>
          <w:pgSz w:w="11906" w:h="16838"/>
          <w:pgMar w:top="1417" w:right="1417" w:bottom="1417" w:left="1417" w:header="850" w:footer="992" w:gutter="0"/>
          <w:cols w:space="720"/>
          <w:docGrid w:linePitch="360"/>
        </w:sectPr>
      </w:pPr>
    </w:p>
    <w:p>
      <w:pPr>
        <w:pStyle w:val="BodyText"/>
        <w:widowControl/>
        <w:spacing w:before="0" w:after="0" w:line="360" w:lineRule="auto"/>
        <w:ind w:firstLine="480" w:left="0" w:right="0"/>
        <w:jc w:val="both"/>
      </w:pPr>
      <w:r>
        <w:rPr>
          <w:rFonts w:ascii="Times New Roman" w:hAnsi="Times New Roman" w:eastAsia="宋体"/>
          <w:sz w:val="24"/>
        </w:rPr>
        <w:t>1. 一种基于证据风险表征和非对称三支决策的计算机学科主观题自动评分方法，其特征在于，包括：</w:t>
      </w:r>
    </w:p>
    <w:p>
      <w:pPr>
        <w:pStyle w:val="BodyText"/>
        <w:widowControl/>
        <w:spacing w:before="0" w:after="0" w:line="360" w:lineRule="auto"/>
        <w:ind w:firstLine="480" w:left="0" w:right="0"/>
        <w:jc w:val="both"/>
      </w:pPr>
      <w:r>
        <w:rPr>
          <w:rFonts w:ascii="Times New Roman" w:hAnsi="Times New Roman" w:eastAsia="宋体"/>
          <w:sz w:val="24"/>
        </w:rPr>
        <w:t>S1、接收题目内容、参考答案、结构化评分细则以及学生答案，所述学生答案包括答案文本和/或答题图像；</w:t>
      </w:r>
    </w:p>
    <w:p>
      <w:pPr>
        <w:pStyle w:val="BodyText"/>
        <w:widowControl/>
        <w:spacing w:before="0" w:after="0" w:line="360" w:lineRule="auto"/>
        <w:ind w:firstLine="480" w:left="0" w:right="0"/>
        <w:jc w:val="both"/>
      </w:pPr>
      <w:r>
        <w:rPr>
          <w:rFonts w:ascii="Times New Roman" w:hAnsi="Times New Roman" w:eastAsia="宋体"/>
          <w:sz w:val="24"/>
        </w:rPr>
        <w:t>S2、对所述学生答案执行答案规范化和答案类型识别；</w:t>
      </w:r>
    </w:p>
    <w:p>
      <w:pPr>
        <w:pStyle w:val="BodyText"/>
        <w:widowControl/>
        <w:spacing w:before="0" w:after="0" w:line="360" w:lineRule="auto"/>
        <w:ind w:firstLine="480" w:left="0" w:right="0"/>
        <w:jc w:val="both"/>
      </w:pPr>
      <w:r>
        <w:rPr>
          <w:rFonts w:ascii="Times New Roman" w:hAnsi="Times New Roman" w:eastAsia="宋体"/>
          <w:sz w:val="24"/>
        </w:rPr>
        <w:t>S3、将所述结构化评分细则表示为多个评分项，针对各评分项抽取学生事实并建立评分项、学生事实与原始答案位置之间的证据映射；</w:t>
      </w:r>
    </w:p>
    <w:p>
      <w:pPr>
        <w:pStyle w:val="BodyText"/>
        <w:widowControl/>
        <w:spacing w:before="0" w:after="0" w:line="360" w:lineRule="auto"/>
        <w:ind w:firstLine="480" w:left="0" w:right="0"/>
        <w:jc w:val="both"/>
      </w:pPr>
      <w:r>
        <w:rPr>
          <w:rFonts w:ascii="Times New Roman" w:hAnsi="Times New Roman" w:eastAsia="宋体"/>
          <w:sz w:val="24"/>
        </w:rPr>
        <w:t>S4、在相同评分项和证据映射约束下执行多个相互独立的评分探针，根据各评分探针输出的探针分数和逐评分项判定形成基线分；</w:t>
      </w:r>
    </w:p>
    <w:p>
      <w:pPr>
        <w:pStyle w:val="BodyText"/>
        <w:widowControl/>
        <w:spacing w:before="0" w:after="0" w:line="360" w:lineRule="auto"/>
        <w:ind w:firstLine="480" w:left="0" w:right="0"/>
        <w:jc w:val="both"/>
      </w:pPr>
      <w:r>
        <w:rPr>
          <w:rFonts w:ascii="Times New Roman" w:hAnsi="Times New Roman" w:eastAsia="宋体"/>
          <w:sz w:val="24"/>
        </w:rPr>
        <w:t>S5、根据所述证据映射、探针分数和逐评分项判定，计算证据质量风险、评分稳定性风险和评分项映射风险，并将所述风险映射为安全自动评分隶属度；</w:t>
      </w:r>
    </w:p>
    <w:p>
      <w:pPr>
        <w:pStyle w:val="BodyText"/>
        <w:widowControl/>
        <w:spacing w:before="0" w:after="0" w:line="360" w:lineRule="auto"/>
        <w:ind w:firstLine="480" w:left="0" w:right="0"/>
        <w:jc w:val="both"/>
      </w:pPr>
      <w:r>
        <w:rPr>
          <w:rFonts w:ascii="Times New Roman" w:hAnsi="Times New Roman" w:eastAsia="宋体"/>
          <w:sz w:val="24"/>
        </w:rPr>
        <w:t>S6、根据非对称损失确定上阈值和下阈值，当所述安全自动评分隶属度不低于所述上阈值时进入正域并自动接受所述基线分，当所述安全自动评分隶属度位于所述上阈值与所述下阈值之间时进入边界域并执行受限仲裁，当所述安全自动评分隶属度不高于所述下阈值或满足硬拒判条件时进入负域并请求人工复核；</w:t>
      </w:r>
    </w:p>
    <w:p>
      <w:pPr>
        <w:pStyle w:val="BodyText"/>
        <w:widowControl/>
        <w:spacing w:before="0" w:after="0" w:line="360" w:lineRule="auto"/>
        <w:ind w:firstLine="480" w:left="0" w:right="0"/>
        <w:jc w:val="both"/>
      </w:pPr>
      <w:r>
        <w:rPr>
          <w:rFonts w:ascii="Times New Roman" w:hAnsi="Times New Roman" w:eastAsia="宋体"/>
          <w:sz w:val="24"/>
        </w:rPr>
        <w:t>S7、输出评分结果、逐评分项判定和三支决策路由结果。</w:t>
      </w:r>
    </w:p>
    <w:p>
      <w:pPr>
        <w:pStyle w:val="BodyText"/>
        <w:widowControl/>
        <w:spacing w:before="0" w:after="0" w:line="360" w:lineRule="auto"/>
        <w:ind w:firstLine="480" w:left="0" w:right="0"/>
        <w:jc w:val="both"/>
      </w:pPr>
      <w:r>
        <w:rPr>
          <w:rFonts w:ascii="Times New Roman" w:hAnsi="Times New Roman" w:eastAsia="宋体"/>
          <w:sz w:val="24"/>
        </w:rPr>
        <w:t>2. 根据权利要求1所述的方法，其特征在于，所述答案规范化包括字符编码统一、空白和换行整理、公式符号统一、代码片段边界保持、列表或表格结构恢复以及答题图像文字识别中的至少一种；所述答案类型包括说明型、计算型、证明型、程序型、表格型、序列型、图结构型和混合型中的至少一种。</w:t>
      </w:r>
    </w:p>
    <w:p>
      <w:pPr>
        <w:pStyle w:val="BodyText"/>
        <w:widowControl/>
        <w:spacing w:before="0" w:after="0" w:line="360" w:lineRule="auto"/>
        <w:ind w:firstLine="480" w:left="0" w:right="0"/>
        <w:jc w:val="both"/>
      </w:pPr>
      <w:r>
        <w:rPr>
          <w:rFonts w:ascii="Times New Roman" w:hAnsi="Times New Roman" w:eastAsia="宋体"/>
          <w:sz w:val="24"/>
        </w:rPr>
        <w:t>3. 根据权利要求1所述的方法，其特征在于，第i个评分项至少包括评分项标识、判定目标、分值p_i、允许的等价表达、必要条件、排除条件和评分项依赖关系；所述学生事实包括事实文本、原始答案来源位置、提取质量以及否定或冲突标识；所述证据映射表示为E_i=(r_i,F_i,q_i)，其中r_i为第i个评分项，F_i为对应学生事实集合，q_i∈[0,1]为证据质量。</w:t>
      </w:r>
    </w:p>
    <w:p>
      <w:pPr>
        <w:pStyle w:val="BodyText"/>
        <w:widowControl/>
        <w:spacing w:before="0" w:after="0" w:line="360" w:lineRule="auto"/>
        <w:ind w:firstLine="480" w:left="0" w:right="0"/>
        <w:jc w:val="both"/>
      </w:pPr>
      <w:r>
        <w:rPr>
          <w:rFonts w:ascii="Times New Roman" w:hAnsi="Times New Roman" w:eastAsia="宋体"/>
          <w:sz w:val="24"/>
        </w:rPr>
        <w:t>4. 根据权利要求1所述的方法，其特征在于，第k个评分探针输出探针分数s_k、各评分项给分值、判定状态和引用的学生事实标识，且一个评分探针不能读取其他评分探针的分数或理由；基线分为s_base=(1/K)Σs_k，其中K为有效评分探针数量。</w:t>
      </w:r>
    </w:p>
    <w:p>
      <w:pPr>
        <w:pStyle w:val="BodyText"/>
        <w:widowControl/>
        <w:spacing w:before="0" w:after="0" w:line="360" w:lineRule="auto"/>
        <w:ind w:firstLine="480" w:left="0" w:right="0"/>
        <w:jc w:val="both"/>
      </w:pPr>
      <w:r>
        <w:rPr>
          <w:rFonts w:ascii="Times New Roman" w:hAnsi="Times New Roman" w:eastAsia="宋体"/>
          <w:sz w:val="24"/>
        </w:rPr>
        <w:t>5. 根据权利要求1所述的方法，其特征在于，满分S=Σp_i，证据质量风险U_E=1-[Σ(p_iq_i)]/S，其中p_i为第i个评分项的分值，q_i为第i个评分项的证据质量。</w:t>
      </w:r>
    </w:p>
    <w:p>
      <w:pPr>
        <w:pStyle w:val="BodyText"/>
        <w:widowControl/>
        <w:spacing w:before="0" w:after="0" w:line="360" w:lineRule="auto"/>
        <w:ind w:firstLine="480" w:left="0" w:right="0"/>
        <w:jc w:val="both"/>
      </w:pPr>
      <w:r>
        <w:rPr>
          <w:rFonts w:ascii="Times New Roman" w:hAnsi="Times New Roman" w:eastAsia="宋体"/>
          <w:sz w:val="24"/>
        </w:rPr>
        <w:t>6. 根据权利要求1所述的方法，其特征在于，令d_s=max(s_k)-min(s_k)，评分稳定性风险U_S=min(1,d_s/(γS))，其中γ为大于0的分数离散尺度系数。</w:t>
      </w:r>
    </w:p>
    <w:p>
      <w:pPr>
        <w:pStyle w:val="BodyText"/>
        <w:widowControl/>
        <w:spacing w:before="0" w:after="0" w:line="360" w:lineRule="auto"/>
        <w:ind w:firstLine="480" w:left="0" w:right="0"/>
        <w:jc w:val="both"/>
      </w:pPr>
      <w:r>
        <w:rPr>
          <w:rFonts w:ascii="Times New Roman" w:hAnsi="Times New Roman" w:eastAsia="宋体"/>
          <w:sz w:val="24"/>
        </w:rPr>
        <w:t>7. 根据权利要求1所述的方法，其特征在于，评分项映射风险U_R=max(U_R^cons,U_R^evid)；其中，U_R^cons=1-[Σ(p_ia_i)]/S，a_i∈[0,1]为多个评分探针对第i个评分项的判定一致度；U_R^evid=max(r_unsupported,r_contradiction,I_anchor_fail)，r_unsupported为给分但未引用可定位证据的分值比例，r_contradiction为学生事实与评分项必要条件相冲突的分值比例，I_anchor_fail为关键评分项证据定位失败指示量。</w:t>
      </w:r>
    </w:p>
    <w:p>
      <w:pPr>
        <w:pStyle w:val="BodyText"/>
        <w:widowControl/>
        <w:spacing w:before="0" w:after="0" w:line="360" w:lineRule="auto"/>
        <w:ind w:firstLine="480" w:left="0" w:right="0"/>
        <w:jc w:val="both"/>
      </w:pPr>
      <w:r>
        <w:rPr>
          <w:rFonts w:ascii="Times New Roman" w:hAnsi="Times New Roman" w:eastAsia="宋体"/>
          <w:sz w:val="24"/>
        </w:rPr>
        <w:t>8. 根据权利要求1所述的方法，其特征在于，所述安全自动评分隶属度μ=σ(b_0-c_EU_E-c_SU_S-c_RU_R)，σ(z)=1/(1+e^(-z))，其中b_0为截距，c_E、c_S、c_R为非负系数。</w:t>
      </w:r>
    </w:p>
    <w:p>
      <w:pPr>
        <w:pStyle w:val="BodyText"/>
        <w:widowControl/>
        <w:spacing w:before="0" w:after="0" w:line="360" w:lineRule="auto"/>
        <w:ind w:firstLine="480" w:left="0" w:right="0"/>
        <w:jc w:val="both"/>
      </w:pPr>
      <w:r>
        <w:rPr>
          <w:rFonts w:ascii="Times New Roman" w:hAnsi="Times New Roman" w:eastAsia="宋体"/>
          <w:sz w:val="24"/>
        </w:rPr>
        <w:t>9. 根据权利要求1所述的方法，其特征在于，设0&lt;m&lt;1，错误自动接受的损失为L_POS(x)=λ_1(1-x)，高隶属度边界域损失为L_BND^+(x)=λ_2(x-m)，低隶属度边界域损失为L_BND^-(x)=μ_2(m-x)，负域损失为L_NEG(x)=μ_1x；所述上阈值α=(λ_1+λ_2m)/(λ_1+λ_2)，所述下阈值β=μ_2m/(μ_1+μ_2)，并满足0≤β&lt;α≤1。</w:t>
      </w:r>
    </w:p>
    <w:p>
      <w:pPr>
        <w:pStyle w:val="BodyText"/>
        <w:widowControl/>
        <w:spacing w:before="0" w:after="0" w:line="360" w:lineRule="auto"/>
        <w:ind w:firstLine="480" w:left="0" w:right="0"/>
        <w:jc w:val="both"/>
      </w:pPr>
      <w:r>
        <w:rPr>
          <w:rFonts w:ascii="Times New Roman" w:hAnsi="Times New Roman" w:eastAsia="宋体"/>
          <w:sz w:val="24"/>
        </w:rPr>
        <w:t>10. 根据权利要求1所述的方法，其特征在于，所述硬拒判条件包括学生答案为空、关键输入缺失、有效评分探针数量低于预设最小值、关键评分项无可用证据和评分结果无法解析或超出[0,S]中的至少一种。</w:t>
      </w:r>
    </w:p>
    <w:p>
      <w:pPr>
        <w:pStyle w:val="BodyText"/>
        <w:widowControl/>
        <w:spacing w:before="0" w:after="0" w:line="360" w:lineRule="auto"/>
        <w:ind w:firstLine="480" w:left="0" w:right="0"/>
        <w:jc w:val="both"/>
      </w:pPr>
      <w:r>
        <w:rPr>
          <w:rFonts w:ascii="Times New Roman" w:hAnsi="Times New Roman" w:eastAsia="宋体"/>
          <w:sz w:val="24"/>
        </w:rPr>
        <w:t>11. 根据权利要求1所述的方法，其特征在于，边界域受限仲裁包括：计算证据允许修正量δ_evid=M-O以及候选修正量δ_prop=c-s_base；当δ_prop与δ_evid方向一致时，根据δ_acc=sign(δ_evid)·min(|δ_prop|,|δ_evid|,rS)确定接受修正量，并根据f_BND=clip_[0,S](s_base+δ_acc)获得边界域评分结果；其中，M为具有新增支持证据但未充分计分的分值总量，O为具有冲突证据支持的扣分分值总量，c为候选分，r为单次仲裁允许修正的满分比例。</w:t>
      </w:r>
    </w:p>
    <w:p>
      <w:pPr>
        <w:pStyle w:val="BodyText"/>
        <w:widowControl/>
        <w:spacing w:before="0" w:after="0" w:line="360" w:lineRule="auto"/>
        <w:ind w:firstLine="480" w:left="0" w:right="0"/>
        <w:jc w:val="both"/>
      </w:pPr>
      <w:r>
        <w:rPr>
          <w:rFonts w:ascii="Times New Roman" w:hAnsi="Times New Roman" w:eastAsia="宋体"/>
          <w:sz w:val="24"/>
        </w:rPr>
        <w:t>12. 一种基于证据风险表征和非对称三支决策的计算机学科主观题自动评分系统，其特征在于，包括：</w:t>
      </w:r>
    </w:p>
    <w:p>
      <w:pPr>
        <w:pStyle w:val="BodyText"/>
        <w:widowControl/>
        <w:spacing w:before="0" w:after="0" w:line="360" w:lineRule="auto"/>
        <w:ind w:firstLine="480" w:left="0" w:right="0"/>
        <w:jc w:val="both"/>
      </w:pPr>
      <w:r>
        <w:rPr>
          <w:rFonts w:ascii="Times New Roman" w:hAnsi="Times New Roman" w:eastAsia="宋体"/>
          <w:sz w:val="24"/>
        </w:rPr>
        <w:t>数据接入模块，用于接收题目、参考答案、结构化评分细则以及学生答案；</w:t>
      </w:r>
    </w:p>
    <w:p>
      <w:pPr>
        <w:pStyle w:val="BodyText"/>
        <w:widowControl/>
        <w:spacing w:before="0" w:after="0" w:line="360" w:lineRule="auto"/>
        <w:ind w:firstLine="480" w:left="0" w:right="0"/>
        <w:jc w:val="both"/>
      </w:pPr>
      <w:r>
        <w:rPr>
          <w:rFonts w:ascii="Times New Roman" w:hAnsi="Times New Roman" w:eastAsia="宋体"/>
          <w:sz w:val="24"/>
        </w:rPr>
        <w:t>预处理与证据抽取模块，用于执行答案规范化、答案类型识别、学生事实抽取和逐评分项证据映射；</w:t>
      </w:r>
    </w:p>
    <w:p>
      <w:pPr>
        <w:pStyle w:val="BodyText"/>
        <w:widowControl/>
        <w:spacing w:before="0" w:after="0" w:line="360" w:lineRule="auto"/>
        <w:ind w:firstLine="480" w:left="0" w:right="0"/>
        <w:jc w:val="both"/>
      </w:pPr>
      <w:r>
        <w:rPr>
          <w:rFonts w:ascii="Times New Roman" w:hAnsi="Times New Roman" w:eastAsia="宋体"/>
          <w:sz w:val="24"/>
        </w:rPr>
        <w:t>多探针评分模块，用于执行多个独立评分探针并形成基线分；</w:t>
      </w:r>
    </w:p>
    <w:p>
      <w:pPr>
        <w:pStyle w:val="BodyText"/>
        <w:widowControl/>
        <w:spacing w:before="0" w:after="0" w:line="360" w:lineRule="auto"/>
        <w:ind w:firstLine="480" w:left="0" w:right="0"/>
        <w:jc w:val="both"/>
      </w:pPr>
      <w:r>
        <w:rPr>
          <w:rFonts w:ascii="Times New Roman" w:hAnsi="Times New Roman" w:eastAsia="宋体"/>
          <w:sz w:val="24"/>
        </w:rPr>
        <w:t>风险表征模块，用于计算证据质量风险、评分稳定性风险、评分项映射风险和安全自动评分隶属度；</w:t>
      </w:r>
    </w:p>
    <w:p>
      <w:pPr>
        <w:pStyle w:val="BodyText"/>
        <w:widowControl/>
        <w:spacing w:before="0" w:after="0" w:line="360" w:lineRule="auto"/>
        <w:ind w:firstLine="480" w:left="0" w:right="0"/>
        <w:jc w:val="both"/>
      </w:pPr>
      <w:r>
        <w:rPr>
          <w:rFonts w:ascii="Times New Roman" w:hAnsi="Times New Roman" w:eastAsia="宋体"/>
          <w:sz w:val="24"/>
        </w:rPr>
        <w:t>三支决策模块，用于根据硬拒判条件及上阈值、下阈值确定正域、边界域或负域；</w:t>
      </w:r>
    </w:p>
    <w:p>
      <w:pPr>
        <w:pStyle w:val="BodyText"/>
        <w:widowControl/>
        <w:spacing w:before="0" w:after="0" w:line="360" w:lineRule="auto"/>
        <w:ind w:firstLine="480" w:left="0" w:right="0"/>
        <w:jc w:val="both"/>
      </w:pPr>
      <w:r>
        <w:rPr>
          <w:rFonts w:ascii="Times New Roman" w:hAnsi="Times New Roman" w:eastAsia="宋体"/>
          <w:sz w:val="24"/>
        </w:rPr>
        <w:t>边界域受限仲裁模块，用于对边界域样本执行证据方向约束和修正幅度约束；</w:t>
      </w:r>
    </w:p>
    <w:p>
      <w:pPr>
        <w:pStyle w:val="BodyText"/>
        <w:widowControl/>
        <w:spacing w:before="0" w:after="0" w:line="360" w:lineRule="auto"/>
        <w:ind w:firstLine="480" w:left="0" w:right="0"/>
        <w:jc w:val="both"/>
      </w:pPr>
      <w:r>
        <w:rPr>
          <w:rFonts w:ascii="Times New Roman" w:hAnsi="Times New Roman" w:eastAsia="宋体"/>
          <w:sz w:val="24"/>
        </w:rPr>
        <w:t>结果输出模块，用于输出评分结果、逐评分项判定、路由结果和人工复核请求。</w:t>
      </w:r>
    </w:p>
    <w:p>
      <w:pPr>
        <w:pStyle w:val="BodyText"/>
        <w:widowControl/>
        <w:spacing w:before="0" w:after="0" w:line="360" w:lineRule="auto"/>
        <w:ind w:firstLine="480" w:left="0" w:right="0"/>
        <w:jc w:val="both"/>
      </w:pPr>
      <w:r>
        <w:rPr>
          <w:rFonts w:ascii="Times New Roman" w:hAnsi="Times New Roman" w:eastAsia="宋体"/>
          <w:sz w:val="24"/>
        </w:rPr>
        <w:t>13. 一种电子设备，包括处理器和存储器，其特征在于，所述存储器中存储有计算机程序，所述计算机程序被所述处理器执行时，使所述处理器实现权利要求1至11中任一项所述的方法。</w:t>
      </w:r>
    </w:p>
    <w:p>
      <w:pPr>
        <w:pStyle w:val="BodyText"/>
        <w:widowControl/>
        <w:spacing w:before="0" w:after="0" w:line="360" w:lineRule="auto"/>
        <w:ind w:firstLine="480" w:left="0" w:right="0"/>
        <w:jc w:val="both"/>
      </w:pPr>
      <w:r>
        <w:rPr>
          <w:rFonts w:ascii="Times New Roman" w:hAnsi="Times New Roman" w:eastAsia="宋体"/>
          <w:sz w:val="24"/>
        </w:rPr>
        <w:t>14. 一种计算机可读存储介质，其上存储有计算机程序，其特征在于，所述计算机程序被处理器执行时，实现权利要求1至11中任一项所述的方法。</w:t>
      </w:r>
    </w:p>
    <w:p>
      <w:pPr>
        <w:sectPr>
          <w:headerReference w:type="default" r:id="rId11"/>
          <w:pgSz w:w="11906" w:h="16838"/>
          <w:pgMar w:top="1417" w:right="1417" w:bottom="1417" w:left="1417" w:header="850" w:footer="992" w:gutter="0"/>
          <w:cols w:space="720"/>
          <w:docGrid w:linePitch="360"/>
        </w:sectPr>
      </w:pPr>
    </w:p>
    <w:p>
      <w:pPr>
        <w:pStyle w:val="BodyText"/>
        <w:widowControl/>
        <w:spacing w:before="0" w:after="0" w:line="360" w:lineRule="auto"/>
        <w:ind w:firstLine="480" w:left="0" w:right="0"/>
        <w:jc w:val="both"/>
      </w:pPr>
      <w:r>
        <w:rPr>
          <w:rFonts w:ascii="Times New Roman" w:hAnsi="Times New Roman" w:eastAsia="宋体"/>
          <w:sz w:val="24"/>
        </w:rPr>
        <w:t>本发明公开一种基于证据风险表征与非对称三支决策的计算机学科主观题自动评分方法及系统。该方法对学生答案进行规范化和类型识别，依据结构化评分细则抽取逐评分项学生事实并建立可定位证据映射；通过多个独立评分探针形成基线分，计算证据质量风险、评分稳定性风险和评分项映射风险，并得到安全自动评分隶属度；根据非对称损失确定双阈值，将样本划分为自动接受的正域、执行证据约束仲裁的边界域以及请求人工复核的负域；边界域修正同时受证据方向、证据可支持分值和最大修正幅度约束。本发明能够对文本、公式、程序代码、表格、序列和图像形式的计算机学科主观题进行可解释的风险分流评分。</w:t>
      </w:r>
    </w:p>
    <w:p>
      <w:pPr>
        <w:sectPr>
          <w:headerReference w:type="default" r:id="rId12"/>
          <w:pgSz w:w="11906" w:h="16838"/>
          <w:pgMar w:top="1417" w:right="1417" w:bottom="1417" w:left="1417" w:header="850" w:footer="992" w:gutter="0"/>
          <w:cols w:space="720"/>
          <w:docGrid w:linePitch="360"/>
        </w:sectPr>
      </w:pPr>
    </w:p>
    <w:tbl>
      <w:tblPr>
        <w:tblW w:type="dxa" w:w="9071"/>
        <w:tblLayout w:type="fixed"/>
        <w:tblLook w:firstColumn="1" w:firstRow="1" w:lastColumn="0" w:lastRow="0" w:noHBand="0" w:noVBand="1" w:val="04A0"/>
      </w:tblPr>
      <w:tblGrid>
        <w:gridCol w:w="9071"/>
      </w:tblGrid>
      <w:tr>
        <w:trPr>
          <w:trHeight w:val="8504" w:hRule="exact"/>
        </w:trPr>
        <w:tc>
          <w:tcPr>
            <w:tcW w:type="dxa" w:w="9071"/>
            <w:vAlign w:val="center"/>
            <w:tcBorders>
              <w:top w:val="single" w:sz="8" w:color="808080"/>
              <w:left w:val="single" w:sz="8" w:color="808080"/>
              <w:bottom w:val="single" w:sz="8" w:color="808080"/>
              <w:right w:val="single" w:sz="8" w:color="808080"/>
            </w:tcBorders>
          </w:tcPr>
          <w:p>
            <w:pPr>
              <w:ind w:firstLine="0"/>
              <w:jc w:val="center"/>
            </w:pPr>
            <w:r>
              <w:rPr>
                <w:rFonts w:ascii="Times New Roman" w:hAnsi="Times New Roman" w:eastAsia="宋体"/>
                <w:color w:val="666666"/>
                <w:sz w:val="24"/>
              </w:rPr>
              <w:t>【附图插入位置：图1 基于三支决策的计算机学科主观题自动评分总体流程】</w:t>
            </w:r>
          </w:p>
        </w:tc>
      </w:tr>
    </w:tbl>
    <w:p>
      <w:pPr>
        <w:spacing w:before="0" w:after="0" w:line="360" w:lineRule="auto"/>
        <w:ind w:firstLine="0"/>
        <w:jc w:val="center"/>
      </w:pPr>
      <w:r>
        <w:rPr>
          <w:rFonts w:ascii="Times New Roman" w:hAnsi="Times New Roman" w:eastAsia="宋体"/>
          <w:sz w:val="24"/>
        </w:rPr>
        <w:t>图1</w:t>
      </w:r>
    </w:p>
    <w:p>
      <w:r>
        <w:br w:type="page"/>
      </w:r>
    </w:p>
    <w:tbl>
      <w:tblPr>
        <w:tblW w:type="dxa" w:w="9071"/>
        <w:tblLayout w:type="fixed"/>
        <w:tblLook w:firstColumn="1" w:firstRow="1" w:lastColumn="0" w:lastRow="0" w:noHBand="0" w:noVBand="1" w:val="04A0"/>
      </w:tblPr>
      <w:tblGrid>
        <w:gridCol w:w="9071"/>
      </w:tblGrid>
      <w:tr>
        <w:trPr>
          <w:trHeight w:val="8504" w:hRule="exact"/>
        </w:trPr>
        <w:tc>
          <w:tcPr>
            <w:tcW w:type="dxa" w:w="9071"/>
            <w:vAlign w:val="center"/>
            <w:tcBorders>
              <w:top w:val="single" w:sz="8" w:color="808080"/>
              <w:left w:val="single" w:sz="8" w:color="808080"/>
              <w:bottom w:val="single" w:sz="8" w:color="808080"/>
              <w:right w:val="single" w:sz="8" w:color="808080"/>
            </w:tcBorders>
          </w:tcPr>
          <w:p>
            <w:pPr>
              <w:ind w:firstLine="0"/>
              <w:jc w:val="center"/>
            </w:pPr>
            <w:r>
              <w:rPr>
                <w:rFonts w:ascii="Times New Roman" w:hAnsi="Times New Roman" w:eastAsia="宋体"/>
                <w:color w:val="666666"/>
                <w:sz w:val="24"/>
              </w:rPr>
              <w:t>【附图插入位置：图2 多模态证据构建与多探针评分流程】</w:t>
            </w:r>
          </w:p>
        </w:tc>
      </w:tr>
    </w:tbl>
    <w:p>
      <w:pPr>
        <w:spacing w:before="0" w:after="0" w:line="360" w:lineRule="auto"/>
        <w:ind w:firstLine="0"/>
        <w:jc w:val="center"/>
      </w:pPr>
      <w:r>
        <w:rPr>
          <w:rFonts w:ascii="Times New Roman" w:hAnsi="Times New Roman" w:eastAsia="宋体"/>
          <w:sz w:val="24"/>
        </w:rPr>
        <w:t>图2</w:t>
      </w:r>
    </w:p>
    <w:p>
      <w:r>
        <w:br w:type="page"/>
      </w:r>
    </w:p>
    <w:tbl>
      <w:tblPr>
        <w:tblW w:type="dxa" w:w="9071"/>
        <w:tblLayout w:type="fixed"/>
        <w:tblLook w:firstColumn="1" w:firstRow="1" w:lastColumn="0" w:lastRow="0" w:noHBand="0" w:noVBand="1" w:val="04A0"/>
      </w:tblPr>
      <w:tblGrid>
        <w:gridCol w:w="9071"/>
      </w:tblGrid>
      <w:tr>
        <w:trPr>
          <w:trHeight w:val="8504" w:hRule="exact"/>
        </w:trPr>
        <w:tc>
          <w:tcPr>
            <w:tcW w:type="dxa" w:w="9071"/>
            <w:vAlign w:val="center"/>
            <w:tcBorders>
              <w:top w:val="single" w:sz="8" w:color="808080"/>
              <w:left w:val="single" w:sz="8" w:color="808080"/>
              <w:bottom w:val="single" w:sz="8" w:color="808080"/>
              <w:right w:val="single" w:sz="8" w:color="808080"/>
            </w:tcBorders>
          </w:tcPr>
          <w:p>
            <w:pPr>
              <w:ind w:firstLine="0"/>
              <w:jc w:val="center"/>
            </w:pPr>
            <w:r>
              <w:rPr>
                <w:rFonts w:ascii="Times New Roman" w:hAnsi="Times New Roman" w:eastAsia="宋体"/>
                <w:color w:val="666666"/>
                <w:sz w:val="24"/>
              </w:rPr>
              <w:t>【附图插入位置：图3 三类风险与安全自动评分隶属度计算】</w:t>
            </w:r>
          </w:p>
        </w:tc>
      </w:tr>
    </w:tbl>
    <w:p>
      <w:pPr>
        <w:spacing w:before="0" w:after="0" w:line="360" w:lineRule="auto"/>
        <w:ind w:firstLine="0"/>
        <w:jc w:val="center"/>
      </w:pPr>
      <w:r>
        <w:rPr>
          <w:rFonts w:ascii="Times New Roman" w:hAnsi="Times New Roman" w:eastAsia="宋体"/>
          <w:sz w:val="24"/>
        </w:rPr>
        <w:t>图3</w:t>
      </w:r>
    </w:p>
    <w:p>
      <w:r>
        <w:br w:type="page"/>
      </w:r>
    </w:p>
    <w:tbl>
      <w:tblPr>
        <w:tblW w:type="dxa" w:w="9071"/>
        <w:tblLayout w:type="fixed"/>
        <w:tblLook w:firstColumn="1" w:firstRow="1" w:lastColumn="0" w:lastRow="0" w:noHBand="0" w:noVBand="1" w:val="04A0"/>
      </w:tblPr>
      <w:tblGrid>
        <w:gridCol w:w="9071"/>
      </w:tblGrid>
      <w:tr>
        <w:trPr>
          <w:trHeight w:val="8504" w:hRule="exact"/>
        </w:trPr>
        <w:tc>
          <w:tcPr>
            <w:tcW w:type="dxa" w:w="9071"/>
            <w:vAlign w:val="center"/>
            <w:tcBorders>
              <w:top w:val="single" w:sz="8" w:color="808080"/>
              <w:left w:val="single" w:sz="8" w:color="808080"/>
              <w:bottom w:val="single" w:sz="8" w:color="808080"/>
              <w:right w:val="single" w:sz="8" w:color="808080"/>
            </w:tcBorders>
          </w:tcPr>
          <w:p>
            <w:pPr>
              <w:ind w:firstLine="0"/>
              <w:jc w:val="center"/>
            </w:pPr>
            <w:r>
              <w:rPr>
                <w:rFonts w:ascii="Times New Roman" w:hAnsi="Times New Roman" w:eastAsia="宋体"/>
                <w:color w:val="666666"/>
                <w:sz w:val="24"/>
              </w:rPr>
              <w:t>【附图插入位置：图4 基于非对称损失双阈值的三支决策分流】</w:t>
            </w:r>
          </w:p>
        </w:tc>
      </w:tr>
    </w:tbl>
    <w:p>
      <w:pPr>
        <w:spacing w:before="0" w:after="0" w:line="360" w:lineRule="auto"/>
        <w:ind w:firstLine="0"/>
        <w:jc w:val="center"/>
      </w:pPr>
      <w:r>
        <w:rPr>
          <w:rFonts w:ascii="Times New Roman" w:hAnsi="Times New Roman" w:eastAsia="宋体"/>
          <w:sz w:val="24"/>
        </w:rPr>
        <w:t>图4</w:t>
      </w:r>
    </w:p>
    <w:p>
      <w:r>
        <w:br w:type="page"/>
      </w:r>
    </w:p>
    <w:tbl>
      <w:tblPr>
        <w:tblW w:type="dxa" w:w="9071"/>
        <w:tblLayout w:type="fixed"/>
        <w:tblLook w:firstColumn="1" w:firstRow="1" w:lastColumn="0" w:lastRow="0" w:noHBand="0" w:noVBand="1" w:val="04A0"/>
      </w:tblPr>
      <w:tblGrid>
        <w:gridCol w:w="9071"/>
      </w:tblGrid>
      <w:tr>
        <w:trPr>
          <w:trHeight w:val="8504" w:hRule="exact"/>
        </w:trPr>
        <w:tc>
          <w:tcPr>
            <w:tcW w:type="dxa" w:w="9071"/>
            <w:vAlign w:val="center"/>
            <w:tcBorders>
              <w:top w:val="single" w:sz="8" w:color="808080"/>
              <w:left w:val="single" w:sz="8" w:color="808080"/>
              <w:bottom w:val="single" w:sz="8" w:color="808080"/>
              <w:right w:val="single" w:sz="8" w:color="808080"/>
            </w:tcBorders>
          </w:tcPr>
          <w:p>
            <w:pPr>
              <w:ind w:firstLine="0"/>
              <w:jc w:val="center"/>
            </w:pPr>
            <w:r>
              <w:rPr>
                <w:rFonts w:ascii="Times New Roman" w:hAnsi="Times New Roman" w:eastAsia="宋体"/>
                <w:color w:val="666666"/>
                <w:sz w:val="24"/>
              </w:rPr>
              <w:t>【附图插入位置：图5 边界域样本的受限仲裁流程】</w:t>
            </w:r>
          </w:p>
        </w:tc>
      </w:tr>
    </w:tbl>
    <w:p>
      <w:pPr>
        <w:spacing w:before="0" w:after="0" w:line="360" w:lineRule="auto"/>
        <w:ind w:firstLine="0"/>
        <w:jc w:val="center"/>
      </w:pPr>
      <w:r>
        <w:rPr>
          <w:rFonts w:ascii="Times New Roman" w:hAnsi="Times New Roman" w:eastAsia="宋体"/>
          <w:sz w:val="24"/>
        </w:rPr>
        <w:t>图5</w:t>
      </w:r>
    </w:p>
    <w:p>
      <w:r>
        <w:br w:type="page"/>
      </w:r>
    </w:p>
    <w:tbl>
      <w:tblPr>
        <w:tblW w:type="dxa" w:w="9071"/>
        <w:tblLayout w:type="fixed"/>
        <w:tblLook w:firstColumn="1" w:firstRow="1" w:lastColumn="0" w:lastRow="0" w:noHBand="0" w:noVBand="1" w:val="04A0"/>
      </w:tblPr>
      <w:tblGrid>
        <w:gridCol w:w="9071"/>
      </w:tblGrid>
      <w:tr>
        <w:trPr>
          <w:trHeight w:val="8504" w:hRule="exact"/>
        </w:trPr>
        <w:tc>
          <w:tcPr>
            <w:tcW w:type="dxa" w:w="9071"/>
            <w:vAlign w:val="center"/>
            <w:tcBorders>
              <w:top w:val="single" w:sz="8" w:color="808080"/>
              <w:left w:val="single" w:sz="8" w:color="808080"/>
              <w:bottom w:val="single" w:sz="8" w:color="808080"/>
              <w:right w:val="single" w:sz="8" w:color="808080"/>
            </w:tcBorders>
          </w:tcPr>
          <w:p>
            <w:pPr>
              <w:ind w:firstLine="0"/>
              <w:jc w:val="center"/>
            </w:pPr>
            <w:r>
              <w:rPr>
                <w:rFonts w:ascii="Times New Roman" w:hAnsi="Times New Roman" w:eastAsia="宋体"/>
                <w:color w:val="666666"/>
                <w:sz w:val="24"/>
              </w:rPr>
              <w:t>【附图插入位置：图6 自动评分系统的功能模块组成】</w:t>
            </w:r>
          </w:p>
        </w:tc>
      </w:tr>
    </w:tbl>
    <w:p>
      <w:pPr>
        <w:spacing w:before="0" w:after="0" w:line="360" w:lineRule="auto"/>
        <w:ind w:firstLine="0"/>
        <w:jc w:val="center"/>
      </w:pPr>
      <w:r>
        <w:rPr>
          <w:rFonts w:ascii="Times New Roman" w:hAnsi="Times New Roman" w:eastAsia="宋体"/>
          <w:sz w:val="24"/>
        </w:rPr>
        <w:t>图6</w:t>
      </w:r>
    </w:p>
    <w:sectPr w:rsidR="00FC693F" w:rsidRPr="0006063C" w:rsidSect="00034616">
      <w:headerReference w:type="default" r:id="rId13"/>
      <w:pgSz w:w="11906" w:h="16838"/>
      <w:pgMar w:top="1417" w:right="1417" w:bottom="1417" w:left="141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黑体" w:hAnsi="黑体" w:eastAsia="黑体"/>
        <w:b/>
        <w:sz w:val="32"/>
      </w:rPr>
      <w:t xml:space="preserve">说 明 书 </w:t>
    </w:r>
  </w:p>
  <w:p>
    <w:pPr>
      <w:pStyle w:val="Header"/>
      <w:jc w:val="lef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黑体" w:hAnsi="黑体" w:eastAsia="黑体"/>
        <w:b/>
        <w:sz w:val="32"/>
      </w:rPr>
      <w:t>权 利 要 求 书</w:t>
    </w:r>
  </w:p>
  <w:p>
    <w:pPr>
      <w:pStyle w:val="Header"/>
      <w:jc w:val="lef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黑体" w:hAnsi="黑体" w:eastAsia="黑体"/>
        <w:b/>
        <w:sz w:val="32"/>
      </w:rPr>
      <w:t>说 明 书 摘 要</w:t>
    </w:r>
  </w:p>
  <w:p>
    <w:pPr>
      <w:pStyle w:val="Header"/>
      <w:jc w:val="left"/>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黑体" w:hAnsi="黑体" w:eastAsia="黑体"/>
        <w:b/>
        <w:sz w:val="32"/>
      </w:rPr>
      <w:t>说 明 书 附 图</w:t>
    </w:r>
  </w:p>
  <w:p>
    <w:pPr>
      <w:pStyle w:val="Header"/>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before="0"/>
      <w:jc w:val="center"/>
    </w:pPr>
    <w:rPr>
      <w:rFonts w:ascii="黑体" w:hAnsi="黑体" w:eastAsia="黑体"/>
      <w:b/>
      <w:sz w:val="3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360" w:lineRule="auto"/>
      <w:jc w:val="both"/>
    </w:pPr>
    <w:rPr>
      <w:rFonts w:ascii="Times New Roman" w:hAnsi="Times New Roman" w:eastAsia="宋体"/>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一种基于证据风险表征与非对称三支决策的计算机学科主观题自动评分方法及系统</dc:title>
  <dc:subject>发明专利申请文件</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