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1B24D68">
      <w:pPr>
        <w:pStyle w:val="00001d"/>
      </w:pPr>
      <w:r>
        <w:rPr>
          <w:rFonts w:hint="eastAsia"/>
          <w:sz w:val="36"/>
        </w:rPr>
        <w:t>基于物理+AI 智慧水务 · 项目计划书（完善版）</w:t>
      </w:r>
    </w:p>
    <w:p w14:paraId="06965398">
      <w:pPr>
        <w:jc w:val="center"/>
      </w:pPr>
      <w:r>
        <w:rPr>
          <w:rFonts w:hint="eastAsia"/>
          <w:i w:val="1"/>
          <w:sz w:val="22"/>
        </w:rPr>
        <w:t>含：可行性分析 · 暂行口径自定 · 9人每周分工 · 队长行动步骤 · 置办清单</w:t>
      </w:r>
    </w:p>
    <w:p w14:paraId="784926E6">
      <w:pPr>
        <w:jc w:val="center"/>
      </w:pPr>
      <w:r>
        <w:rPr>
          <w:rFonts w:hint="eastAsia"/>
          <w:sz w:val="18"/>
        </w:rPr>
        <w:t>命题：腾讯“基于物理+AI 的智慧水务多参数水质监测与污染智能预警系统”  |  队长：王欣  |  团队：9人  |  编制：2026-09-18（完善版）</w:t>
      </w:r>
    </w:p>
    <w:p w14:paraId="69AE4572">
      <w:pPr>
        <w:pStyle w:val="000008"/>
      </w:pPr>
      <w:r>
        <w:rPr>
          <w:rFonts w:hint="eastAsia"/>
        </w:rPr>
        <w:t>0. 文档说明</w:t>
      </w:r>
    </w:p>
    <w:p w14:paraId="1B2C83DF">
      <w:r>
        <w:rPr>
          <w:rFonts w:hint="eastAsia"/>
          <w:b w:val="0"/>
        </w:rPr>
        <w:t>本计划书在原有《水务队_9人分工与开发计划(2).docx》基础上完善，新增三块内容：</w:t>
      </w:r>
    </w:p>
    <w:p w14:paraId="00EDC91C">
      <w:pPr>
        <w:pStyle w:val="00002c"/>
      </w:pPr>
      <w:r>
        <w:rPr>
          <w:rFonts w:hint="eastAsia"/>
        </w:rPr>
        <w:t>可行性分析（基于当前“暂无指导老师”的真实条件，给出务实策略）；</w:t>
      </w:r>
    </w:p>
    <w:p w14:paraId="535C8AE4">
      <w:pPr>
        <w:pStyle w:val="00002c"/>
      </w:pPr>
      <w:r>
        <w:rPr>
          <w:rFonts w:hint="eastAsia"/>
        </w:rPr>
        <w:t>7项硬指标的“暂行口径自定表”——因暂无指导老师确认口径，本队先按可操作、可辩护的原则自定内部口径，标注为“待官方/命题方确认”，后续一旦找到老师立即对齐；</w:t>
      </w:r>
    </w:p>
    <w:p w14:paraId="7C87EA8B">
      <w:pPr>
        <w:pStyle w:val="00002c"/>
      </w:pPr>
      <w:r>
        <w:rPr>
          <w:rFonts w:hint="eastAsia"/>
        </w:rPr>
        <w:t>队长（王欣）逐周行动步骤 + 置办工具/零件分级清单与预算。</w:t>
      </w:r>
    </w:p>
    <w:p w14:paraId="6B01E09D">
      <w:r>
        <w:rPr>
          <w:rFonts w:hint="eastAsia"/>
          <w:b w:val="1"/>
        </w:rPr>
        <w:t>说明：所有数值（功耗预算、参数项、工期）均为规划目标，实测后写入结果；未达标项一律标“待验证”，不得将阶段成果写成全部达标。</w:t>
      </w:r>
    </w:p>
    <w:p w14:paraId="7C9795AD">
      <w:pPr>
        <w:pStyle w:val="000008"/>
      </w:pPr>
      <w:r>
        <w:rPr>
          <w:rFonts w:hint="eastAsia"/>
        </w:rPr>
        <w:t>1. 项目可行性分析（基于当前实际：暂无指导老师）</w:t>
      </w:r>
    </w:p>
    <w:p w14:paraId="17794877">
      <w:pPr>
        <w:pStyle w:val="00000a"/>
      </w:pPr>
      <w:r>
        <w:rPr>
          <w:rFonts w:hint="eastAsia"/>
        </w:rPr>
        <w:t>1.1 命题硬性门槛速览（7项，必须满足）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567" w:type="dxa"/>
          </w:tcPr>
          <w:p w14:paraId="70123A49">
            <w:r>
              <w:rPr>
                <w:b w:val="1"/>
                <w:sz w:val="19"/>
              </w:rPr>
              <w:t>#</w:t>
            </w:r>
          </w:p>
        </w:tc>
        <w:tc>
          <w:tcPr>
            <w:tcW w:w="2041" w:type="dxa"/>
          </w:tcPr>
          <w:p w14:paraId="274B03C2">
            <w:r>
              <w:rPr>
                <w:rFonts w:hint="eastAsia"/>
                <w:b w:val="1"/>
                <w:sz w:val="19"/>
              </w:rPr>
              <w:t>硬性指标</w:t>
            </w:r>
          </w:p>
        </w:tc>
        <w:tc>
          <w:tcPr>
            <w:tcW w:w="2948" w:type="dxa"/>
          </w:tcPr>
          <w:p w14:paraId="1E139348">
            <w:r>
              <w:rPr>
                <w:rFonts w:hint="eastAsia"/>
                <w:b w:val="1"/>
                <w:sz w:val="19"/>
              </w:rPr>
              <w:t>白话</w:t>
            </w:r>
          </w:p>
        </w:tc>
        <w:tc>
          <w:tcPr>
            <w:tcW w:w="3402" w:type="dxa"/>
          </w:tcPr>
          <w:p w14:paraId="03802AA1">
            <w:r>
              <w:rPr>
                <w:rFonts w:hint="eastAsia"/>
                <w:b w:val="1"/>
                <w:sz w:val="19"/>
              </w:rPr>
              <w:t>实现难度（本科团队/无老师）</w:t>
            </w:r>
          </w:p>
        </w:tc>
      </w:tr>
      <w:tr>
        <w:trPr/>
        <w:tc>
          <w:tcPr>
            <w:tcW w:w="567" w:type="dxa"/>
          </w:tcPr>
          <w:p w14:paraId="7AA47567"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2880799A">
            <w:r>
              <w:rPr>
                <w:rFonts w:hint="eastAsia"/>
                <w:sz w:val="18"/>
              </w:rPr>
              <w:t>≥20项水质参数</w:t>
            </w:r>
          </w:p>
        </w:tc>
        <w:tc>
          <w:tcPr>
            <w:tcW w:w="2948" w:type="dxa"/>
          </w:tcPr>
          <w:p w14:paraId="48A796B2">
            <w:r>
              <w:rPr>
                <w:rFonts w:hint="eastAsia"/>
                <w:sz w:val="18"/>
              </w:rPr>
              <w:t>20种有明确意义的测量/估计结果</w:t>
            </w:r>
          </w:p>
        </w:tc>
        <w:tc>
          <w:tcPr>
            <w:tcW w:w="3402" w:type="dxa"/>
          </w:tcPr>
          <w:p w14:paraId="3C497F38">
            <w:r>
              <w:rPr>
                <w:rFonts w:hint="eastAsia"/>
                <w:sz w:val="18"/>
              </w:rPr>
              <w:t>高：8周全实测几乎不可能，需“实测+建模”组合</w:t>
            </w:r>
          </w:p>
        </w:tc>
      </w:tr>
      <w:tr>
        <w:trPr/>
        <w:tc>
          <w:tcPr>
            <w:tcW w:w="567" w:type="dxa"/>
          </w:tcPr>
          <w:p w14:paraId="34B29CC2">
            <w:r>
              <w:rPr>
                <w:sz w:val="18"/>
              </w:rPr>
              <w:t>2</w:t>
            </w:r>
          </w:p>
        </w:tc>
        <w:tc>
          <w:tcPr>
            <w:tcW w:w="2041" w:type="dxa"/>
          </w:tcPr>
          <w:p w14:paraId="5DB38DD5">
            <w:r>
              <w:rPr>
                <w:rFonts w:hint="eastAsia"/>
                <w:sz w:val="18"/>
              </w:rPr>
              <w:t>采集→预警全链路≤1ms</w:t>
            </w:r>
          </w:p>
        </w:tc>
        <w:tc>
          <w:tcPr>
            <w:tcW w:w="2948" w:type="dxa"/>
          </w:tcPr>
          <w:p w14:paraId="41002CAC">
            <w:r>
              <w:rPr>
                <w:rFonts w:hint="eastAsia"/>
                <w:sz w:val="18"/>
              </w:rPr>
              <w:t>信号处理到报警&lt;0.001秒</w:t>
            </w:r>
          </w:p>
        </w:tc>
        <w:tc>
          <w:tcPr>
            <w:tcW w:w="3402" w:type="dxa"/>
          </w:tcPr>
          <w:p w14:paraId="762E2B33">
            <w:r>
              <w:rPr>
                <w:rFonts w:hint="eastAsia"/>
                <w:sz w:val="18"/>
              </w:rPr>
              <w:t>极高：光路+AI推理压到1ms极难，需实测</w:t>
            </w:r>
          </w:p>
        </w:tc>
      </w:tr>
      <w:tr>
        <w:trPr/>
        <w:tc>
          <w:tcPr>
            <w:tcW w:w="567" w:type="dxa"/>
          </w:tcPr>
          <w:p w14:paraId="714FB36D"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01490AE2">
            <w:r>
              <w:rPr>
                <w:rFonts w:hint="eastAsia"/>
                <w:sz w:val="18"/>
              </w:rPr>
              <w:t>整机功耗≤5W</w:t>
            </w:r>
          </w:p>
        </w:tc>
        <w:tc>
          <w:tcPr>
            <w:tcW w:w="2948" w:type="dxa"/>
          </w:tcPr>
          <w:p w14:paraId="2F25E256">
            <w:r>
              <w:rPr>
                <w:rFonts w:hint="eastAsia"/>
                <w:sz w:val="18"/>
              </w:rPr>
              <w:t>整台设备工作耗电</w:t>
            </w:r>
          </w:p>
        </w:tc>
        <w:tc>
          <w:tcPr>
            <w:tcW w:w="3402" w:type="dxa"/>
          </w:tcPr>
          <w:p w14:paraId="6DF238BF">
            <w:r>
              <w:rPr>
                <w:rFonts w:hint="eastAsia"/>
                <w:sz w:val="18"/>
              </w:rPr>
              <w:t>中：泵(≤1.3W)与光源是风险点</w:t>
            </w:r>
          </w:p>
        </w:tc>
      </w:tr>
      <w:tr>
        <w:trPr/>
        <w:tc>
          <w:tcPr>
            <w:tcW w:w="567" w:type="dxa"/>
          </w:tcPr>
          <w:p w14:paraId="64DBDEFD">
            <w:r>
              <w:rPr>
                <w:sz w:val="18"/>
              </w:rPr>
              <w:t>4</w:t>
            </w:r>
          </w:p>
        </w:tc>
        <w:tc>
          <w:tcPr>
            <w:tcW w:w="2041" w:type="dxa"/>
          </w:tcPr>
          <w:p w14:paraId="1212EF64">
            <w:r>
              <w:rPr>
                <w:rFonts w:hint="eastAsia"/>
                <w:sz w:val="18"/>
              </w:rPr>
              <w:t>体积≤0.5m³</w:t>
            </w:r>
          </w:p>
        </w:tc>
        <w:tc>
          <w:tcPr>
            <w:tcW w:w="2948" w:type="dxa"/>
          </w:tcPr>
          <w:p w14:paraId="04A5CF90">
            <w:r>
              <w:rPr>
                <w:rFonts w:hint="eastAsia"/>
                <w:sz w:val="18"/>
              </w:rPr>
              <w:t>500升上限</w:t>
            </w:r>
          </w:p>
        </w:tc>
        <w:tc>
          <w:tcPr>
            <w:tcW w:w="3402" w:type="dxa"/>
          </w:tcPr>
          <w:p w14:paraId="32F6B88F">
            <w:r>
              <w:rPr>
                <w:rFonts w:hint="eastAsia"/>
                <w:sz w:val="18"/>
              </w:rPr>
              <w:t>低：结构做好即可</w:t>
            </w:r>
          </w:p>
        </w:tc>
      </w:tr>
      <w:tr>
        <w:trPr/>
        <w:tc>
          <w:tcPr>
            <w:tcW w:w="567" w:type="dxa"/>
          </w:tcPr>
          <w:p w14:paraId="2DE4DE8E"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52E749A7">
            <w:r>
              <w:rPr>
                <w:rFonts w:hint="eastAsia"/>
                <w:sz w:val="18"/>
              </w:rPr>
              <w:t>核心器件国产化率≥90%</w:t>
            </w:r>
          </w:p>
        </w:tc>
        <w:tc>
          <w:tcPr>
            <w:tcW w:w="2948" w:type="dxa"/>
          </w:tcPr>
          <w:p w14:paraId="193DA44E">
            <w:r>
              <w:rPr>
                <w:rFonts w:hint="eastAsia"/>
                <w:sz w:val="18"/>
              </w:rPr>
              <w:t>关键器件按口径核算国产比例</w:t>
            </w:r>
          </w:p>
        </w:tc>
        <w:tc>
          <w:tcPr>
            <w:tcW w:w="3402" w:type="dxa"/>
          </w:tcPr>
          <w:p w14:paraId="0292F244">
            <w:r>
              <w:rPr>
                <w:rFonts w:hint="eastAsia"/>
                <w:sz w:val="18"/>
              </w:rPr>
              <w:t>中：需逐件查来源证明</w:t>
            </w:r>
          </w:p>
        </w:tc>
      </w:tr>
      <w:tr>
        <w:trPr/>
        <w:tc>
          <w:tcPr>
            <w:tcW w:w="567" w:type="dxa"/>
          </w:tcPr>
          <w:p w14:paraId="7DBAA456">
            <w:r>
              <w:rPr>
                <w:sz w:val="18"/>
              </w:rPr>
              <w:t>6</w:t>
            </w:r>
          </w:p>
        </w:tc>
        <w:tc>
          <w:tcPr>
            <w:tcW w:w="2041" w:type="dxa"/>
          </w:tcPr>
          <w:p w14:paraId="2BF233BB">
            <w:r>
              <w:rPr>
                <w:rFonts w:hint="eastAsia"/>
                <w:sz w:val="18"/>
              </w:rPr>
              <w:t>前端光域原位计算</w:t>
            </w:r>
          </w:p>
        </w:tc>
        <w:tc>
          <w:tcPr>
            <w:tcW w:w="2948" w:type="dxa"/>
          </w:tcPr>
          <w:p w14:paraId="50F21091">
            <w:r>
              <w:rPr>
                <w:rFonts w:hint="eastAsia"/>
                <w:sz w:val="18"/>
              </w:rPr>
              <w:t>部分计算在光电转换前完成</w:t>
            </w:r>
          </w:p>
        </w:tc>
        <w:tc>
          <w:tcPr>
            <w:tcW w:w="3402" w:type="dxa"/>
          </w:tcPr>
          <w:p w14:paraId="3564E989">
            <w:r>
              <w:rPr>
                <w:rFonts w:hint="eastAsia"/>
                <w:sz w:val="18"/>
              </w:rPr>
              <w:t>极高：最易被质疑，需光学指导</w:t>
            </w:r>
          </w:p>
        </w:tc>
      </w:tr>
      <w:tr>
        <w:trPr/>
        <w:tc>
          <w:tcPr>
            <w:tcW w:w="567" w:type="dxa"/>
          </w:tcPr>
          <w:p w14:paraId="2C576993">
            <w:r>
              <w:rPr>
                <w:sz w:val="18"/>
              </w:rPr>
              <w:t>7</w:t>
            </w:r>
          </w:p>
        </w:tc>
        <w:tc>
          <w:tcPr>
            <w:tcW w:w="2041" w:type="dxa"/>
          </w:tcPr>
          <w:p w14:paraId="19F760E0">
            <w:r>
              <w:rPr>
                <w:rFonts w:hint="eastAsia"/>
                <w:sz w:val="18"/>
              </w:rPr>
              <w:t>端侧自进化+污染预警</w:t>
            </w:r>
          </w:p>
        </w:tc>
        <w:tc>
          <w:tcPr>
            <w:tcW w:w="2948" w:type="dxa"/>
          </w:tcPr>
          <w:p w14:paraId="5C81C7F6">
            <w:r>
              <w:rPr>
                <w:rFonts w:hint="eastAsia"/>
                <w:sz w:val="18"/>
              </w:rPr>
              <w:t>用可靠新数据改进并识别异常</w:t>
            </w:r>
          </w:p>
        </w:tc>
        <w:tc>
          <w:tcPr>
            <w:tcW w:w="3402" w:type="dxa"/>
          </w:tcPr>
          <w:p w14:paraId="6CB20F7C">
            <w:r>
              <w:rPr>
                <w:rFonts w:hint="eastAsia"/>
                <w:sz w:val="18"/>
              </w:rPr>
              <w:t>中高：工程可控</w:t>
            </w:r>
          </w:p>
        </w:tc>
      </w:tr>
    </w:tbl>
    <w:p w14:paraId="15921E5B">
      <w:pPr>
        <w:pStyle w:val="00000a"/>
      </w:pPr>
      <w:r>
        <w:rPr>
          <w:rFonts w:hint="eastAsia"/>
        </w:rPr>
        <w:t>1.2 当前条件评估</w:t>
      </w:r>
    </w:p>
    <w:p w14:paraId="0CBB7C60">
      <w:r>
        <w:rPr>
          <w:rFonts w:hint="eastAsia"/>
          <w:b w:val="1"/>
        </w:rPr>
        <w:t>优势：</w:t>
      </w:r>
    </w:p>
    <w:p w14:paraId="57F6E86A">
      <w:pPr>
        <w:pStyle w:val="00002c"/>
      </w:pPr>
      <w:r>
        <w:rPr>
          <w:rFonts w:hint="eastAsia"/>
        </w:rPr>
        <w:t>9人队伍齐整，且含计科(3)/机器人(3)/智能制造(2)/科创班(1)，软硬件与结构背景互补；</w:t>
      </w:r>
    </w:p>
    <w:p w14:paraId="1EFBE87B">
      <w:pPr>
        <w:pStyle w:val="00002c"/>
      </w:pPr>
      <w:r>
        <w:rPr>
          <w:rFonts w:hint="eastAsia"/>
        </w:rPr>
        <w:t>命题资料完整（指南20页+命题原文+报名表已填好），路线清楚；</w:t>
      </w:r>
    </w:p>
    <w:p w14:paraId="7039AC00">
      <w:pPr>
        <w:pStyle w:val="00002c"/>
      </w:pPr>
      <w:r>
        <w:rPr>
          <w:rFonts w:hint="eastAsia"/>
        </w:rPr>
        <w:t>指南已把9个角色与9人一一对应，分工框架现成。</w:t>
      </w:r>
    </w:p>
    <w:p w14:paraId="6180C874">
      <w:r>
        <w:rPr>
          <w:rFonts w:hint="eastAsia"/>
          <w:b w:val="1"/>
        </w:rPr>
        <w:t>短板（核心）：</w:t>
      </w:r>
    </w:p>
    <w:p w14:paraId="055BE25B">
      <w:pPr>
        <w:pStyle w:val="00002c"/>
      </w:pPr>
      <w:r>
        <w:rPr>
          <w:rFonts w:hint="eastAsia"/>
        </w:rPr>
        <w:t>暂无指导老师——指南明确要求“第1周带硬指标表找指导老师确认口径、可借仪器、参比渠道”，这是最大风险；</w:t>
      </w:r>
    </w:p>
    <w:p w14:paraId="33160964">
      <w:pPr>
        <w:pStyle w:val="00002c"/>
      </w:pPr>
      <w:r>
        <w:rPr>
          <w:rFonts w:hint="eastAsia"/>
        </w:rPr>
        <w:t>无老师则难借学校实验室仪器（示波器/光谱/标准液）、无稳定“参比检测”来源、光学与标定缺指导；</w:t>
      </w:r>
    </w:p>
    <w:p w14:paraId="5948D16D">
      <w:pPr>
        <w:pStyle w:val="00002c"/>
      </w:pPr>
      <w:r>
        <w:rPr>
          <w:rFonts w:hint="eastAsia"/>
        </w:rPr>
        <w:t>20参数+1ms+光域原位+90%国产化四者同时达标，对本科生团队本就极难，指南已明示风险高。</w:t>
      </w:r>
    </w:p>
    <w:p w14:paraId="3A80B514">
      <w:pPr>
        <w:pStyle w:val="00000a"/>
      </w:pPr>
      <w:r>
        <w:rPr>
          <w:rFonts w:hint="eastAsia"/>
        </w:rPr>
        <w:t>1.3 务实策略建议（保底 + 冲刺）</w:t>
      </w:r>
    </w:p>
    <w:p w14:paraId="2BA53E7E">
      <w:pPr>
        <w:pStyle w:val="000032"/>
      </w:pPr>
      <w:r>
        <w:rPr>
          <w:rFonts w:hint="eastAsia"/>
        </w:rPr>
        <w:t>保底目标（务必做到）：跑通“传感器→边缘板→后端→网页仪表盘”最小真实链路，至少4–6项参数真实采集+校准+与参比比较，并如实记录；带真实水样+设备现场演示。</w:t>
      </w:r>
    </w:p>
    <w:p w14:paraId="7813EB3C">
      <w:pPr>
        <w:pStyle w:val="000032"/>
      </w:pPr>
      <w:r>
        <w:rPr>
          <w:rFonts w:hint="eastAsia"/>
        </w:rPr>
        <w:t>冲刺目标（尽力、如实标状态）：1ms全链路计时实测、光域原位光路论证、扩展可验证参数到接近20项、90%国产化BOM核算。</w:t>
      </w:r>
    </w:p>
    <w:p w14:paraId="2CFB07FB">
      <w:pPr>
        <w:pStyle w:val="000032"/>
      </w:pPr>
      <w:r>
        <w:rPr>
          <w:rFonts w:hint="eastAsia"/>
        </w:rPr>
        <w:t>口径策略：本计划书第2章先把“暂行口径”自定并文档化，作为内部统一标准；同时持续寻找指导老师/学长/实验室，一旦对接立即把“暂行口径”升级为“确认口径”。</w:t>
      </w:r>
    </w:p>
    <w:p w14:paraId="224A90D5">
      <w:pPr>
        <w:pStyle w:val="000032"/>
      </w:pPr>
      <w:r>
        <w:rPr>
          <w:rFonts w:hint="eastAsia"/>
        </w:rPr>
        <w:t>诚实原则：凡口径不清、实测未达标的，统一标“待验证/待确认”，答辩时讲清“为什么还没达标、计划怎么补”，比虚构达标更得分（指南第18页明确鼓励保留失败样例）。</w:t>
      </w:r>
    </w:p>
    <w:p w14:paraId="4A922687">
      <w:pPr>
        <w:pStyle w:val="000008"/>
      </w:pPr>
      <w:r>
        <w:rPr>
          <w:rFonts w:hint="eastAsia"/>
        </w:rPr>
        <w:t>2. 7项硬指标 · 暂行口径自定表（重点，因暂无指导老师）</w:t>
      </w:r>
    </w:p>
    <w:p w14:paraId="7E808D62">
      <w:r>
        <w:rPr>
          <w:rFonts w:hint="eastAsia"/>
          <w:b w:val="1"/>
        </w:rPr>
        <w:t>下表为本队自定的“内部暂行口径”。口径定义遵循指南精神、且保证可实测、可辩护。所有项标注是否需要后续找老师/命题方确认。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1247" w:type="dxa"/>
          </w:tcPr>
          <w:p w14:paraId="766C22A8">
            <w:r>
              <w:rPr>
                <w:rFonts w:hint="eastAsia"/>
                <w:b w:val="1"/>
                <w:sz w:val="19"/>
              </w:rPr>
              <w:t>指标</w:t>
            </w:r>
          </w:p>
        </w:tc>
        <w:tc>
          <w:tcPr>
            <w:tcW w:w="4535" w:type="dxa"/>
          </w:tcPr>
          <w:p w14:paraId="74009B0E">
            <w:r>
              <w:rPr>
                <w:rFonts w:hint="eastAsia"/>
                <w:b w:val="1"/>
                <w:sz w:val="19"/>
              </w:rPr>
              <w:t>我们自定的暂行口径（内部标准）</w:t>
            </w:r>
          </w:p>
        </w:tc>
        <w:tc>
          <w:tcPr>
            <w:tcW w:w="2268" w:type="dxa"/>
          </w:tcPr>
          <w:p w14:paraId="48818B9C">
            <w:r>
              <w:rPr>
                <w:rFonts w:hint="eastAsia"/>
                <w:b w:val="1"/>
                <w:sz w:val="19"/>
              </w:rPr>
              <w:t>风险与对策</w:t>
            </w:r>
          </w:p>
        </w:tc>
        <w:tc>
          <w:tcPr>
            <w:tcW w:w="1020" w:type="dxa"/>
          </w:tcPr>
          <w:p w14:paraId="47A46392">
            <w:r>
              <w:rPr>
                <w:rFonts w:hint="eastAsia"/>
                <w:b w:val="1"/>
                <w:sz w:val="19"/>
              </w:rPr>
              <w:t>状态</w:t>
            </w:r>
          </w:p>
        </w:tc>
      </w:tr>
      <w:tr>
        <w:trPr/>
        <w:tc>
          <w:tcPr>
            <w:tcW w:w="1247" w:type="dxa"/>
          </w:tcPr>
          <w:p w14:paraId="13DF72E5">
            <w:r>
              <w:rPr>
                <w:rFonts w:hint="eastAsia"/>
                <w:sz w:val="18"/>
              </w:rPr>
              <w:t>① ≥20项参数</w:t>
            </w:r>
          </w:p>
        </w:tc>
        <w:tc>
          <w:tcPr>
            <w:tcW w:w="4535" w:type="dxa"/>
          </w:tcPr>
          <w:p w14:paraId="1112CB63">
            <w:r>
              <w:rPr>
                <w:rFonts w:hint="eastAsia"/>
                <w:sz w:val="18"/>
              </w:rPr>
              <w:t>计数规则：每项须有独立单位+测量/估计方法+参比来源+误差记录；同参数不同单位/补偿前后值/模型置信度不重复计数；同水样20个波长读数≠20项。第一批做实4–6项（温度/pH/电导率/浊度+UV254或硝酸盐），其余用建模扩展并标“待验证”。</w:t>
            </w:r>
          </w:p>
        </w:tc>
        <w:tc>
          <w:tcPr>
            <w:tcW w:w="2268" w:type="dxa"/>
          </w:tcPr>
          <w:p w14:paraId="5811C993">
            <w:r>
              <w:rPr>
                <w:rFonts w:hint="eastAsia"/>
                <w:sz w:val="18"/>
              </w:rPr>
              <w:t>20项全实测不可行→目标写成“首批X项实测+后续Y项建模”。</w:t>
            </w:r>
          </w:p>
        </w:tc>
        <w:tc>
          <w:tcPr>
            <w:tcW w:w="1020" w:type="dxa"/>
          </w:tcPr>
          <w:p w14:paraId="77018539">
            <w:r>
              <w:rPr>
                <w:rFonts w:hint="eastAsia"/>
                <w:sz w:val="18"/>
              </w:rPr>
              <w:t>待确认</w:t>
            </w:r>
          </w:p>
        </w:tc>
      </w:tr>
      <w:tr>
        <w:trPr/>
        <w:tc>
          <w:tcPr>
            <w:tcW w:w="1247" w:type="dxa"/>
          </w:tcPr>
          <w:p w14:paraId="59AF776B">
            <w:r>
              <w:rPr>
                <w:rFonts w:hint="eastAsia"/>
                <w:sz w:val="18"/>
              </w:rPr>
              <w:t>② 全链路≤1ms</w:t>
            </w:r>
          </w:p>
        </w:tc>
        <w:tc>
          <w:tcPr>
            <w:tcW w:w="4535" w:type="dxa"/>
          </w:tcPr>
          <w:p w14:paraId="38932F17">
            <w:r>
              <w:rPr>
                <w:rFonts w:hint="eastAsia"/>
                <w:sz w:val="18"/>
              </w:rPr>
              <w:t>起点=约定“信号采集开始”(ADC触发/曝光结束)；终点=“本地报警输出”时刻。覆盖：积分→探测→ADC→预处理→AI→判断→报警。报告最大值/P95/次数/工况，不挑最快一次。澄清：每ms读旧数据≠新测量；探头物理响应时间不计入“采集开始”之前。</w:t>
            </w:r>
          </w:p>
        </w:tc>
        <w:tc>
          <w:tcPr>
            <w:tcW w:w="2268" w:type="dxa"/>
          </w:tcPr>
          <w:p w14:paraId="54D655AB">
            <w:r>
              <w:rPr>
                <w:rFonts w:hint="eastAsia"/>
                <w:sz w:val="18"/>
              </w:rPr>
              <w:t>1ms极难→如实记录真实值标“待验证”，并确认“是否要求20项同ms产生新测量”。</w:t>
            </w:r>
          </w:p>
        </w:tc>
        <w:tc>
          <w:tcPr>
            <w:tcW w:w="1020" w:type="dxa"/>
          </w:tcPr>
          <w:p w14:paraId="63EC01FD">
            <w:r>
              <w:rPr>
                <w:rFonts w:hint="eastAsia"/>
                <w:sz w:val="18"/>
              </w:rPr>
              <w:t>待确认</w:t>
            </w:r>
          </w:p>
        </w:tc>
      </w:tr>
      <w:tr>
        <w:trPr/>
        <w:tc>
          <w:tcPr>
            <w:tcW w:w="1247" w:type="dxa"/>
          </w:tcPr>
          <w:p w14:paraId="1100B242">
            <w:r>
              <w:rPr>
                <w:rFonts w:hint="eastAsia"/>
                <w:sz w:val="18"/>
              </w:rPr>
              <w:t>③ 整机≤5W</w:t>
            </w:r>
          </w:p>
        </w:tc>
        <w:tc>
          <w:tcPr>
            <w:tcW w:w="4535" w:type="dxa"/>
          </w:tcPr>
          <w:p w14:paraId="27ED7113">
            <w:r>
              <w:rPr>
                <w:rFonts w:hint="eastAsia"/>
                <w:sz w:val="18"/>
              </w:rPr>
              <w:t>测量点=设备总输入端；测电功率(W)，分“采集/计算/通信/学习/辅助”各状态报“峰值+平均”，以峰值为硬约束。边界：随设备统一供电的都计入，外接调试电脑不计入。预算参考：光源0.9+探测0.6+板0.9+通信0.3+流路1.3+余量1.0=5.0W（泵是超限风险）。</w:t>
            </w:r>
          </w:p>
        </w:tc>
        <w:tc>
          <w:tcPr>
            <w:tcW w:w="2268" w:type="dxa"/>
          </w:tcPr>
          <w:p w14:paraId="1287A35F">
            <w:r>
              <w:rPr>
                <w:rFonts w:hint="eastAsia"/>
                <w:sz w:val="18"/>
              </w:rPr>
              <w:t>泵功耗易超1.3W→选低功耗蠕动泵或间歇工作。</w:t>
            </w:r>
          </w:p>
        </w:tc>
        <w:tc>
          <w:tcPr>
            <w:tcW w:w="1020" w:type="dxa"/>
          </w:tcPr>
          <w:p w14:paraId="297F3841">
            <w:r>
              <w:rPr>
                <w:rFonts w:hint="eastAsia"/>
                <w:sz w:val="18"/>
              </w:rPr>
              <w:t>待确认</w:t>
            </w:r>
          </w:p>
        </w:tc>
      </w:tr>
      <w:tr>
        <w:trPr/>
        <w:tc>
          <w:tcPr>
            <w:tcW w:w="1247" w:type="dxa"/>
          </w:tcPr>
          <w:p w14:paraId="32A47277">
            <w:r>
              <w:rPr>
                <w:rFonts w:hint="eastAsia"/>
                <w:sz w:val="18"/>
              </w:rPr>
              <w:t>④ 体积≤0.5m³</w:t>
            </w:r>
          </w:p>
        </w:tc>
        <w:tc>
          <w:tcPr>
            <w:tcW w:w="4535" w:type="dxa"/>
          </w:tcPr>
          <w:p w14:paraId="7BE5EE6F">
            <w:r>
              <w:rPr>
                <w:rFonts w:hint="eastAsia"/>
                <w:sz w:val="18"/>
              </w:rPr>
              <w:t>0.5m³=500L。记录完整设备与应计附件实际长×宽×高。暂行目标控制在≤0.3m³留余量。</w:t>
            </w:r>
          </w:p>
        </w:tc>
        <w:tc>
          <w:tcPr>
            <w:tcW w:w="2268" w:type="dxa"/>
          </w:tcPr>
          <w:p w14:paraId="411F7654">
            <w:r>
              <w:rPr>
                <w:rFonts w:hint="eastAsia"/>
                <w:sz w:val="18"/>
              </w:rPr>
              <w:t>低。随设备工作的附件计入。</w:t>
            </w:r>
          </w:p>
        </w:tc>
        <w:tc>
          <w:tcPr>
            <w:tcW w:w="1020" w:type="dxa"/>
          </w:tcPr>
          <w:p w14:paraId="5E67C844">
            <w:r>
              <w:rPr>
                <w:rFonts w:hint="eastAsia"/>
                <w:sz w:val="18"/>
              </w:rPr>
              <w:t>可自定</w:t>
            </w:r>
          </w:p>
        </w:tc>
      </w:tr>
      <w:tr>
        <w:trPr/>
        <w:tc>
          <w:tcPr>
            <w:tcW w:w="1247" w:type="dxa"/>
          </w:tcPr>
          <w:p w14:paraId="40D8825E">
            <w:r>
              <w:rPr>
                <w:rFonts w:hint="eastAsia"/>
                <w:sz w:val="18"/>
              </w:rPr>
              <w:t>⑤ 国产化≥90%</w:t>
            </w:r>
          </w:p>
        </w:tc>
        <w:tc>
          <w:tcPr>
            <w:tcW w:w="4535" w:type="dxa"/>
          </w:tcPr>
          <w:p w14:paraId="39CA2D2A">
            <w:r>
              <w:rPr>
                <w:rFonts w:hint="eastAsia"/>
                <w:sz w:val="18"/>
              </w:rPr>
              <w:t>建BOM（型号/厂家/来源证明/数量/金额）。暂行口径：按“核心器件金额占比”核算（避免用普通电阻稀释），附“数量占比”备查。“核心”=光源/探测器/关键光学件/模拟前端/ADC/处理器/存储/通信模块。优先选国产SoC(嘉楠K210/瑞芯微/全志/昇腾)。</w:t>
            </w:r>
          </w:p>
        </w:tc>
        <w:tc>
          <w:tcPr>
            <w:tcW w:w="2268" w:type="dxa"/>
          </w:tcPr>
          <w:p w14:paraId="6097ABCB">
            <w:r>
              <w:rPr>
                <w:rFonts w:hint="eastAsia"/>
                <w:sz w:val="18"/>
              </w:rPr>
              <w:t>光电探测器等多进口→需逐件查来源，必要时换国产替代或说明。</w:t>
            </w:r>
          </w:p>
        </w:tc>
        <w:tc>
          <w:tcPr>
            <w:tcW w:w="1020" w:type="dxa"/>
          </w:tcPr>
          <w:p w14:paraId="798F537D">
            <w:r>
              <w:rPr>
                <w:rFonts w:hint="eastAsia"/>
                <w:sz w:val="18"/>
              </w:rPr>
              <w:t>待确认</w:t>
            </w:r>
          </w:p>
        </w:tc>
      </w:tr>
      <w:tr>
        <w:trPr/>
        <w:tc>
          <w:tcPr>
            <w:tcW w:w="1247" w:type="dxa"/>
          </w:tcPr>
          <w:p w14:paraId="4DE42222">
            <w:r>
              <w:rPr>
                <w:rFonts w:hint="eastAsia"/>
                <w:sz w:val="18"/>
              </w:rPr>
              <w:t>⑥ 光域原位计算</w:t>
            </w:r>
          </w:p>
        </w:tc>
        <w:tc>
          <w:tcPr>
            <w:tcW w:w="4535" w:type="dxa"/>
          </w:tcPr>
          <w:p w14:paraId="6EB2B4AD">
            <w:r>
              <w:rPr>
                <w:rFonts w:hint="eastAsia"/>
                <w:sz w:val="18"/>
              </w:rPr>
              <w:t>定义：光电转换前，用光学器件（滤光片组合/分光/波长权重/空间偏振）直接提取少量测量特征（如波段加权求和、差分），而非全光谱送ADC再软件算。必须说明光路实际完成什么运算并实测。方案：双路（上路全光谱参考、下路光学权重特征）同水样比较证明改进。</w:t>
            </w:r>
          </w:p>
        </w:tc>
        <w:tc>
          <w:tcPr>
            <w:tcW w:w="2268" w:type="dxa"/>
          </w:tcPr>
          <w:p w14:paraId="78AEACAC">
            <w:r>
              <w:rPr>
                <w:rFonts w:hint="eastAsia"/>
                <w:sz w:val="18"/>
              </w:rPr>
              <w:t>最难/最易被质疑→需光学指导，无老师时先学[S8]并如实记录，必要时缩小范围论证。</w:t>
            </w:r>
          </w:p>
        </w:tc>
        <w:tc>
          <w:tcPr>
            <w:tcW w:w="1020" w:type="dxa"/>
          </w:tcPr>
          <w:p w14:paraId="13C9A764">
            <w:r>
              <w:rPr>
                <w:rFonts w:hint="eastAsia"/>
                <w:sz w:val="18"/>
              </w:rPr>
              <w:t>待确认</w:t>
            </w:r>
          </w:p>
        </w:tc>
      </w:tr>
      <w:tr>
        <w:trPr/>
        <w:tc>
          <w:tcPr>
            <w:tcW w:w="1247" w:type="dxa"/>
          </w:tcPr>
          <w:p w14:paraId="1880FF98">
            <w:r>
              <w:rPr>
                <w:rFonts w:hint="eastAsia"/>
                <w:sz w:val="18"/>
              </w:rPr>
              <w:t>⑦ 端侧自进化+预警</w:t>
            </w:r>
          </w:p>
        </w:tc>
        <w:tc>
          <w:tcPr>
            <w:tcW w:w="4535" w:type="dxa"/>
          </w:tcPr>
          <w:p w14:paraId="5BAAE6EC">
            <w:r>
              <w:rPr>
                <w:rFonts w:hint="eastAsia"/>
                <w:sz w:val="18"/>
              </w:rPr>
              <w:t>自进化：用可靠新数据更新校准系数/少量模型参数，新版本通过检查再替换，变差回退（模型自猜不当前标签反复学）。预警：识别明确异常类别并保留“未知”；趋势预警只用当时及之前数据；统计误报/漏报；超范围提示“需复核”。</w:t>
            </w:r>
          </w:p>
        </w:tc>
        <w:tc>
          <w:tcPr>
            <w:tcW w:w="2268" w:type="dxa"/>
          </w:tcPr>
          <w:p w14:paraId="4577A8F1">
            <w:r>
              <w:rPr>
                <w:rFonts w:hint="eastAsia"/>
                <w:sz w:val="18"/>
              </w:rPr>
              <w:t>工程可控；先做到校准在线更新+已知事件识别+阈值/趋势双报警。</w:t>
            </w:r>
          </w:p>
        </w:tc>
        <w:tc>
          <w:tcPr>
            <w:tcW w:w="1020" w:type="dxa"/>
          </w:tcPr>
          <w:p w14:paraId="5C5E16BE">
            <w:r>
              <w:rPr>
                <w:rFonts w:hint="eastAsia"/>
                <w:sz w:val="18"/>
              </w:rPr>
              <w:t>可自定</w:t>
            </w:r>
          </w:p>
        </w:tc>
      </w:tr>
    </w:tbl>
    <w:p w14:paraId="69A5BCD2">
      <w:r>
        <w:rPr>
          <w:rFonts w:hint="eastAsia"/>
          <w:b w:val="1"/>
        </w:rPr>
        <w:t>注：标“待确认”的项，是必须由指导老师/命题方拍板的口径，本队先按上表执行，找到老师后立即逐条对齐并在群内更新。</w:t>
      </w:r>
    </w:p>
    <w:p w14:paraId="0678B069">
      <w:pPr>
        <w:pStyle w:val="000008"/>
      </w:pPr>
      <w:r>
        <w:rPr>
          <w:rFonts w:hint="eastAsia"/>
        </w:rPr>
        <w:t>3. 九人分工总表（真实姓名映射 + 第二负责人）</w:t>
      </w:r>
    </w:p>
    <w:p w14:paraId="5DD602FC">
      <w:r>
        <w:rPr>
          <w:rFonts w:hint="eastAsia"/>
          <w:b w:val="0"/>
        </w:rPr>
        <w:t>依据指南第16页9个角色，由队员按接龙自选确定；每个关键模块安排第二位同学会启动和检查（第二负责人），便于周末互换电脑验证“第二位同学能独立启动”。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361" w:type="dxa"/>
          </w:tcPr>
          <w:p w14:paraId="5527933E">
            <w:r>
              <w:rPr>
                <w:rFonts w:hint="eastAsia"/>
                <w:b w:val="1"/>
                <w:sz w:val="19"/>
              </w:rPr>
              <w:t>角色</w:t>
            </w:r>
          </w:p>
        </w:tc>
        <w:tc>
          <w:tcPr>
            <w:tcW w:w="1814" w:type="dxa"/>
          </w:tcPr>
          <w:p w14:paraId="0F96925D">
            <w:r>
              <w:rPr>
                <w:rFonts w:hint="eastAsia"/>
                <w:b w:val="1"/>
                <w:sz w:val="19"/>
              </w:rPr>
              <w:t>负责工作</w:t>
            </w:r>
          </w:p>
        </w:tc>
        <w:tc>
          <w:tcPr>
            <w:tcW w:w="1587" w:type="dxa"/>
          </w:tcPr>
          <w:p w14:paraId="31B56B36">
            <w:r>
              <w:rPr>
                <w:rFonts w:hint="eastAsia"/>
                <w:b w:val="1"/>
                <w:sz w:val="19"/>
              </w:rPr>
              <w:t>负责同学(专业)</w:t>
            </w:r>
          </w:p>
        </w:tc>
        <w:tc>
          <w:tcPr>
            <w:tcW w:w="1134" w:type="dxa"/>
          </w:tcPr>
          <w:p w14:paraId="0C2D3A95">
            <w:r>
              <w:rPr>
                <w:rFonts w:hint="eastAsia"/>
                <w:b w:val="1"/>
                <w:sz w:val="19"/>
              </w:rPr>
              <w:t>第二负责人</w:t>
            </w:r>
          </w:p>
        </w:tc>
        <w:tc>
          <w:tcPr>
            <w:tcW w:w="2835" w:type="dxa"/>
          </w:tcPr>
          <w:p w14:paraId="3FF8C8BC">
            <w:r>
              <w:rPr>
                <w:rFonts w:hint="eastAsia"/>
                <w:b w:val="1"/>
                <w:sz w:val="19"/>
              </w:rPr>
              <w:t>交付给队友的成果</w:t>
            </w:r>
          </w:p>
        </w:tc>
      </w:tr>
      <w:tr>
        <w:trPr/>
        <w:tc>
          <w:tcPr>
            <w:tcW w:w="1361" w:type="dxa"/>
          </w:tcPr>
          <w:p w14:paraId="470361E8">
            <w:r>
              <w:rPr>
                <w:rFonts w:hint="eastAsia"/>
                <w:sz w:val="18"/>
              </w:rPr>
              <w:t>1 系统整合(队长)</w:t>
            </w:r>
          </w:p>
        </w:tc>
        <w:tc>
          <w:tcPr>
            <w:tcW w:w="1814" w:type="dxa"/>
          </w:tcPr>
          <w:p w14:paraId="5712B666">
            <w:r>
              <w:rPr>
                <w:rFonts w:hint="eastAsia"/>
                <w:sz w:val="18"/>
              </w:rPr>
              <w:t>设备+软件连接</w:t>
            </w:r>
          </w:p>
        </w:tc>
        <w:tc>
          <w:tcPr>
            <w:tcW w:w="1587" w:type="dxa"/>
          </w:tcPr>
          <w:p w14:paraId="4565F6D2">
            <w:r>
              <w:rPr>
                <w:rFonts w:hint="eastAsia"/>
                <w:sz w:val="18"/>
              </w:rPr>
              <w:t>王欣(计科)</w:t>
            </w:r>
          </w:p>
        </w:tc>
        <w:tc>
          <w:tcPr>
            <w:tcW w:w="1134" w:type="dxa"/>
          </w:tcPr>
          <w:p w14:paraId="5C484F5F">
            <w:r>
              <w:rPr>
                <w:rFonts w:hint="eastAsia"/>
                <w:sz w:val="18"/>
              </w:rPr>
              <w:t>林佳顺</w:t>
            </w:r>
          </w:p>
        </w:tc>
        <w:tc>
          <w:tcPr>
            <w:tcW w:w="2835" w:type="dxa"/>
          </w:tcPr>
          <w:p w14:paraId="5B67F757">
            <w:r>
              <w:rPr>
                <w:rFonts w:hint="eastAsia"/>
                <w:sz w:val="18"/>
              </w:rPr>
              <w:t>可运行流程、数据界面、指标记录</w:t>
            </w:r>
          </w:p>
        </w:tc>
      </w:tr>
      <w:tr>
        <w:trPr/>
        <w:tc>
          <w:tcPr>
            <w:tcW w:w="1361" w:type="dxa"/>
          </w:tcPr>
          <w:p w14:paraId="6B5E1EE3">
            <w:r>
              <w:rPr>
                <w:rFonts w:hint="eastAsia"/>
                <w:sz w:val="18"/>
              </w:rPr>
              <w:t>2 光学采集</w:t>
            </w:r>
          </w:p>
        </w:tc>
        <w:tc>
          <w:tcPr>
            <w:tcW w:w="1814" w:type="dxa"/>
          </w:tcPr>
          <w:p w14:paraId="51FDF18D">
            <w:r>
              <w:rPr>
                <w:rFonts w:hint="eastAsia"/>
                <w:sz w:val="18"/>
              </w:rPr>
              <w:t>光信号采集+时间测量</w:t>
            </w:r>
          </w:p>
        </w:tc>
        <w:tc>
          <w:tcPr>
            <w:tcW w:w="1587" w:type="dxa"/>
          </w:tcPr>
          <w:p w14:paraId="0200ED85">
            <w:r>
              <w:rPr>
                <w:rFonts w:hint="eastAsia"/>
                <w:sz w:val="18"/>
              </w:rPr>
              <w:t>鲁紫轩(机器人)</w:t>
            </w:r>
          </w:p>
        </w:tc>
        <w:tc>
          <w:tcPr>
            <w:tcW w:w="1134" w:type="dxa"/>
          </w:tcPr>
          <w:p w14:paraId="1B335516">
            <w:r>
              <w:rPr>
                <w:rFonts w:hint="eastAsia"/>
                <w:sz w:val="18"/>
              </w:rPr>
              <w:t>李兆沣</w:t>
            </w:r>
          </w:p>
        </w:tc>
        <w:tc>
          <w:tcPr>
            <w:tcW w:w="2835" w:type="dxa"/>
          </w:tcPr>
          <w:p w14:paraId="78831B6F">
            <w:r>
              <w:rPr>
                <w:rFonts w:hint="eastAsia"/>
                <w:sz w:val="18"/>
              </w:rPr>
              <w:t>光路说明、原始读数、时序记录</w:t>
            </w:r>
          </w:p>
        </w:tc>
      </w:tr>
      <w:tr>
        <w:trPr/>
        <w:tc>
          <w:tcPr>
            <w:tcW w:w="1361" w:type="dxa"/>
          </w:tcPr>
          <w:p w14:paraId="08B1A3D0">
            <w:r>
              <w:rPr>
                <w:rFonts w:hint="eastAsia"/>
                <w:sz w:val="18"/>
              </w:rPr>
              <w:t>3 边缘固件</w:t>
            </w:r>
          </w:p>
        </w:tc>
        <w:tc>
          <w:tcPr>
            <w:tcW w:w="1814" w:type="dxa"/>
          </w:tcPr>
          <w:p w14:paraId="3AF55040">
            <w:r>
              <w:rPr>
                <w:rFonts w:hint="eastAsia"/>
                <w:sz w:val="18"/>
              </w:rPr>
              <w:t>边缘板程序+功耗</w:t>
            </w:r>
          </w:p>
        </w:tc>
        <w:tc>
          <w:tcPr>
            <w:tcW w:w="1587" w:type="dxa"/>
          </w:tcPr>
          <w:p w14:paraId="0D1FA250">
            <w:r>
              <w:rPr>
                <w:rFonts w:hint="eastAsia"/>
                <w:sz w:val="18"/>
              </w:rPr>
              <w:t>钱心怡(智能制造)</w:t>
            </w:r>
          </w:p>
        </w:tc>
        <w:tc>
          <w:tcPr>
            <w:tcW w:w="1134" w:type="dxa"/>
          </w:tcPr>
          <w:p w14:paraId="26072828">
            <w:r>
              <w:rPr>
                <w:rFonts w:hint="eastAsia"/>
                <w:sz w:val="18"/>
              </w:rPr>
              <w:t>王志恒</w:t>
            </w:r>
          </w:p>
        </w:tc>
        <w:tc>
          <w:tcPr>
            <w:tcW w:w="2835" w:type="dxa"/>
          </w:tcPr>
          <w:p w14:paraId="03F1A010">
            <w:r>
              <w:rPr>
                <w:rFonts w:hint="eastAsia"/>
                <w:sz w:val="18"/>
              </w:rPr>
              <w:t>固件、板上模型、整机耗电记录</w:t>
            </w:r>
          </w:p>
        </w:tc>
      </w:tr>
      <w:tr>
        <w:trPr/>
        <w:tc>
          <w:tcPr>
            <w:tcW w:w="1361" w:type="dxa"/>
          </w:tcPr>
          <w:p w14:paraId="13EC7882">
            <w:r>
              <w:rPr>
                <w:rFonts w:hint="eastAsia"/>
                <w:sz w:val="18"/>
              </w:rPr>
              <w:t>4 流路结构</w:t>
            </w:r>
          </w:p>
        </w:tc>
        <w:tc>
          <w:tcPr>
            <w:tcW w:w="1814" w:type="dxa"/>
          </w:tcPr>
          <w:p w14:paraId="66584611">
            <w:r>
              <w:rPr>
                <w:rFonts w:hint="eastAsia"/>
                <w:sz w:val="18"/>
              </w:rPr>
              <w:t>水流通道+设备结构</w:t>
            </w:r>
          </w:p>
        </w:tc>
        <w:tc>
          <w:tcPr>
            <w:tcW w:w="1587" w:type="dxa"/>
          </w:tcPr>
          <w:p w14:paraId="086C6766">
            <w:r>
              <w:rPr>
                <w:rFonts w:hint="eastAsia"/>
                <w:sz w:val="18"/>
              </w:rPr>
              <w:t>贺诗涵(科创班)</w:t>
            </w:r>
          </w:p>
        </w:tc>
        <w:tc>
          <w:tcPr>
            <w:tcW w:w="1134" w:type="dxa"/>
          </w:tcPr>
          <w:p w14:paraId="2112EEA6">
            <w:r>
              <w:rPr>
                <w:rFonts w:hint="eastAsia"/>
                <w:sz w:val="18"/>
              </w:rPr>
              <w:t>陈泽帆</w:t>
            </w:r>
          </w:p>
        </w:tc>
        <w:tc>
          <w:tcPr>
            <w:tcW w:w="2835" w:type="dxa"/>
          </w:tcPr>
          <w:p w14:paraId="0EA46DBE">
            <w:r>
              <w:rPr>
                <w:rFonts w:hint="eastAsia"/>
                <w:sz w:val="18"/>
              </w:rPr>
              <w:t>样品通道、密封检查、尺寸记录</w:t>
            </w:r>
          </w:p>
        </w:tc>
      </w:tr>
      <w:tr>
        <w:trPr/>
        <w:tc>
          <w:tcPr>
            <w:tcW w:w="1361" w:type="dxa"/>
          </w:tcPr>
          <w:p w14:paraId="1EDE35B4">
            <w:r>
              <w:rPr>
                <w:rFonts w:hint="eastAsia"/>
                <w:sz w:val="18"/>
              </w:rPr>
              <w:t>5 测试工装</w:t>
            </w:r>
          </w:p>
        </w:tc>
        <w:tc>
          <w:tcPr>
            <w:tcW w:w="1814" w:type="dxa"/>
          </w:tcPr>
          <w:p w14:paraId="616780E5">
            <w:r>
              <w:rPr>
                <w:rFonts w:hint="eastAsia"/>
                <w:sz w:val="18"/>
              </w:rPr>
              <w:t>测试工装+辅助机构</w:t>
            </w:r>
          </w:p>
        </w:tc>
        <w:tc>
          <w:tcPr>
            <w:tcW w:w="1587" w:type="dxa"/>
          </w:tcPr>
          <w:p w14:paraId="3501139F">
            <w:r>
              <w:rPr>
                <w:rFonts w:hint="eastAsia"/>
                <w:sz w:val="18"/>
              </w:rPr>
              <w:t>陈泽帆(智能制造)</w:t>
            </w:r>
          </w:p>
        </w:tc>
        <w:tc>
          <w:tcPr>
            <w:tcW w:w="1134" w:type="dxa"/>
          </w:tcPr>
          <w:p w14:paraId="4EF5CB0D">
            <w:r>
              <w:rPr>
                <w:rFonts w:hint="eastAsia"/>
                <w:sz w:val="18"/>
              </w:rPr>
              <w:t>鲁紫轩</w:t>
            </w:r>
          </w:p>
        </w:tc>
        <w:tc>
          <w:tcPr>
            <w:tcW w:w="2835" w:type="dxa"/>
          </w:tcPr>
          <w:p w14:paraId="6EF378F0">
            <w:r>
              <w:rPr>
                <w:rFonts w:hint="eastAsia"/>
                <w:sz w:val="18"/>
              </w:rPr>
              <w:t>标定支架、清洗流程、重复测量记录</w:t>
            </w:r>
          </w:p>
        </w:tc>
      </w:tr>
      <w:tr>
        <w:trPr/>
        <w:tc>
          <w:tcPr>
            <w:tcW w:w="1361" w:type="dxa"/>
          </w:tcPr>
          <w:p w14:paraId="7EE3A06E">
            <w:r>
              <w:rPr>
                <w:rFonts w:hint="eastAsia"/>
                <w:sz w:val="18"/>
              </w:rPr>
              <w:t>6 样品参比</w:t>
            </w:r>
          </w:p>
        </w:tc>
        <w:tc>
          <w:tcPr>
            <w:tcW w:w="1814" w:type="dxa"/>
          </w:tcPr>
          <w:p w14:paraId="42585633">
            <w:r>
              <w:rPr>
                <w:rFonts w:hint="eastAsia"/>
                <w:sz w:val="18"/>
              </w:rPr>
              <w:t>样品编号+参考答案</w:t>
            </w:r>
          </w:p>
        </w:tc>
        <w:tc>
          <w:tcPr>
            <w:tcW w:w="1587" w:type="dxa"/>
          </w:tcPr>
          <w:p w14:paraId="746DA6C6">
            <w:r>
              <w:rPr>
                <w:rFonts w:hint="eastAsia"/>
                <w:sz w:val="18"/>
              </w:rPr>
              <w:t>李兆沣(机器人)</w:t>
            </w:r>
          </w:p>
        </w:tc>
        <w:tc>
          <w:tcPr>
            <w:tcW w:w="1134" w:type="dxa"/>
          </w:tcPr>
          <w:p w14:paraId="0C96BEDA">
            <w:r>
              <w:rPr>
                <w:rFonts w:hint="eastAsia"/>
                <w:sz w:val="18"/>
              </w:rPr>
              <w:t>贺诗涵</w:t>
            </w:r>
          </w:p>
        </w:tc>
        <w:tc>
          <w:tcPr>
            <w:tcW w:w="2835" w:type="dxa"/>
          </w:tcPr>
          <w:p w14:paraId="57EF87ED">
            <w:r>
              <w:rPr>
                <w:rFonts w:hint="eastAsia"/>
                <w:sz w:val="18"/>
              </w:rPr>
              <w:t>样品表、采集数据、参比结果</w:t>
            </w:r>
          </w:p>
        </w:tc>
      </w:tr>
      <w:tr>
        <w:trPr/>
        <w:tc>
          <w:tcPr>
            <w:tcW w:w="1361" w:type="dxa"/>
          </w:tcPr>
          <w:p w14:paraId="6794FF16">
            <w:r>
              <w:rPr>
                <w:rFonts w:hint="eastAsia"/>
                <w:sz w:val="18"/>
              </w:rPr>
              <w:t>7 模型算法</w:t>
            </w:r>
          </w:p>
        </w:tc>
        <w:tc>
          <w:tcPr>
            <w:tcW w:w="1814" w:type="dxa"/>
          </w:tcPr>
          <w:p w14:paraId="77811698">
            <w:r>
              <w:rPr>
                <w:rFonts w:hint="eastAsia"/>
                <w:sz w:val="18"/>
              </w:rPr>
              <w:t>光信号估计参数</w:t>
            </w:r>
          </w:p>
        </w:tc>
        <w:tc>
          <w:tcPr>
            <w:tcW w:w="1587" w:type="dxa"/>
          </w:tcPr>
          <w:p w14:paraId="19EAB9BF">
            <w:r>
              <w:rPr>
                <w:rFonts w:hint="eastAsia"/>
                <w:sz w:val="18"/>
              </w:rPr>
              <w:t>林佳顺(机器人)</w:t>
            </w:r>
          </w:p>
        </w:tc>
        <w:tc>
          <w:tcPr>
            <w:tcW w:w="1134" w:type="dxa"/>
          </w:tcPr>
          <w:p w14:paraId="32C83DF1">
            <w:r>
              <w:rPr>
                <w:rFonts w:hint="eastAsia"/>
                <w:sz w:val="18"/>
              </w:rPr>
              <w:t>赖敏敏</w:t>
            </w:r>
          </w:p>
        </w:tc>
        <w:tc>
          <w:tcPr>
            <w:tcW w:w="2835" w:type="dxa"/>
          </w:tcPr>
          <w:p w14:paraId="1F2ABCF9">
            <w:r>
              <w:rPr>
                <w:rFonts w:hint="eastAsia"/>
                <w:sz w:val="18"/>
              </w:rPr>
              <w:t>简单模型、改进模型、逐项误差</w:t>
            </w:r>
          </w:p>
        </w:tc>
      </w:tr>
      <w:tr>
        <w:trPr/>
        <w:tc>
          <w:tcPr>
            <w:tcW w:w="1361" w:type="dxa"/>
          </w:tcPr>
          <w:p w14:paraId="2F15434D">
            <w:r>
              <w:rPr>
                <w:rFonts w:hint="eastAsia"/>
                <w:sz w:val="18"/>
              </w:rPr>
              <w:t>8 长期校准</w:t>
            </w:r>
          </w:p>
        </w:tc>
        <w:tc>
          <w:tcPr>
            <w:tcW w:w="1814" w:type="dxa"/>
          </w:tcPr>
          <w:p w14:paraId="72F153BA">
            <w:r>
              <w:rPr>
                <w:rFonts w:hint="eastAsia"/>
                <w:sz w:val="18"/>
              </w:rPr>
              <w:t>长期变化+模型更新</w:t>
            </w:r>
          </w:p>
        </w:tc>
        <w:tc>
          <w:tcPr>
            <w:tcW w:w="1587" w:type="dxa"/>
          </w:tcPr>
          <w:p w14:paraId="02E46B34">
            <w:r>
              <w:rPr>
                <w:rFonts w:hint="eastAsia"/>
                <w:sz w:val="18"/>
              </w:rPr>
              <w:t>赖敏敏(计科)</w:t>
            </w:r>
          </w:p>
        </w:tc>
        <w:tc>
          <w:tcPr>
            <w:tcW w:w="1134" w:type="dxa"/>
          </w:tcPr>
          <w:p w14:paraId="79D82AE6">
            <w:r>
              <w:rPr>
                <w:rFonts w:hint="eastAsia"/>
                <w:sz w:val="18"/>
              </w:rPr>
              <w:t>王欣</w:t>
            </w:r>
          </w:p>
        </w:tc>
        <w:tc>
          <w:tcPr>
            <w:tcW w:w="2835" w:type="dxa"/>
          </w:tcPr>
          <w:p w14:paraId="785C958C">
            <w:r>
              <w:rPr>
                <w:rFonts w:hint="eastAsia"/>
                <w:sz w:val="18"/>
              </w:rPr>
              <w:t>不同日期测试、校准、旧版本恢复</w:t>
            </w:r>
          </w:p>
        </w:tc>
      </w:tr>
      <w:tr>
        <w:trPr/>
        <w:tc>
          <w:tcPr>
            <w:tcW w:w="1361" w:type="dxa"/>
          </w:tcPr>
          <w:p w14:paraId="085A3E01">
            <w:r>
              <w:rPr>
                <w:rFonts w:hint="eastAsia"/>
                <w:sz w:val="18"/>
              </w:rPr>
              <w:t>9 预警测试</w:t>
            </w:r>
          </w:p>
        </w:tc>
        <w:tc>
          <w:tcPr>
            <w:tcW w:w="1814" w:type="dxa"/>
          </w:tcPr>
          <w:p w14:paraId="5BFAB0B2">
            <w:r>
              <w:rPr>
                <w:rFonts w:hint="eastAsia"/>
                <w:sz w:val="18"/>
              </w:rPr>
              <w:t>异常识别+预警测试</w:t>
            </w:r>
          </w:p>
        </w:tc>
        <w:tc>
          <w:tcPr>
            <w:tcW w:w="1587" w:type="dxa"/>
          </w:tcPr>
          <w:p w14:paraId="6BF3D820">
            <w:r>
              <w:rPr>
                <w:rFonts w:hint="eastAsia"/>
                <w:sz w:val="18"/>
              </w:rPr>
              <w:t>王志恒(计科)</w:t>
            </w:r>
          </w:p>
        </w:tc>
        <w:tc>
          <w:tcPr>
            <w:tcW w:w="1134" w:type="dxa"/>
          </w:tcPr>
          <w:p w14:paraId="04EA97D9">
            <w:r>
              <w:rPr>
                <w:rFonts w:hint="eastAsia"/>
                <w:sz w:val="18"/>
              </w:rPr>
              <w:t>钱心怡</w:t>
            </w:r>
          </w:p>
        </w:tc>
        <w:tc>
          <w:tcPr>
            <w:tcW w:w="2835" w:type="dxa"/>
          </w:tcPr>
          <w:p w14:paraId="6E95D6C0">
            <w:r>
              <w:rPr>
                <w:rFonts w:hint="eastAsia"/>
                <w:sz w:val="18"/>
              </w:rPr>
              <w:t>事件记录、误报漏报、趋势测试</w:t>
            </w:r>
          </w:p>
        </w:tc>
      </w:tr>
    </w:tbl>
    <w:p w14:paraId="6FE6667B">
      <w:r>
        <w:rPr>
          <w:rFonts w:hint="eastAsia"/>
          <w:b w:val="0"/>
        </w:rPr>
        <w:t>说明：本表为队员按接龙自选结果确定（模块1“系统整合”由队长兼）；已为每个模块配对第二负责人，互为备份。跨赛道/课表冲突同学须登记可用时段。分工试行一周后按实际能力微调。</w:t>
      </w:r>
    </w:p>
    <w:p w14:paraId="355657EC">
      <w:pPr>
        <w:pStyle w:val="000008"/>
      </w:pPr>
      <w:r>
        <w:rPr>
          <w:rFonts w:hint="eastAsia"/>
        </w:rPr>
        <w:t>4. 第0–4周每周分工细化（含队长每周动作）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1474" w:type="dxa"/>
          </w:tcPr>
          <w:p w14:paraId="3DA6E40E">
            <w:r>
              <w:rPr>
                <w:rFonts w:hint="eastAsia"/>
                <w:b w:val="1"/>
                <w:sz w:val="19"/>
              </w:rPr>
              <w:t>周次</w:t>
            </w:r>
          </w:p>
        </w:tc>
        <w:tc>
          <w:tcPr>
            <w:tcW w:w="2268" w:type="dxa"/>
          </w:tcPr>
          <w:p w14:paraId="6371470B">
            <w:r>
              <w:rPr>
                <w:rFonts w:hint="eastAsia"/>
                <w:b w:val="1"/>
                <w:sz w:val="19"/>
              </w:rPr>
              <w:t>全队目标</w:t>
            </w:r>
          </w:p>
        </w:tc>
        <w:tc>
          <w:tcPr>
            <w:tcW w:w="3402" w:type="dxa"/>
          </w:tcPr>
          <w:p w14:paraId="5D813536">
            <w:r>
              <w:rPr>
                <w:rFonts w:hint="eastAsia"/>
                <w:b w:val="1"/>
                <w:sz w:val="19"/>
              </w:rPr>
              <w:t>队长(王欣)本周动作</w:t>
            </w:r>
          </w:p>
        </w:tc>
        <w:tc>
          <w:tcPr>
            <w:tcW w:w="2835" w:type="dxa"/>
          </w:tcPr>
          <w:p w14:paraId="0C5BA61D">
            <w:r>
              <w:rPr>
                <w:rFonts w:hint="eastAsia"/>
                <w:b w:val="1"/>
                <w:sz w:val="19"/>
              </w:rPr>
              <w:t>关键交付/检查点</w:t>
            </w:r>
          </w:p>
        </w:tc>
      </w:tr>
      <w:tr>
        <w:trPr/>
        <w:tc>
          <w:tcPr>
            <w:tcW w:w="1474" w:type="dxa"/>
          </w:tcPr>
          <w:p w14:paraId="76EA60C7">
            <w:r>
              <w:rPr>
                <w:rFonts w:hint="eastAsia"/>
                <w:sz w:val="18"/>
              </w:rPr>
              <w:t>第0周 9/16–9/25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>报名筹备</w:t>
            </w:r>
          </w:p>
        </w:tc>
        <w:tc>
          <w:tcPr>
            <w:tcW w:w="2268" w:type="dxa"/>
          </w:tcPr>
          <w:p w14:paraId="2DE6E3FE">
            <w:r>
              <w:rPr>
                <w:rFonts w:hint="eastAsia"/>
                <w:sz w:val="18"/>
              </w:rPr>
              <w:t>报名草稿+建仓+摸排资源</w:t>
            </w:r>
          </w:p>
        </w:tc>
        <w:tc>
          <w:tcPr>
            <w:tcW w:w="3402" w:type="dxa"/>
          </w:tcPr>
          <w:p w14:paraId="7748104D">
            <w:r>
              <w:rPr>
                <w:rFonts w:hint="eastAsia"/>
                <w:sz w:val="18"/>
              </w:rPr>
              <w:t>1)9/25前系统报名存草稿；2)建Git私有仓+共享文档+时段表；3)发“暂行口径表”群内对齐；4)摸排可借仪器与参比渠道；5)出置办清单做预算</w:t>
            </w:r>
          </w:p>
        </w:tc>
        <w:tc>
          <w:tcPr>
            <w:tcW w:w="2835" w:type="dxa"/>
          </w:tcPr>
          <w:p w14:paraId="1037FD1A">
            <w:r>
              <w:rPr>
                <w:rFonts w:hint="eastAsia"/>
                <w:sz w:val="18"/>
              </w:rPr>
              <w:t>报名草稿、仓库、口径表v1、资源缺口清单</w:t>
            </w:r>
          </w:p>
        </w:tc>
      </w:tr>
      <w:tr>
        <w:trPr/>
        <w:tc>
          <w:tcPr>
            <w:tcW w:w="1474" w:type="dxa"/>
          </w:tcPr>
          <w:p w14:paraId="4558723F">
            <w:r>
              <w:rPr>
                <w:rFonts w:hint="eastAsia"/>
                <w:sz w:val="18"/>
              </w:rPr>
              <w:t>第1周</w:t>
            </w:r>
          </w:p>
        </w:tc>
        <w:tc>
          <w:tcPr>
            <w:tcW w:w="2268" w:type="dxa"/>
          </w:tcPr>
          <w:p w14:paraId="6575A317">
            <w:r>
              <w:rPr>
                <w:rFonts w:hint="eastAsia"/>
                <w:sz w:val="18"/>
              </w:rPr>
              <w:t>确认口径+真实采集跑通+首批样本</w:t>
            </w:r>
          </w:p>
        </w:tc>
        <w:tc>
          <w:tcPr>
            <w:tcW w:w="3402" w:type="dxa"/>
          </w:tcPr>
          <w:p w14:paraId="355809D1">
            <w:r>
              <w:rPr>
                <w:rFonts w:hint="eastAsia"/>
                <w:sz w:val="18"/>
              </w:rPr>
              <w:t>带口径表找老师/学长确认；分配角色与第二负责人；自己先跑通最小链路(1参数)；收集周报</w:t>
            </w:r>
          </w:p>
        </w:tc>
        <w:tc>
          <w:tcPr>
            <w:tcW w:w="2835" w:type="dxa"/>
          </w:tcPr>
          <w:p w14:paraId="213ED784">
            <w:r>
              <w:rPr>
                <w:rFonts w:hint="eastAsia"/>
                <w:sz w:val="18"/>
              </w:rPr>
              <w:t>光路草图、真实记录、仍缺实验条件清单；周末互换电脑验证</w:t>
            </w:r>
          </w:p>
        </w:tc>
      </w:tr>
      <w:tr>
        <w:trPr/>
        <w:tc>
          <w:tcPr>
            <w:tcW w:w="1474" w:type="dxa"/>
          </w:tcPr>
          <w:p w14:paraId="57C8078D">
            <w:r>
              <w:rPr>
                <w:rFonts w:hint="eastAsia"/>
                <w:sz w:val="18"/>
              </w:rPr>
              <w:t>第2周</w:t>
            </w:r>
          </w:p>
        </w:tc>
        <w:tc>
          <w:tcPr>
            <w:tcW w:w="2268" w:type="dxa"/>
          </w:tcPr>
          <w:p w14:paraId="4A6AB6A5">
            <w:r>
              <w:rPr>
                <w:rFonts w:hint="eastAsia"/>
                <w:sz w:val="18"/>
              </w:rPr>
              <w:t>模型起步+扩展参数+板端指标</w:t>
            </w:r>
          </w:p>
        </w:tc>
        <w:tc>
          <w:tcPr>
            <w:tcW w:w="3402" w:type="dxa"/>
          </w:tcPr>
          <w:p w14:paraId="1B4E4BE2">
            <w:r>
              <w:rPr>
                <w:rFonts w:hint="eastAsia"/>
                <w:sz w:val="18"/>
              </w:rPr>
              <w:t>组织模型vs光学方案比较；推进板端时间/功耗实测；控范围(第2周末无完整流程先减装饰)</w:t>
            </w:r>
          </w:p>
        </w:tc>
        <w:tc>
          <w:tcPr>
            <w:tcW w:w="2835" w:type="dxa"/>
          </w:tcPr>
          <w:p w14:paraId="05F65902">
            <w:r>
              <w:rPr>
                <w:rFonts w:hint="eastAsia"/>
                <w:sz w:val="18"/>
              </w:rPr>
              <w:t>基线模型、可验证参数清单、板端原始记录</w:t>
            </w:r>
          </w:p>
        </w:tc>
      </w:tr>
      <w:tr>
        <w:trPr/>
        <w:tc>
          <w:tcPr>
            <w:tcW w:w="1474" w:type="dxa"/>
          </w:tcPr>
          <w:p w14:paraId="4B15F277">
            <w:r>
              <w:rPr>
                <w:rFonts w:hint="eastAsia"/>
                <w:sz w:val="18"/>
              </w:rPr>
              <w:t>第3周</w:t>
            </w:r>
          </w:p>
        </w:tc>
        <w:tc>
          <w:tcPr>
            <w:tcW w:w="2268" w:type="dxa"/>
          </w:tcPr>
          <w:p w14:paraId="2C836E7F">
            <w:r>
              <w:rPr>
                <w:rFonts w:hint="eastAsia"/>
                <w:sz w:val="18"/>
              </w:rPr>
              <w:t>新样本+漂移/预警+重复测量</w:t>
            </w:r>
          </w:p>
        </w:tc>
        <w:tc>
          <w:tcPr>
            <w:tcW w:w="3402" w:type="dxa"/>
          </w:tcPr>
          <w:p w14:paraId="49649721">
            <w:r>
              <w:rPr>
                <w:rFonts w:hint="eastAsia"/>
                <w:sz w:val="18"/>
              </w:rPr>
              <w:t>安排不同日期/来源样本测试；检查预警事件与误报漏报；核对示波器波形与BOM</w:t>
            </w:r>
          </w:p>
        </w:tc>
        <w:tc>
          <w:tcPr>
            <w:tcW w:w="2835" w:type="dxa"/>
          </w:tcPr>
          <w:p w14:paraId="51B49400">
            <w:r>
              <w:rPr>
                <w:rFonts w:hint="eastAsia"/>
                <w:sz w:val="18"/>
              </w:rPr>
              <w:t>漂移测试、预警事件、重复测量、BOM清单</w:t>
            </w:r>
          </w:p>
        </w:tc>
      </w:tr>
      <w:tr>
        <w:trPr/>
        <w:tc>
          <w:tcPr>
            <w:tcW w:w="1474" w:type="dxa"/>
          </w:tcPr>
          <w:p w14:paraId="0765A90F">
            <w:r>
              <w:rPr>
                <w:rFonts w:hint="eastAsia"/>
                <w:sz w:val="18"/>
              </w:rPr>
              <w:t>第4周</w:t>
            </w:r>
          </w:p>
        </w:tc>
        <w:tc>
          <w:tcPr>
            <w:tcW w:w="2268" w:type="dxa"/>
          </w:tcPr>
          <w:p w14:paraId="1E5AC2A5">
            <w:r>
              <w:rPr>
                <w:rFonts w:hint="eastAsia"/>
                <w:sz w:val="18"/>
              </w:rPr>
              <w:t>固定版本+如实整理达标</w:t>
            </w:r>
          </w:p>
        </w:tc>
        <w:tc>
          <w:tcPr>
            <w:tcW w:w="3402" w:type="dxa"/>
          </w:tcPr>
          <w:p w14:paraId="41F489E0">
            <w:r>
              <w:rPr>
                <w:rFonts w:hint="eastAsia"/>
                <w:sz w:val="18"/>
              </w:rPr>
              <w:t>冻结版本与模型；组织盲样测试+消融实验；如实填“达标/待验证”对照表；完成报告与录像</w:t>
            </w:r>
          </w:p>
        </w:tc>
        <w:tc>
          <w:tcPr>
            <w:tcW w:w="2835" w:type="dxa"/>
          </w:tcPr>
          <w:p w14:paraId="53A64418">
            <w:r>
              <w:rPr>
                <w:rFonts w:hint="eastAsia"/>
                <w:sz w:val="18"/>
              </w:rPr>
              <w:t>方案书、技术报告、演示视频、测试记录、达标对照表</w:t>
            </w:r>
          </w:p>
        </w:tc>
      </w:tr>
    </w:tbl>
    <w:p w14:paraId="1F8F5B89">
      <w:r>
        <w:rPr>
          <w:rFonts w:hint="eastAsia"/>
          <w:b w:val="0"/>
        </w:rPr>
        <w:t>例会纪律：每周例会只查具体东西——每人带可运行功能/文件/截图/原始记录，说明“做成什么、卡在哪、下周交什么”。“基本完成”须补成具体问题。</w:t>
      </w:r>
    </w:p>
    <w:p w14:paraId="6D82F9A7">
      <w:pPr>
        <w:pStyle w:val="000008"/>
      </w:pPr>
      <w:r>
        <w:rPr>
          <w:rFonts w:hint="eastAsia"/>
        </w:rPr>
        <w:t>5. 队长（王欣）行动步骤清单（具体分步，从现在开始）</w:t>
      </w:r>
    </w:p>
    <w:p w14:paraId="4E137EBC">
      <w:r>
        <w:rPr>
          <w:rFonts w:hint="eastAsia"/>
          <w:b w:val="1"/>
        </w:rPr>
        <w:t>A. 报名与工程基础（第0周）</w:t>
      </w:r>
    </w:p>
    <w:p w14:paraId="2766D108">
      <w:pPr>
        <w:pStyle w:val="000032"/>
      </w:pPr>
      <w:r>
        <w:rPr>
          <w:rFonts w:hint="eastAsia"/>
        </w:rPr>
        <w:t>在报名系统上传队伍与项目资料，先保存为草稿；待指导老师名单公布后再统一更新提交（9/25前完成）。</w:t>
      </w:r>
    </w:p>
    <w:p w14:paraId="1426EA18">
      <w:pPr>
        <w:pStyle w:val="000032"/>
      </w:pPr>
      <w:r>
        <w:rPr>
          <w:rFonts w:hint="eastAsia"/>
        </w:rPr>
        <w:t>建 GitHub/GitLab 私有仓库（存代码+数据+报告）；建群内共享文档（方案书/周报模板）；登记每人可用投入时段表。</w:t>
      </w:r>
    </w:p>
    <w:p w14:paraId="5CD82FE7">
      <w:pPr>
        <w:pStyle w:val="000032"/>
      </w:pPr>
      <w:r>
        <w:rPr>
          <w:rFonts w:hint="eastAsia"/>
        </w:rPr>
        <w:t>把本计划书第2章“暂行口径表”发群里，组织一次对齐会，确保9人对指标理解一致。</w:t>
      </w:r>
    </w:p>
    <w:p w14:paraId="4CC82B05">
      <w:pPr>
        <w:pStyle w:val="000032"/>
      </w:pPr>
      <w:r>
        <w:rPr>
          <w:rFonts w:hint="eastAsia"/>
        </w:rPr>
        <w:t>摸排可借仪器：列出示波器/逻辑分析仪/标准液/光谱等清单，打听学校实验室借用流程（这通常需老师签字——是催老师的最大理由）。</w:t>
      </w:r>
    </w:p>
    <w:p w14:paraId="47CE8FF5">
      <w:pPr>
        <w:pStyle w:val="000032"/>
      </w:pPr>
      <w:r>
        <w:rPr>
          <w:rFonts w:hint="eastAsia"/>
        </w:rPr>
        <w:t>落实参比渠道：联系学校环境/化学实验室或本地水务/第三方检测，问清“谁能提供pH/DO/浊度/硝酸盐等标准化验结果”作为盲样参考答案。</w:t>
      </w:r>
    </w:p>
    <w:p w14:paraId="5A3DBDE1">
      <w:pPr>
        <w:pStyle w:val="000032"/>
      </w:pPr>
      <w:r>
        <w:rPr>
          <w:rFonts w:hint="eastAsia"/>
        </w:rPr>
        <w:t>据第6章出置办清单与预算，队内确认“先借什么、再买什么、买哪些”。</w:t>
      </w:r>
    </w:p>
    <w:p w14:paraId="046BF8CE">
      <w:r>
        <w:rPr>
          <w:rFonts w:hint="eastAsia"/>
          <w:b w:val="1"/>
        </w:rPr>
        <w:t>B. 找老师 + 启动开发（第1周）</w:t>
      </w:r>
    </w:p>
    <w:p w14:paraId="48C8351B">
      <w:pPr>
        <w:pStyle w:val="000032"/>
      </w:pPr>
      <w:r>
        <w:rPr>
          <w:rFonts w:hint="eastAsia"/>
        </w:rPr>
        <w:t>带“硬指标暂行口径表”找任何能找到的老师/学长确认口径、可借仪器、参比渠道；记录无法确认的项标“待确认”，不凭理解开工。</w:t>
      </w:r>
    </w:p>
    <w:p w14:paraId="24936F59">
      <w:pPr>
        <w:pStyle w:val="000032"/>
      </w:pPr>
      <w:r>
        <w:rPr>
          <w:rFonts w:hint="eastAsia"/>
        </w:rPr>
        <w:t>召集周会，宣布角色分配与第二负责人，确定每人第1周任务。</w:t>
      </w:r>
    </w:p>
    <w:p w14:paraId="471CBACA">
      <w:pPr>
        <w:pStyle w:val="000032"/>
      </w:pPr>
      <w:r>
        <w:rPr>
          <w:rFonts w:hint="eastAsia"/>
        </w:rPr>
        <w:t>自己（角色1）先把“传感器→边缘板→后端→网页仪表盘”最小链路跑通一条（哪怕只显示1个参数），定义统一JSON格式(参数名/值/时间戳/单位)。</w:t>
      </w:r>
    </w:p>
    <w:p w14:paraId="747E08B5">
      <w:pPr>
        <w:pStyle w:val="000032"/>
      </w:pPr>
      <w:r>
        <w:rPr>
          <w:rFonts w:hint="eastAsia"/>
        </w:rPr>
        <w:t>周末收集各成员进度，发布群内周报 + 缺口清单；安排“周末互换电脑”，由另一名同学按说明独立启动系统（验证第二负责人）。</w:t>
      </w:r>
    </w:p>
    <w:p w14:paraId="0A3A8C2D">
      <w:r>
        <w:rPr>
          <w:rFonts w:hint="eastAsia"/>
          <w:b w:val="1"/>
        </w:rPr>
        <w:t>C. 过程管理（第2–4周常态）</w:t>
      </w:r>
    </w:p>
    <w:p w14:paraId="6BEF5A83">
      <w:pPr>
        <w:pStyle w:val="000032"/>
      </w:pPr>
      <w:r>
        <w:rPr>
          <w:rFonts w:hint="eastAsia"/>
        </w:rPr>
        <w:t>每周例会只查具体交付物；第2周末无完整流程→先砍装饰界面；第4周末无比较版本/测试数据→先暂停加新创新点。</w:t>
      </w:r>
    </w:p>
    <w:p w14:paraId="4EB12ED2">
      <w:pPr>
        <w:pStyle w:val="000032"/>
      </w:pPr>
      <w:r>
        <w:rPr>
          <w:rFonts w:hint="eastAsia"/>
        </w:rPr>
        <w:t>账号、模型调用费用、服务器用量分项目记录，避免展示当天额度不足。</w:t>
      </w:r>
    </w:p>
    <w:p w14:paraId="7A6722F5">
      <w:pPr>
        <w:pStyle w:val="000032"/>
      </w:pPr>
      <w:r>
        <w:rPr>
          <w:rFonts w:hint="eastAsia"/>
        </w:rPr>
        <w:t>第3–4周组织盲样测试（不负责训练的同学给编号水样，建模者暂不知参比，输出后公开对比）与消融实验（关掉一个改进功能看结果变化）。</w:t>
      </w:r>
    </w:p>
    <w:p w14:paraId="437A197D">
      <w:pPr>
        <w:pStyle w:val="000032"/>
      </w:pPr>
      <w:r>
        <w:rPr>
          <w:rFonts w:hint="eastAsia"/>
        </w:rPr>
        <w:t>第4周冻结版本，如实填“达标/待验证”对照表；未达标项标“待验证”不写成已达标。</w:t>
      </w:r>
    </w:p>
    <w:p w14:paraId="6A252617">
      <w:pPr>
        <w:pStyle w:val="000008"/>
      </w:pPr>
      <w:r>
        <w:rPr>
          <w:rFonts w:hint="eastAsia"/>
        </w:rPr>
        <w:t>6. 置办工具与零件清单（分级 + 预算）</w:t>
      </w:r>
    </w:p>
    <w:p w14:paraId="200282A7">
      <w:r>
        <w:rPr>
          <w:rFonts w:hint="eastAsia"/>
          <w:b w:val="1"/>
        </w:rPr>
        <w:t>原则：先确认学校实验室能借哪些（示波器/标准液/光谱优先借），再决定买哪些。下表为暂行采购清单，预算为市场价粗略区间，以实购为准。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020" w:type="dxa"/>
          </w:tcPr>
          <w:p w14:paraId="2F2D34E1">
            <w:r>
              <w:rPr>
                <w:rFonts w:hint="eastAsia"/>
                <w:b w:val="1"/>
                <w:sz w:val="19"/>
              </w:rPr>
              <w:t>分级</w:t>
            </w:r>
          </w:p>
        </w:tc>
        <w:tc>
          <w:tcPr>
            <w:tcW w:w="1134" w:type="dxa"/>
          </w:tcPr>
          <w:p w14:paraId="16486AAA">
            <w:r>
              <w:rPr>
                <w:rFonts w:hint="eastAsia"/>
                <w:b w:val="1"/>
                <w:sz w:val="19"/>
              </w:rPr>
              <w:t>类别</w:t>
            </w:r>
          </w:p>
        </w:tc>
        <w:tc>
          <w:tcPr>
            <w:tcW w:w="3685" w:type="dxa"/>
          </w:tcPr>
          <w:p w14:paraId="590183B1">
            <w:r>
              <w:rPr>
                <w:rFonts w:hint="eastAsia"/>
                <w:b w:val="1"/>
                <w:sz w:val="19"/>
              </w:rPr>
              <w:t>具体物品</w:t>
            </w:r>
          </w:p>
        </w:tc>
        <w:tc>
          <w:tcPr>
            <w:tcW w:w="1984" w:type="dxa"/>
          </w:tcPr>
          <w:p w14:paraId="6910FA3C">
            <w:r>
              <w:rPr>
                <w:rFonts w:hint="eastAsia"/>
                <w:b w:val="1"/>
                <w:sz w:val="19"/>
              </w:rPr>
              <w:t>用途/对应指标</w:t>
            </w:r>
          </w:p>
        </w:tc>
        <w:tc>
          <w:tcPr>
            <w:tcW w:w="1247" w:type="dxa"/>
          </w:tcPr>
          <w:p w14:paraId="792F12B6">
            <w:r>
              <w:rPr>
                <w:rFonts w:hint="eastAsia"/>
                <w:b w:val="1"/>
                <w:sz w:val="19"/>
              </w:rPr>
              <w:t>预算区间(元)</w:t>
            </w:r>
          </w:p>
        </w:tc>
      </w:tr>
      <w:tr>
        <w:trPr/>
        <w:tc>
          <w:tcPr>
            <w:tcW w:w="1020" w:type="dxa"/>
          </w:tcPr>
          <w:p w14:paraId="6F6C4ABA">
            <w:r>
              <w:rPr>
                <w:rFonts w:hint="eastAsia"/>
                <w:sz w:val="18"/>
              </w:rPr>
              <w:t>必购·核心</w:t>
            </w:r>
          </w:p>
        </w:tc>
        <w:tc>
          <w:tcPr>
            <w:tcW w:w="1134" w:type="dxa"/>
          </w:tcPr>
          <w:p w14:paraId="34143A21">
            <w:r>
              <w:rPr>
                <w:rFonts w:hint="eastAsia"/>
                <w:sz w:val="18"/>
              </w:rPr>
              <w:t>边缘AI板</w:t>
            </w:r>
          </w:p>
        </w:tc>
        <w:tc>
          <w:tcPr>
            <w:tcW w:w="3685" w:type="dxa"/>
          </w:tcPr>
          <w:p w14:paraId="477ABF2D">
            <w:r>
              <w:rPr>
                <w:rFonts w:hint="eastAsia"/>
                <w:sz w:val="18"/>
              </w:rPr>
              <w:t>国产开发板(嘉楠K210/瑞芯微/全志/昇腾Atlas 200I)，核对SoC国产</w:t>
            </w:r>
          </w:p>
        </w:tc>
        <w:tc>
          <w:tcPr>
            <w:tcW w:w="1984" w:type="dxa"/>
          </w:tcPr>
          <w:p w14:paraId="75B1CC16">
            <w:r>
              <w:rPr>
                <w:rFonts w:hint="eastAsia"/>
                <w:sz w:val="18"/>
              </w:rPr>
              <w:t>边缘推理、国产化</w:t>
            </w:r>
          </w:p>
        </w:tc>
        <w:tc>
          <w:tcPr>
            <w:tcW w:w="1247" w:type="dxa"/>
          </w:tcPr>
          <w:p w14:paraId="05ACF480">
            <w:r>
              <w:rPr>
                <w:sz w:val="18"/>
              </w:rPr>
              <w:t>200–900</w:t>
            </w:r>
          </w:p>
        </w:tc>
      </w:tr>
      <w:tr>
        <w:trPr/>
        <w:tc>
          <w:tcPr>
            <w:tcW w:w="1020" w:type="dxa"/>
          </w:tcPr>
          <w:p w14:paraId="776C318C">
            <w:r>
              <w:rPr>
                <w:rFonts w:hint="eastAsia"/>
                <w:sz w:val="18"/>
              </w:rPr>
              <w:t>必购·核心</w:t>
            </w:r>
          </w:p>
        </w:tc>
        <w:tc>
          <w:tcPr>
            <w:tcW w:w="1134" w:type="dxa"/>
          </w:tcPr>
          <w:p w14:paraId="0706997B">
            <w:r>
              <w:rPr>
                <w:rFonts w:hint="eastAsia"/>
                <w:sz w:val="18"/>
              </w:rPr>
              <w:t>水质电极/探头</w:t>
            </w:r>
          </w:p>
        </w:tc>
        <w:tc>
          <w:tcPr>
            <w:tcW w:w="3685" w:type="dxa"/>
          </w:tcPr>
          <w:p w14:paraId="5E631B4A">
            <w:r>
              <w:rPr>
                <w:rFonts w:hint="eastAsia"/>
                <w:sz w:val="18"/>
              </w:rPr>
              <w:t>pH、电导率、DO、温度、ORP（雷磁等国产，记型号与来源）</w:t>
            </w:r>
          </w:p>
        </w:tc>
        <w:tc>
          <w:tcPr>
            <w:tcW w:w="1984" w:type="dxa"/>
          </w:tcPr>
          <w:p w14:paraId="0C028AE7">
            <w:r>
              <w:rPr>
                <w:rFonts w:hint="eastAsia"/>
                <w:sz w:val="18"/>
              </w:rPr>
              <w:t>参数采集、国产化</w:t>
            </w:r>
          </w:p>
        </w:tc>
        <w:tc>
          <w:tcPr>
            <w:tcW w:w="1247" w:type="dxa"/>
          </w:tcPr>
          <w:p w14:paraId="222A659B">
            <w:r>
              <w:rPr>
                <w:sz w:val="18"/>
              </w:rPr>
              <w:t>800–3000</w:t>
            </w:r>
          </w:p>
        </w:tc>
      </w:tr>
      <w:tr>
        <w:trPr/>
        <w:tc>
          <w:tcPr>
            <w:tcW w:w="1020" w:type="dxa"/>
          </w:tcPr>
          <w:p w14:paraId="2C6D399F">
            <w:r>
              <w:rPr>
                <w:rFonts w:hint="eastAsia"/>
                <w:sz w:val="18"/>
              </w:rPr>
              <w:t>必购·核心</w:t>
            </w:r>
          </w:p>
        </w:tc>
        <w:tc>
          <w:tcPr>
            <w:tcW w:w="1134" w:type="dxa"/>
          </w:tcPr>
          <w:p w14:paraId="59DE2182">
            <w:r>
              <w:rPr>
                <w:rFonts w:hint="eastAsia"/>
                <w:sz w:val="18"/>
              </w:rPr>
              <w:t>光学模块</w:t>
            </w:r>
          </w:p>
        </w:tc>
        <w:tc>
          <w:tcPr>
            <w:tcW w:w="3685" w:type="dxa"/>
          </w:tcPr>
          <w:p w14:paraId="025876C5">
            <w:r>
              <w:rPr>
                <w:rFonts w:hint="eastAsia"/>
                <w:sz w:val="18"/>
              </w:rPr>
              <w:t>特定波长LED(含UV254nm)、滤光片、光电探测器/微型光谱、流通比色皿</w:t>
            </w:r>
          </w:p>
        </w:tc>
        <w:tc>
          <w:tcPr>
            <w:tcW w:w="1984" w:type="dxa"/>
          </w:tcPr>
          <w:p w14:paraId="56F46954">
            <w:r>
              <w:rPr>
                <w:rFonts w:hint="eastAsia"/>
                <w:sz w:val="18"/>
              </w:rPr>
              <w:t>光域原位、参数估计</w:t>
            </w:r>
          </w:p>
        </w:tc>
        <w:tc>
          <w:tcPr>
            <w:tcW w:w="1247" w:type="dxa"/>
          </w:tcPr>
          <w:p w14:paraId="04387DAF">
            <w:r>
              <w:rPr>
                <w:sz w:val="18"/>
              </w:rPr>
              <w:t>500–2000</w:t>
            </w:r>
          </w:p>
        </w:tc>
      </w:tr>
      <w:tr>
        <w:trPr/>
        <w:tc>
          <w:tcPr>
            <w:tcW w:w="1020" w:type="dxa"/>
          </w:tcPr>
          <w:p w14:paraId="76F0B8AB">
            <w:r>
              <w:rPr>
                <w:rFonts w:hint="eastAsia"/>
                <w:sz w:val="18"/>
              </w:rPr>
              <w:t>必购·核心</w:t>
            </w:r>
          </w:p>
        </w:tc>
        <w:tc>
          <w:tcPr>
            <w:tcW w:w="1134" w:type="dxa"/>
          </w:tcPr>
          <w:p w14:paraId="7FDD5A95">
            <w:r>
              <w:rPr>
                <w:rFonts w:hint="eastAsia"/>
                <w:sz w:val="18"/>
              </w:rPr>
              <w:t>流路</w:t>
            </w:r>
          </w:p>
        </w:tc>
        <w:tc>
          <w:tcPr>
            <w:tcW w:w="3685" w:type="dxa"/>
          </w:tcPr>
          <w:p w14:paraId="008F93BF">
            <w:r>
              <w:rPr>
                <w:rFonts w:hint="eastAsia"/>
                <w:sz w:val="18"/>
              </w:rPr>
              <w:t>低功耗蠕动泵(≤1.3W)、管路、密封件</w:t>
            </w:r>
          </w:p>
        </w:tc>
        <w:tc>
          <w:tcPr>
            <w:tcW w:w="1984" w:type="dxa"/>
          </w:tcPr>
          <w:p w14:paraId="10977B23">
            <w:r>
              <w:rPr>
                <w:rFonts w:hint="eastAsia"/>
                <w:sz w:val="18"/>
              </w:rPr>
              <w:t>样品通道、功耗</w:t>
            </w:r>
          </w:p>
        </w:tc>
        <w:tc>
          <w:tcPr>
            <w:tcW w:w="1247" w:type="dxa"/>
          </w:tcPr>
          <w:p w14:paraId="275D0556">
            <w:r>
              <w:rPr>
                <w:sz w:val="18"/>
              </w:rPr>
              <w:t>150–600</w:t>
            </w:r>
          </w:p>
        </w:tc>
      </w:tr>
      <w:tr>
        <w:trPr/>
        <w:tc>
          <w:tcPr>
            <w:tcW w:w="1020" w:type="dxa"/>
          </w:tcPr>
          <w:p w14:paraId="111DE1CB">
            <w:r>
              <w:rPr>
                <w:rFonts w:hint="eastAsia"/>
                <w:sz w:val="18"/>
              </w:rPr>
              <w:t>必借·优先</w:t>
            </w:r>
          </w:p>
        </w:tc>
        <w:tc>
          <w:tcPr>
            <w:tcW w:w="1134" w:type="dxa"/>
          </w:tcPr>
          <w:p w14:paraId="5FAD05C0">
            <w:r>
              <w:rPr>
                <w:rFonts w:hint="eastAsia"/>
                <w:sz w:val="18"/>
              </w:rPr>
              <w:t>测量仪器</w:t>
            </w:r>
          </w:p>
        </w:tc>
        <w:tc>
          <w:tcPr>
            <w:tcW w:w="3685" w:type="dxa"/>
          </w:tcPr>
          <w:p w14:paraId="4AC8FFAA">
            <w:r>
              <w:rPr>
                <w:rFonts w:hint="eastAsia"/>
                <w:sz w:val="18"/>
              </w:rPr>
              <w:t>示波器/逻辑分析仪(测1ms)、功率计、万用表</w:t>
            </w:r>
          </w:p>
        </w:tc>
        <w:tc>
          <w:tcPr>
            <w:tcW w:w="1984" w:type="dxa"/>
          </w:tcPr>
          <w:p w14:paraId="5AD9D73F">
            <w:r>
              <w:rPr>
                <w:rFonts w:hint="eastAsia"/>
                <w:sz w:val="18"/>
              </w:rPr>
              <w:t>时间/功耗实测</w:t>
            </w:r>
          </w:p>
        </w:tc>
        <w:tc>
          <w:tcPr>
            <w:tcW w:w="1247" w:type="dxa"/>
          </w:tcPr>
          <w:p w14:paraId="61B98C8D">
            <w:r>
              <w:rPr>
                <w:rFonts w:hint="eastAsia"/>
                <w:sz w:val="18"/>
              </w:rPr>
              <w:t>借学校</w:t>
            </w:r>
          </w:p>
        </w:tc>
      </w:tr>
      <w:tr>
        <w:trPr/>
        <w:tc>
          <w:tcPr>
            <w:tcW w:w="1020" w:type="dxa"/>
          </w:tcPr>
          <w:p w14:paraId="4C38F6FA">
            <w:r>
              <w:rPr>
                <w:rFonts w:hint="eastAsia"/>
                <w:sz w:val="18"/>
              </w:rPr>
              <w:t>必借/购</w:t>
            </w:r>
          </w:p>
        </w:tc>
        <w:tc>
          <w:tcPr>
            <w:tcW w:w="1134" w:type="dxa"/>
          </w:tcPr>
          <w:p w14:paraId="7A866617">
            <w:r>
              <w:rPr>
                <w:rFonts w:hint="eastAsia"/>
                <w:sz w:val="18"/>
              </w:rPr>
              <w:t>标准物质</w:t>
            </w:r>
          </w:p>
        </w:tc>
        <w:tc>
          <w:tcPr>
            <w:tcW w:w="3685" w:type="dxa"/>
          </w:tcPr>
          <w:p w14:paraId="38BC2D7C">
            <w:r>
              <w:rPr>
                <w:rFonts w:hint="eastAsia"/>
                <w:sz w:val="18"/>
              </w:rPr>
              <w:t>标准缓冲液、标准浊度液、参考温度计</w:t>
            </w:r>
          </w:p>
        </w:tc>
        <w:tc>
          <w:tcPr>
            <w:tcW w:w="1984" w:type="dxa"/>
          </w:tcPr>
          <w:p w14:paraId="4881A4CA">
            <w:r>
              <w:rPr>
                <w:rFonts w:hint="eastAsia"/>
                <w:sz w:val="18"/>
              </w:rPr>
              <w:t>校准、参比对照</w:t>
            </w:r>
          </w:p>
        </w:tc>
        <w:tc>
          <w:tcPr>
            <w:tcW w:w="1247" w:type="dxa"/>
          </w:tcPr>
          <w:p w14:paraId="58B0FC49">
            <w:r>
              <w:rPr>
                <w:sz w:val="18"/>
              </w:rPr>
              <w:t>200–500</w:t>
            </w:r>
          </w:p>
        </w:tc>
      </w:tr>
      <w:tr>
        <w:trPr/>
        <w:tc>
          <w:tcPr>
            <w:tcW w:w="1020" w:type="dxa"/>
          </w:tcPr>
          <w:p w14:paraId="4AEA33EC">
            <w:r>
              <w:rPr>
                <w:rFonts w:hint="eastAsia"/>
                <w:sz w:val="18"/>
              </w:rPr>
              <w:t>必购·结构</w:t>
            </w:r>
          </w:p>
        </w:tc>
        <w:tc>
          <w:tcPr>
            <w:tcW w:w="1134" w:type="dxa"/>
          </w:tcPr>
          <w:p w14:paraId="51CB8B5F">
            <w:r>
              <w:rPr>
                <w:rFonts w:hint="eastAsia"/>
                <w:sz w:val="18"/>
              </w:rPr>
              <w:t>结构件</w:t>
            </w:r>
          </w:p>
        </w:tc>
        <w:tc>
          <w:tcPr>
            <w:tcW w:w="3685" w:type="dxa"/>
          </w:tcPr>
          <w:p w14:paraId="623D5D83">
            <w:r>
              <w:rPr>
                <w:rFonts w:hint="eastAsia"/>
                <w:sz w:val="18"/>
              </w:rPr>
              <w:t>标定支架材料、外壳/支架(可3D打印)、清洗装置</w:t>
            </w:r>
          </w:p>
        </w:tc>
        <w:tc>
          <w:tcPr>
            <w:tcW w:w="1984" w:type="dxa"/>
          </w:tcPr>
          <w:p w14:paraId="7248847F">
            <w:r>
              <w:rPr>
                <w:rFonts w:hint="eastAsia"/>
                <w:sz w:val="18"/>
              </w:rPr>
              <w:t>测试工装、密封</w:t>
            </w:r>
          </w:p>
        </w:tc>
        <w:tc>
          <w:tcPr>
            <w:tcW w:w="1247" w:type="dxa"/>
          </w:tcPr>
          <w:p w14:paraId="03AE4CE2">
            <w:r>
              <w:rPr>
                <w:sz w:val="18"/>
              </w:rPr>
              <w:t>100–500</w:t>
            </w:r>
          </w:p>
        </w:tc>
      </w:tr>
      <w:tr>
        <w:trPr/>
        <w:tc>
          <w:tcPr>
            <w:tcW w:w="1020" w:type="dxa"/>
          </w:tcPr>
          <w:p w14:paraId="13941754">
            <w:r>
              <w:rPr>
                <w:rFonts w:hint="eastAsia"/>
                <w:sz w:val="18"/>
              </w:rPr>
              <w:t>必落实·渠道</w:t>
            </w:r>
          </w:p>
        </w:tc>
        <w:tc>
          <w:tcPr>
            <w:tcW w:w="1134" w:type="dxa"/>
          </w:tcPr>
          <w:p w14:paraId="5EE537CB">
            <w:r>
              <w:rPr>
                <w:rFonts w:hint="eastAsia"/>
                <w:sz w:val="18"/>
              </w:rPr>
              <w:t>参比检测</w:t>
            </w:r>
          </w:p>
        </w:tc>
        <w:tc>
          <w:tcPr>
            <w:tcW w:w="3685" w:type="dxa"/>
          </w:tcPr>
          <w:p w14:paraId="61B436A9">
            <w:r>
              <w:rPr>
                <w:rFonts w:hint="eastAsia"/>
                <w:sz w:val="18"/>
              </w:rPr>
              <w:t>学校实验室/水务部门/第三方提供标准化验</w:t>
            </w:r>
          </w:p>
        </w:tc>
        <w:tc>
          <w:tcPr>
            <w:tcW w:w="1984" w:type="dxa"/>
          </w:tcPr>
          <w:p w14:paraId="534B79A5">
            <w:r>
              <w:rPr>
                <w:rFonts w:hint="eastAsia"/>
                <w:sz w:val="18"/>
              </w:rPr>
              <w:t>盲样参考答案</w:t>
            </w:r>
          </w:p>
        </w:tc>
        <w:tc>
          <w:tcPr>
            <w:tcW w:w="1247" w:type="dxa"/>
          </w:tcPr>
          <w:p w14:paraId="3CCACA32">
            <w:r>
              <w:rPr>
                <w:rFonts w:hint="eastAsia"/>
                <w:sz w:val="18"/>
              </w:rPr>
              <w:t>协商/免费</w:t>
            </w:r>
          </w:p>
        </w:tc>
      </w:tr>
      <w:tr>
        <w:trPr/>
        <w:tc>
          <w:tcPr>
            <w:tcW w:w="1020" w:type="dxa"/>
          </w:tcPr>
          <w:p w14:paraId="442D157F"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1134" w:type="dxa"/>
          </w:tcPr>
          <w:p w14:paraId="11A52C00">
            <w:r>
              <w:rPr>
                <w:rFonts w:hint="eastAsia"/>
                <w:sz w:val="18"/>
              </w:rPr>
              <w:t>通信/辅料</w:t>
            </w:r>
          </w:p>
        </w:tc>
        <w:tc>
          <w:tcPr>
            <w:tcW w:w="3685" w:type="dxa"/>
          </w:tcPr>
          <w:p w14:paraId="02C89C6E">
            <w:r>
              <w:rPr>
                <w:rFonts w:hint="eastAsia"/>
                <w:sz w:val="18"/>
              </w:rPr>
              <w:t>WiFi/4G模块、线材、接插件、开发烧录工具</w:t>
            </w:r>
          </w:p>
        </w:tc>
        <w:tc>
          <w:tcPr>
            <w:tcW w:w="1984" w:type="dxa"/>
          </w:tcPr>
          <w:p w14:paraId="0CF160D2">
            <w:r>
              <w:rPr>
                <w:rFonts w:hint="eastAsia"/>
                <w:sz w:val="18"/>
              </w:rPr>
              <w:t>通信、国产化</w:t>
            </w:r>
          </w:p>
        </w:tc>
        <w:tc>
          <w:tcPr>
            <w:tcW w:w="1247" w:type="dxa"/>
          </w:tcPr>
          <w:p w14:paraId="1CE53940">
            <w:r>
              <w:rPr>
                <w:sz w:val="18"/>
              </w:rPr>
              <w:t>100–400</w:t>
            </w:r>
          </w:p>
        </w:tc>
      </w:tr>
    </w:tbl>
    <w:p w14:paraId="3C5A42C9">
      <w:r>
        <w:rPr>
          <w:rFonts w:hint="eastAsia"/>
          <w:b w:val="1"/>
        </w:rPr>
        <w:t>预算合计（必购部分，不含借/协商）：约 2050–9900 元。建议先做“最小跑通套装”（边缘板+电极套+基础光学+泵+标准液 ≈ 2000–4000元），其余随进度增补。</w:t>
      </w:r>
    </w:p>
    <w:p w14:paraId="36340C3F">
      <w:pPr>
        <w:pStyle w:val="000008"/>
      </w:pPr>
      <w:r>
        <w:rPr>
          <w:rFonts w:hint="eastAsia"/>
        </w:rPr>
        <w:t>7. 仍需外部确认的清单（找老师 / 命题方 / 实验室）</w:t>
      </w:r>
    </w:p>
    <w:p w14:paraId="140ED6F1">
      <w:pPr>
        <w:pStyle w:val="00002c"/>
      </w:pPr>
      <w:r>
        <w:rPr>
          <w:rFonts w:hint="eastAsia"/>
        </w:rPr>
        <w:t>7项硬指标的口径定义（第2章标“待确认”的5项）逐条与老师/命题方对齐；</w:t>
      </w:r>
    </w:p>
    <w:p w14:paraId="10BBE4ED">
      <w:pPr>
        <w:pStyle w:val="00002c"/>
      </w:pPr>
      <w:r>
        <w:rPr>
          <w:rFonts w:hint="eastAsia"/>
        </w:rPr>
        <w:t>可借仪器清单与借用流程（示波器、标准液、光谱等，通常需老师签字）；</w:t>
      </w:r>
    </w:p>
    <w:p w14:paraId="1DBE4C89">
      <w:pPr>
        <w:pStyle w:val="00002c"/>
      </w:pPr>
      <w:r>
        <w:rPr>
          <w:rFonts w:hint="eastAsia"/>
        </w:rPr>
        <w:t>参比检测渠道：谁提供参考化验结果、覆盖哪些参数；</w:t>
      </w:r>
    </w:p>
    <w:p w14:paraId="3E5B2538">
      <w:pPr>
        <w:pStyle w:val="00002c"/>
      </w:pPr>
      <w:r>
        <w:rPr>
          <w:rFonts w:hint="eastAsia"/>
        </w:rPr>
        <w:t>“20项是否须同一毫秒内产生新测量”“外置附件是否计入整机/功耗”“国产化按数量还是金额”等边界问题；</w:t>
      </w:r>
    </w:p>
    <w:p w14:paraId="16DD5FB5">
      <w:pPr>
        <w:pStyle w:val="00002c"/>
      </w:pPr>
      <w:r>
        <w:rPr>
          <w:rFonts w:hint="eastAsia"/>
        </w:rPr>
        <w:t>命题方是否认可 UV254 吸光指标、硝酸盐光谱路线等具体实现。</w:t>
      </w:r>
    </w:p>
    <w:p w14:paraId="2FA65463">
      <w:pPr>
        <w:pStyle w:val="000008"/>
      </w:pPr>
      <w:r>
        <w:rPr>
          <w:rFonts w:hint="eastAsia"/>
        </w:rPr>
        <w:t>8. 评分与答辩要点速记</w:t>
      </w:r>
    </w:p>
    <w:p w14:paraId="32023CDE">
      <w:pPr>
        <w:pStyle w:val="00002c"/>
      </w:pPr>
      <w:r>
        <w:rPr>
          <w:rFonts w:hint="eastAsia"/>
        </w:rPr>
        <w:t>团队贡献度：每人能讲清自己模块“数据从哪来、到哪去”；面对分歧如何协作解决。</w:t>
      </w:r>
    </w:p>
    <w:p w14:paraId="3666AA2C">
      <w:pPr>
        <w:pStyle w:val="00002c"/>
      </w:pPr>
      <w:r>
        <w:rPr>
          <w:rFonts w:hint="eastAsia"/>
        </w:rPr>
        <w:t>真实可落地Demo：必须带真实水样+设备现场演示，纯视频/无实物分数极低。</w:t>
      </w:r>
    </w:p>
    <w:p w14:paraId="43025491">
      <w:pPr>
        <w:pStyle w:val="00002c"/>
      </w:pPr>
      <w:r>
        <w:rPr>
          <w:rFonts w:hint="eastAsia"/>
        </w:rPr>
        <w:t>差异化创新：挑一个技术难点深化（如“减少采集通道的代价对比”：同批独立水样比较误差/时间/功耗变化），别做纯网页动画。</w:t>
      </w:r>
    </w:p>
    <w:p w14:paraId="104D0A52">
      <w:pPr>
        <w:pStyle w:val="00002c"/>
      </w:pPr>
      <w:r>
        <w:rPr>
          <w:rFonts w:hint="eastAsia"/>
        </w:rPr>
        <w:t>两类必做证据：①盲样测试（不负责训练者给编号水样，建模者不知参比，输出后公开对比）；②消融实验（关掉一个改进功能看变化）。</w:t>
      </w:r>
    </w:p>
    <w:p w14:paraId="245D476E">
      <w:pPr>
        <w:pStyle w:val="00002c"/>
      </w:pPr>
      <w:r>
        <w:rPr>
          <w:rFonts w:hint="eastAsia"/>
        </w:rPr>
        <w:t>5分钟结构：30s问题→40s系统→2min核心流程→1min比较测试→50s创新与下一步。</w:t>
      </w:r>
    </w:p>
    <w:p w14:paraId="6D1191D3">
      <w:pPr>
        <w:pStyle w:val="00002c"/>
      </w:pPr>
      <w:r>
        <w:rPr>
          <w:rFonts w:hint="eastAsia"/>
        </w:rPr>
        <w:t>可用“物理约束反演”解释：模型据光信号估计结果，并考虑参考光、温度、适用条件。</w:t>
      </w:r>
    </w:p>
    <w:p w14:paraId="0F5A6DD4"/>
    <w:p w14:paraId="00D8CB24">
      <w:r>
        <w:rPr>
          <w:rFonts w:hint="eastAsia"/>
          <w:i w:val="1"/>
        </w:rPr>
        <w:t>— 本计划书为完善版，由队长王欣据项目文件与参赛指南整理；数值均为规划目标，实测后更新。 —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3">
    <w:abstractNumId w:val="1"/>
  </w:num>
  <w:num w:numId="4">
    <w:abstractNumId w:val="2"/>
  </w:num>
  <w:num w:numId="2">
    <w:abstractNumId w:val="5"/>
  </w:num>
  <w:num w:numId="1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Grid Accent 1" w:uiPriority="73" w:semiHidden="0" w:unhideWhenUsed="0"/>
    <w:lsdException w:name="Medium List 2 Accent 1" w:uiPriority="66" w:semiHidden="0" w:unhideWhenUsed="0"/>
    <w:lsdException w:name="Light Grid Accent 4" w:uiPriority="62" w:semiHidden="0" w:unhideWhenUsed="0"/>
    <w:lsdException w:name="Colorful List Accent 4" w:uiPriority="72" w:semiHidden="0" w:unhideWhenUsed="0"/>
    <w:lsdException w:name="Medium Grid 2" w:uiPriority="68" w:semiHidden="0" w:unhideWhenUsed="0"/>
    <w:lsdException w:name="toc 5" w:uiPriority="39"/>
    <w:lsdException w:name="Book Title" w:uiPriority="33" w:semiHidden="0" w:unhideWhenUsed="0" w:qFormat="1"/>
    <w:lsdException w:name="Medium Grid 1 Accent 4" w:uiPriority="67" w:semiHidden="0" w:unhideWhenUsed="0"/>
    <w:lsdException w:name="Light Grid Accent 3" w:uiPriority="62" w:semiHidden="0" w:unhideWhenUsed="0"/>
    <w:lsdException w:name="Medium Shading 2 Accent 3" w:uiPriority="64" w:semiHidden="0" w:unhideWhenUsed="0"/>
    <w:lsdException w:name="Colorful Grid Accent 5" w:uiPriority="73" w:semiHidden="0" w:unhideWhenUsed="0"/>
    <w:lsdException w:name="Medium Shading 1 Accent 3" w:uiPriority="63" w:semiHidden="0" w:unhideWhenUsed="0"/>
    <w:lsdException w:name="Medium Grid 3 Accent 4" w:uiPriority="69" w:semiHidden="0" w:unhideWhenUsed="0"/>
    <w:lsdException w:name="Emphasis" w:uiPriority="20" w:semiHidden="0" w:unhideWhenUsed="0" w:qFormat="1"/>
    <w:lsdException w:name="Medium List 2 Accent 6" w:uiPriority="66" w:semiHidden="0" w:unhideWhenUsed="0"/>
    <w:lsdException w:name="Light List Accent 6" w:uiPriority="61" w:semiHidden="0" w:unhideWhenUsed="0"/>
    <w:lsdException w:name="heading 5" w:uiPriority="9" w:qFormat="1"/>
    <w:lsdException w:name="Light Shading Accent 5" w:uiPriority="60" w:semiHidden="0" w:unhideWhenUsed="0"/>
    <w:lsdException w:name="Normal" w:uiPriority="0" w:semiHidden="0" w:unhideWhenUsed="0" w:qFormat="1"/>
    <w:lsdException w:name="Dark List Accent 5" w:uiPriority="70" w:semiHidden="0" w:unhideWhenUsed="0"/>
    <w:lsdException w:name="Medium Shading 1 Accent 1" w:uiPriority="63" w:semiHidden="0" w:unhideWhenUsed="0"/>
    <w:lsdException w:name="Table Grid" w:uiPriority="59" w:semiHidden="0" w:unhideWhenUsed="0"/>
    <w:lsdException w:name="Quote" w:uiPriority="29" w:semiHidden="0" w:unhideWhenUsed="0" w:qFormat="1"/>
    <w:lsdException w:name="Medium Grid 3 Accent 5" w:uiPriority="69" w:semiHidden="0" w:unhideWhenUsed="0"/>
    <w:lsdException w:name="Colorful Shading Accent 2" w:uiPriority="71" w:semiHidden="0" w:unhideWhenUsed="0"/>
    <w:lsdException w:name="Medium Grid 3 Accent 3" w:uiPriority="69" w:semiHidden="0" w:unhideWhenUsed="0"/>
    <w:lsdException w:name="Default Paragraph Font" w:uiPriority="1"/>
    <w:lsdException w:name="Medium Grid 1" w:uiPriority="67" w:semiHidden="0" w:unhideWhenUsed="0"/>
    <w:lsdException w:name="Colorful Shading Accent 5" w:uiPriority="71" w:semiHidden="0" w:unhideWhenUsed="0"/>
    <w:lsdException w:name="Medium List 1 Accent 4" w:uiPriority="65" w:semiHidden="0" w:unhideWhenUsed="0"/>
    <w:lsdException w:name="Medium Shading 2" w:uiPriority="64" w:semiHidden="0" w:unhideWhenUsed="0"/>
    <w:lsdException w:name="Medium List 1 Accent 6" w:uiPriority="65" w:semiHidden="0" w:unhideWhenUsed="0"/>
    <w:lsdException w:name="toc 9" w:uiPriority="39"/>
    <w:lsdException w:name="Light List Accent 5" w:uiPriority="61" w:semiHidden="0" w:unhideWhenUsed="0"/>
    <w:lsdException w:name="Colorful List Accent 5" w:uiPriority="72" w:semiHidden="0" w:unhideWhenUsed="0"/>
    <w:lsdException w:name="Medium Grid 2 Accent 6" w:uiPriority="68" w:semiHidden="0" w:unhideWhenUsed="0"/>
    <w:lsdException w:name="Medium Shading 1 Accent 4" w:uiPriority="63" w:semiHidden="0" w:unhideWhenUsed="0"/>
    <w:lsdException w:name="heading 7" w:uiPriority="9" w:qFormat="1"/>
    <w:lsdException w:name="toc 4" w:uiPriority="39"/>
    <w:lsdException w:name="TOC Heading" w:uiPriority="39" w:qFormat="1"/>
    <w:lsdException w:name="Light Grid Accent 2" w:uiPriority="62" w:semiHidden="0" w:unhideWhenUsed="0"/>
    <w:lsdException w:name="Light Grid" w:uiPriority="62" w:semiHidden="0" w:unhideWhenUsed="0"/>
    <w:lsdException w:name="Medium Shading 1 Accent 5" w:uiPriority="63" w:semiHidden="0" w:unhideWhenUsed="0"/>
    <w:lsdException w:name="Medium List 2 Accent 3" w:uiPriority="66" w:semiHidden="0" w:unhideWhenUsed="0"/>
    <w:lsdException w:name="Medium Grid 1 Accent 5" w:uiPriority="67" w:semiHidden="0" w:unhideWhenUsed="0"/>
    <w:lsdException w:name="Light Shading" w:uiPriority="60" w:semiHidden="0" w:unhideWhenUsed="0"/>
    <w:lsdException w:name="Medium Shading 2 Accent 2" w:uiPriority="64" w:semiHidden="0" w:unhideWhenUsed="0"/>
    <w:lsdException w:name="Light Grid Accent 5" w:uiPriority="62" w:semiHidden="0" w:unhideWhenUsed="0"/>
    <w:lsdException w:name="Medium Grid 2 Accent 3" w:uiPriority="68" w:semiHidden="0" w:unhideWhenUsed="0"/>
    <w:lsdException w:name="Colorful Shading Accent 1" w:uiPriority="71" w:semiHidden="0" w:unhideWhenUsed="0"/>
    <w:lsdException w:name="Medium List 1 Accent 1" w:uiPriority="65" w:semiHidden="0" w:unhideWhenUsed="0"/>
    <w:lsdException w:name="Medium List 2 Accent 2" w:uiPriority="66" w:semiHidden="0" w:unhideWhenUsed="0"/>
    <w:lsdException w:name="Colorful Grid Accent 4" w:uiPriority="73" w:semiHidden="0" w:unhideWhenUsed="0"/>
    <w:lsdException w:name="Light List Accent 2" w:uiPriority="61" w:semiHidden="0" w:unhideWhenUsed="0"/>
    <w:lsdException w:name="Medium List 2 Accent 4" w:uiPriority="66" w:semiHidden="0" w:unhideWhenUsed="0"/>
    <w:lsdException w:name="Colorful Shading Accent 4" w:uiPriority="71" w:semiHidden="0" w:unhideWhenUsed="0"/>
    <w:lsdException w:name="Light List Accent 4" w:uiPriority="61" w:semiHidden="0" w:unhideWhenUsed="0"/>
    <w:lsdException w:name="Revision" w:unhideWhenUsed="0"/>
    <w:lsdException w:name="toc 8" w:uiPriority="39"/>
    <w:lsdException w:name="Medium List 1" w:uiPriority="65" w:semiHidden="0" w:unhideWhenUsed="0"/>
    <w:lsdException w:name="List Paragraph" w:uiPriority="34" w:semiHidden="0" w:unhideWhenUsed="0" w:qFormat="1"/>
    <w:lsdException w:name="toc 3" w:uiPriority="39"/>
    <w:lsdException w:name="Dark List Accent 1" w:uiPriority="70" w:semiHidden="0" w:unhideWhenUsed="0"/>
    <w:lsdException w:name="Intense Quote" w:uiPriority="30" w:semiHidden="0" w:unhideWhenUsed="0" w:qFormat="1"/>
    <w:lsdException w:name="heading 6" w:uiPriority="9" w:qFormat="1"/>
    <w:lsdException w:name="Dark List Accent 3" w:uiPriority="70" w:semiHidden="0" w:unhideWhenUsed="0"/>
    <w:lsdException w:name="Medium Shading 1 Accent 6" w:uiPriority="63" w:semiHidden="0" w:unhideWhenUsed="0"/>
    <w:lsdException w:name="Light List Accent 1" w:uiPriority="61" w:semiHidden="0" w:unhideWhenUsed="0"/>
    <w:lsdException w:name="heading 8" w:uiPriority="9" w:qFormat="1"/>
    <w:lsdException w:name="heading 2" w:uiPriority="9" w:qFormat="1"/>
    <w:lsdException w:name="Light Shading Accent 2" w:uiPriority="60" w:semiHidden="0" w:unhideWhenUsed="0"/>
    <w:lsdException w:name="heading 1" w:uiPriority="9" w:semiHidden="0" w:unhideWhenUsed="0" w:qFormat="1"/>
    <w:lsdException w:name="Colorful Grid" w:uiPriority="73" w:semiHidden="0" w:unhideWhenUsed="0"/>
    <w:lsdException w:name="Strong" w:uiPriority="22" w:semiHidden="0" w:unhideWhenUsed="0" w:qFormat="1"/>
    <w:lsdException w:name="Light Shading Accent 3" w:uiPriority="60" w:semiHidden="0" w:unhideWhenUsed="0"/>
    <w:lsdException w:name="No Spacing" w:uiPriority="1" w:semiHidden="0" w:unhideWhenUsed="0" w:qFormat="1"/>
    <w:lsdException w:name="heading 3" w:uiPriority="9" w:qFormat="1"/>
    <w:lsdException w:name="Light Grid Accent 6" w:uiPriority="62" w:semiHidden="0" w:unhideWhenUsed="0"/>
    <w:lsdException w:name="Intense Reference" w:uiPriority="32" w:semiHidden="0" w:unhideWhenUsed="0" w:qFormat="1"/>
    <w:lsdException w:name="Dark List" w:uiPriority="70" w:semiHidden="0" w:unhideWhenUsed="0"/>
    <w:lsdException w:name="toc 6" w:uiPriority="39"/>
    <w:lsdException w:name="Dark List Accent 4" w:uiPriority="70" w:semiHidden="0" w:unhideWhenUsed="0"/>
    <w:lsdException w:name="Colorful List Accent 2" w:uiPriority="72" w:semiHidden="0" w:unhideWhenUsed="0"/>
    <w:lsdException w:name="Dark List Accent 2" w:uiPriority="70" w:semiHidden="0" w:unhideWhenUsed="0"/>
    <w:lsdException w:name="toc 7" w:uiPriority="39"/>
    <w:lsdException w:name="toc 1" w:uiPriority="39"/>
    <w:lsdException w:name="Colorful List Accent 3" w:uiPriority="72" w:semiHidden="0" w:unhideWhenUsed="0"/>
    <w:lsdException w:name="Medium Shading 2 Accent 1" w:uiPriority="64" w:semiHidden="0" w:unhideWhenUsed="0"/>
    <w:lsdException w:name="Colorful Shading" w:uiPriority="71" w:semiHidden="0" w:unhideWhenUsed="0"/>
    <w:lsdException w:name="Medium Grid 1 Accent 1" w:uiPriority="67" w:semiHidden="0" w:unhideWhenUsed="0"/>
    <w:lsdException w:name="Light List" w:uiPriority="61" w:semiHidden="0" w:unhideWhenUsed="0"/>
    <w:lsdException w:name="Colorful Shading Accent 3" w:uiPriority="71" w:semiHidden="0" w:unhideWhenUsed="0"/>
    <w:lsdException w:name="Medium Shading 2 Accent 6" w:uiPriority="64" w:semiHidden="0" w:unhideWhenUsed="0"/>
    <w:lsdException w:name="Colorful Grid Accent 2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Medium Grid 1 Accent 3" w:uiPriority="67" w:semiHidden="0" w:unhideWhenUsed="0"/>
    <w:lsdException w:name="Light Shading Accent 6" w:uiPriority="60" w:semiHidden="0" w:unhideWhenUsed="0"/>
    <w:lsdException w:name="Medium Grid 2 Accent 1" w:uiPriority="68" w:semiHidden="0" w:unhideWhenUsed="0"/>
    <w:lsdException w:name="Medium Shading 2 Accent 4" w:uiPriority="64" w:semiHidden="0" w:unhideWhenUsed="0"/>
    <w:lsdException w:name="Colorful Grid Accent 3" w:uiPriority="73" w:semiHidden="0" w:unhideWhenUsed="0"/>
    <w:lsdException w:name="caption" w:uiPriority="35" w:qFormat="1"/>
    <w:lsdException w:name="Medium List 2" w:uiPriority="66" w:semiHidden="0" w:unhideWhenUsed="0"/>
    <w:lsdException w:name="Medium List 2 Accent 5" w:uiPriority="66" w:semiHidden="0" w:unhideWhenUsed="0"/>
    <w:lsdException w:name="Dark List Accent 6" w:uiPriority="70" w:semiHidden="0" w:unhideWhenUsed="0"/>
    <w:lsdException w:name="Light Shading Accent 1" w:uiPriority="60" w:semiHidden="0" w:unhideWhenUsed="0"/>
    <w:lsdException w:name="Medium Shading 1 Accent 2" w:uiPriority="63" w:semiHidden="0" w:unhideWhenUsed="0"/>
    <w:lsdException w:name="Medium Grid 3 Accent 6" w:uiPriority="69" w:semiHidden="0" w:unhideWhenUsed="0"/>
    <w:lsdException w:name="Medium List 1 Accent 5" w:uiPriority="65" w:semiHidden="0" w:unhideWhenUsed="0"/>
    <w:lsdException w:name="Medium Grid 1 Accent 6" w:uiPriority="67" w:semiHidden="0" w:unhideWhenUsed="0"/>
    <w:lsdException w:name="Colorful List Accent 6" w:uiPriority="72" w:semiHidden="0" w:unhideWhenUsed="0"/>
    <w:lsdException w:name="Medium Grid 3 Accent 2" w:uiPriority="69" w:semiHidden="0" w:unhideWhenUsed="0"/>
    <w:lsdException w:name="heading 9" w:uiPriority="9" w:qFormat="1"/>
    <w:lsdException w:name="Subtle Reference" w:uiPriority="31" w:semiHidden="0" w:unhideWhenUsed="0" w:qFormat="1"/>
    <w:lsdException w:name="Medium Grid 2 Accent 2" w:uiPriority="68" w:semiHidden="0" w:unhideWhenUsed="0"/>
    <w:lsdException w:name="Medium Grid 2 Accent 4" w:uiPriority="68" w:semiHidden="0" w:unhideWhenUsed="0"/>
    <w:lsdException w:name="Subtitle" w:uiPriority="11" w:semiHidden="0" w:unhideWhenUsed="0" w:qFormat="1"/>
    <w:lsdException w:name="Medium Grid 2 Accent 5" w:uiPriority="68" w:semiHidden="0" w:unhideWhenUsed="0"/>
    <w:lsdException w:name="Colorful List Accent 1" w:uiPriority="72" w:semiHidden="0" w:unhideWhenUsed="0"/>
    <w:lsdException w:name="Light List Accent 3" w:uiPriority="61" w:semiHidden="0" w:unhideWhenUsed="0"/>
    <w:lsdException w:name="toc 2" w:uiPriority="39"/>
    <w:lsdException w:name="heading 4" w:uiPriority="9" w:qFormat="1"/>
    <w:lsdException w:name="Light Shading Accent 4" w:uiPriority="60" w:semiHidden="0" w:unhideWhenUsed="0"/>
    <w:lsdException w:name="Placeholder Text" w:unhideWhenUsed="0"/>
    <w:lsdException w:name="Colorful List" w:uiPriority="72" w:semiHidden="0" w:unhideWhenUsed="0"/>
    <w:lsdException w:name="Colorful Grid Accent 6" w:uiPriority="73" w:semiHidden="0" w:unhideWhenUsed="0"/>
    <w:lsdException w:name="Medium List 1 Accent 2" w:uiPriority="65" w:semiHidden="0" w:unhideWhenUsed="0"/>
    <w:lsdException w:name="Light Grid Accent 1" w:uiPriority="62" w:semiHidden="0" w:unhideWhenUsed="0"/>
    <w:lsdException w:name="Medium Grid 1 Accent 2" w:uiPriority="67" w:semiHidden="0" w:unhideWhenUsed="0"/>
    <w:lsdException w:name="Medium Shading 2 Accent 5" w:uiPriority="64" w:semiHidden="0" w:unhideWhenUsed="0"/>
    <w:lsdException w:name="Medium Grid 3 Accent 1" w:uiPriority="69" w:semiHidden="0" w:unhideWhenUsed="0"/>
    <w:lsdException w:name="Bibliography" w:uiPriority="37"/>
    <w:lsdException w:name="Medium Shading 1" w:uiPriority="63" w:semiHidden="0" w:unhideWhenUsed="0"/>
    <w:lsdException w:name="Colorful Shading Accent 6" w:uiPriority="71" w:semiHidden="0" w:unhideWhenUsed="0"/>
    <w:lsdException w:name="Medium Grid 3" w:uiPriority="69" w:semiHidden="0" w:unhideWhenUsed="0"/>
    <w:lsdException w:name="Medium List 1 Accent 3" w:uiPriority="65" w:semiHidden="0" w:unhideWhenUsed="0"/>
    <w:lsdException w:name="Title" w:uiPriority="10" w:semiHidden="0" w:unhideWhenUsed="0" w:qFormat="1"/>
  </w:latentStyles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02" w:default="1">
    <w:name w:val="Normal"/>
    <w:qFormat w:val="1"/>
    <w:rsid w:val="00FC693F"/>
    <w:rPr>
      <w:rFonts w:ascii="Microsoft YaHei" w:hAnsi="Microsoft YaHei"/>
      <w:sz w:val="2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2026-09-19T00:33:01Z</dcterms:created>
  <dcterms:modified xsi:type="dcterms:W3CDTF">2026-09-19T00:33:01Z</dcterms:modified>
</cp:coreProperties>
</file>