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方正小标宋简体" w:hAnsi="方正小标宋简体" w:eastAsia="方正小标宋简体"/>
          <w:b/>
          <w:sz w:val="44"/>
        </w:rPr>
        <w:t>公立医院动态能力发展报告</w:t>
      </w:r>
    </w:p>
    <w:p>
      <w:pPr>
        <w:spacing w:after="360"/>
        <w:jc w:val="center"/>
      </w:pPr>
      <w:r>
        <w:rPr>
          <w:rFonts w:ascii="楷体" w:hAnsi="楷体" w:eastAsia="楷体"/>
          <w:b w:val="0"/>
          <w:sz w:val="28"/>
        </w:rPr>
        <w:t>——基于院内问卷调查与上海市12家公立医院横向对比</w:t>
      </w:r>
    </w:p>
    <w:p>
      <w:pPr>
        <w:spacing w:before="240" w:after="120" w:line="360" w:lineRule="auto"/>
      </w:pPr>
      <w:r>
        <w:rPr>
          <w:rFonts w:ascii="黑体" w:hAnsi="黑体" w:eastAsia="黑体"/>
          <w:b/>
          <w:sz w:val="30"/>
        </w:rPr>
        <w:t>公立医院动态能力评估报告</w:t>
      </w:r>
    </w:p>
    <w:p>
      <w:pPr>
        <w:spacing w:line="384" w:lineRule="auto" w:after="60"/>
        <w:ind w:firstLine="480"/>
      </w:pPr>
      <w:r>
        <w:rPr>
          <w:rFonts w:ascii="仿宋" w:hAnsi="仿宋" w:eastAsia="仿宋"/>
          <w:b w:val="0"/>
          <w:sz w:val="24"/>
        </w:rPr>
        <w:t>本报告基于本院面向一线及管理岗位人员开展的动态能力问卷调查，围绕感知识别、学习吸收、协调整合、创新应用四个维度，分别从科室、职务、职业类型、职称、本院工作年限、主要工作内容等人群特征出发，刻画全院动态能力的水平与结构；在此基础上，进一步考察七类组织内部条件对动态能力的作用，以及动态能力对六项医院绩效指标的影响，并将该院与同期调研的其他12家上海市公立医院进行横向对比。主要结论如下：</w:t>
      </w:r>
    </w:p>
    <w:p>
      <w:pPr>
        <w:spacing w:line="384" w:lineRule="auto" w:after="60"/>
        <w:ind w:firstLine="480"/>
      </w:pPr>
      <w:r>
        <w:rPr>
          <w:rFonts w:ascii="仿宋" w:hAnsi="仿宋" w:eastAsia="仿宋"/>
          <w:b w:val="0"/>
          <w:sz w:val="24"/>
        </w:rPr>
        <w:t>第一，全院动态能力总分均值为3.918分，四个维度中感知识别能力（3.981）相对最高，创新应用能力（3.842）相对最低。与同期调研的其他12家上海市公立医院相比，本院动态能力总分及四个维度的均值均低于其他医院平均水平，其中创新应用能力差值为-0.538，感知识别能力-0.510，动态能力总分-0.457，协调整合能力-0.436，学习吸收能力-0.342；差距在创新应用能力和感知识别能力上相对较大，在学习吸收能力上相对较小（详见表1）。</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  </w:t>
      </w:r>
      <w:r>
        <w:rPr>
          <w:b/>
          <w:sz w:val="22"/>
          <w:rFonts w:eastAsia="黑体" w:ascii="黑体" w:hAnsi="黑体" w:cs="黑体"/>
        </w:rPr>
        <w:t>该院与其他</w:t>
      </w:r>
      <w:r>
        <w:rPr>
          <w:b/>
          <w:sz w:val="22"/>
          <w:rFonts w:eastAsia="黑体" w:ascii="Times New Roman" w:hAnsi="Times New Roman" w:cs="Times New Roman"/>
        </w:rPr>
        <w:t>12</w:t>
      </w:r>
      <w:r>
        <w:rPr>
          <w:b/>
          <w:sz w:val="22"/>
          <w:rFonts w:eastAsia="黑体" w:ascii="黑体" w:hAnsi="黑体" w:cs="黑体"/>
        </w:rPr>
        <w:t>家上海市公立医院动态能力均值对比</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指标</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该院均值</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其他</w:t>
            </w:r>
            <w:r>
              <w:rPr>
                <w:b/>
                <w:sz w:val="21"/>
                <w:rFonts w:eastAsia="黑体" w:ascii="Times New Roman" w:hAnsi="Times New Roman" w:cs="Times New Roman"/>
              </w:rPr>
              <w:t>12</w:t>
            </w:r>
            <w:r>
              <w:rPr>
                <w:b/>
                <w:sz w:val="21"/>
                <w:rFonts w:eastAsia="黑体" w:ascii="黑体" w:hAnsi="黑体" w:cs="黑体"/>
              </w:rPr>
              <w:t>家医院均值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差值（该院</w:t>
            </w:r>
            <w:r>
              <w:rPr>
                <w:b/>
                <w:sz w:val="21"/>
                <w:rFonts w:eastAsia="黑体" w:ascii="Times New Roman" w:hAnsi="Times New Roman" w:cs="Times New Roman"/>
              </w:rPr>
              <w:t>-</w:t>
            </w:r>
            <w:r>
              <w:rPr>
                <w:b/>
                <w:sz w:val="21"/>
                <w:rFonts w:eastAsia="黑体" w:ascii="黑体" w:hAnsi="黑体" w:cs="黑体"/>
              </w:rPr>
              <w:t>其他医院）</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4.375±0.638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-0.457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3.981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4.491±0.639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-0.510</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3.898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4.240±0.785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-0.342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4.388±0.641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-0.436</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4.380±0.666</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-0.538</w:t>
            </w:r>
          </w:p>
        </w:tc>
      </w:tr>
    </w:tbl>
    <w:p/>
    <w:p>
      <w:pPr>
        <w:spacing w:line="384" w:lineRule="auto" w:after="60"/>
        <w:ind w:firstLine="480"/>
      </w:pPr>
      <w:r>
        <w:rPr>
          <w:rFonts w:ascii="仿宋" w:hAnsi="仿宋" w:eastAsia="仿宋"/>
          <w:b w:val="0"/>
          <w:sz w:val="24"/>
        </w:rPr>
        <w:t>第二，科室间差异具有统计学意义。中医科、门诊、医技科室在总分及各维度上得分相对较高；急诊相关科室、儿科、预防保健科得分相对较低；行政管理办公室、内科系病房接近全院均值，外科系略低于均值。其中中医科、门诊、儿科、预防保健科样本量较小，相关结果适合作为参考。</w:t>
      </w:r>
    </w:p>
    <w:p>
      <w:pPr>
        <w:spacing w:line="384" w:lineRule="auto" w:after="60"/>
        <w:ind w:firstLine="480"/>
      </w:pPr>
      <w:r>
        <w:rPr>
          <w:rFonts w:ascii="仿宋" w:hAnsi="仿宋" w:eastAsia="仿宋"/>
          <w:b w:val="0"/>
          <w:sz w:val="24"/>
        </w:rPr>
        <w:t>第三，分人群特征看，科室工作人员、医技人员和护士在多项指标上得分相对较高，科室负责人、副高级及正高级职称人员、工作年限20年以上人员得分相对较低。除职业类型在感知识别能力和协调整合能力上差异达到统计学显著外，其他分组比较多数未达到统计学显著水平。</w:t>
      </w:r>
    </w:p>
    <w:p>
      <w:pPr>
        <w:spacing w:line="384" w:lineRule="auto" w:after="60"/>
        <w:ind w:firstLine="480"/>
      </w:pPr>
      <w:r>
        <w:rPr>
          <w:rFonts w:ascii="仿宋" w:hAnsi="仿宋" w:eastAsia="仿宋"/>
          <w:b w:val="0"/>
          <w:sz w:val="24"/>
        </w:rPr>
        <w:t>第四，在综合控制个体和岗位背景变量后，七类组织内部条件中，员工因素（管理者能力、医务人员业务水平、管理与临床协同）是唯一对创新应用能力呈显著正向影响的因素（β=0.683，P=0.021）。医院文化和员工因素对动态能力总分、学习吸收能力呈正向趋势，但均未达到统计学显著水平。</w:t>
      </w:r>
    </w:p>
    <w:p>
      <w:pPr>
        <w:spacing w:line="384" w:lineRule="auto" w:after="60"/>
        <w:ind w:firstLine="480"/>
      </w:pPr>
      <w:r>
        <w:rPr>
          <w:rFonts w:ascii="仿宋" w:hAnsi="仿宋" w:eastAsia="仿宋"/>
          <w:b w:val="0"/>
          <w:sz w:val="24"/>
        </w:rPr>
        <w:t>第五，动态能力总分及四个维度与服务量、医疗质量、运营效率、患者满意度、员工满意度、服务公平可及性六项绩效指标均呈显著正向关联，其中协调整合能力与创新应用能力在多数绩效指标上的回归系数相对较高。</w:t>
      </w:r>
    </w:p>
    <w:p>
      <w:pPr>
        <w:spacing w:line="384" w:lineRule="auto" w:after="60"/>
        <w:ind w:firstLine="480"/>
      </w:pPr>
      <w:r>
        <w:rPr>
          <w:rFonts w:ascii="仿宋" w:hAnsi="仿宋" w:eastAsia="仿宋"/>
          <w:b w:val="0"/>
          <w:sz w:val="24"/>
        </w:rPr>
        <w:t>综合以上结果，后续动态能力建设可重点关注创新应用能力、感知识别能力和协调整合能力三个维度，并结合员工因素的支持作用，围绕管理者能力建设、医务人员业务水平提升和管理与临床协同开展工作。</w:t>
      </w:r>
    </w:p>
    <w:p>
      <w:pPr>
        <w:spacing w:before="240" w:after="120" w:line="360" w:lineRule="auto"/>
      </w:pPr>
      <w:r>
        <w:rPr>
          <w:rFonts w:ascii="黑体" w:hAnsi="黑体" w:eastAsia="黑体"/>
          <w:b/>
          <w:sz w:val="30"/>
        </w:rPr>
        <w:t>一、分析背景与框架</w:t>
      </w:r>
    </w:p>
    <w:p>
      <w:pPr>
        <w:spacing w:line="384" w:lineRule="auto" w:after="60"/>
        <w:ind w:firstLine="480"/>
      </w:pPr>
      <w:r>
        <w:rPr>
          <w:rFonts w:ascii="仿宋" w:hAnsi="仿宋" w:eastAsia="仿宋"/>
          <w:b w:val="0"/>
          <w:sz w:val="24"/>
        </w:rPr>
        <w:t>动态能力是指医院为能够及时感知内外环境变化带来的挑战和机遇，快速获取、吸收与环境匹配的信息和知识，进而对医院现有资源进行重新配置组合，以形成能够回应公众健康需求、适应新的行业生态和促进医院韧性发展的持续性能力。本研究将其分为四个维度：感知识别能力（对政策变化、服务需求变化、新技术新方法等变化信息的识别与捕捉）、学习吸收能力（对外部知识、经验与信息的获取、理解和内部转化）、协调整合能力（资源协调、人员协同和流程整合）、创新应用能力（服务创新、管理创新和新技术应用）。</w:t>
      </w:r>
    </w:p>
    <w:p>
      <w:pPr>
        <w:spacing w:line="384" w:lineRule="auto" w:after="60"/>
        <w:ind w:firstLine="480"/>
      </w:pPr>
      <w:r>
        <w:rPr>
          <w:rFonts w:ascii="仿宋" w:hAnsi="仿宋" w:eastAsia="仿宋"/>
          <w:b w:val="0"/>
          <w:sz w:val="24"/>
        </w:rPr>
        <w:t>本报告基于院内问卷数据，依次从科室、职务、职业类型、职称、本院工作年限、主要工作内容六个维度进行分组比较；在此基础上，分析医院文化、医院资源、医院战略、路径依赖、环境因素、员工因素和管理特征七类影响因素与动态能力的关系，以及动态能力对六项医院绩效指标的影响。</w:t>
      </w:r>
    </w:p>
    <w:p>
      <w:pPr>
        <w:spacing w:before="240" w:after="120" w:line="360" w:lineRule="auto"/>
      </w:pPr>
      <w:r>
        <w:rPr>
          <w:rFonts w:ascii="黑体" w:hAnsi="黑体" w:eastAsia="黑体"/>
          <w:b/>
          <w:sz w:val="30"/>
        </w:rPr>
        <w:t>二、不同科室动态能力情况</w:t>
      </w:r>
    </w:p>
    <w:p>
      <w:pPr>
        <w:spacing w:line="384" w:lineRule="auto" w:after="60"/>
        <w:ind w:firstLine="480"/>
      </w:pPr>
      <w:r>
        <w:rPr>
          <w:rFonts w:ascii="仿宋" w:hAnsi="仿宋" w:eastAsia="仿宋"/>
          <w:b w:val="0"/>
          <w:sz w:val="24"/>
        </w:rPr>
        <w:t>本部分以问卷A5中受访者填写的具体科室名称为基础，将31个原始科室按业务属性和管理属性归并为9类：行政管理（办公室、院部、财务科、院感科、综合保障科、医教科）、医技科室（影像科、检验科、病理科、药剂科、供应室）、急诊相关科室（急诊、急诊科、急诊内科等）、内科系病房、外科系、门诊、儿科、中医科、预防保健科。鉴于中医科、门诊、儿科、预防保健科样本量较小，相关结果适合作为参考。</w:t>
      </w:r>
    </w:p>
    <w:p>
      <w:pPr>
        <w:spacing w:line="384" w:lineRule="auto" w:after="60"/>
        <w:ind w:firstLine="480"/>
      </w:pPr>
      <w:r>
        <w:rPr>
          <w:rFonts w:ascii="仿宋" w:hAnsi="仿宋" w:eastAsia="仿宋"/>
          <w:b w:val="0"/>
          <w:sz w:val="24"/>
        </w:rPr>
        <w:t>总体来看，中医科、门诊和医技科室在多项指标上得分相对较高；急诊相关科室、儿科和预防保健科得分相对较低；行政管理办公室、内科系病房接近全院均值，外科系略低于全院均值。</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全院动态能力总分均值3.918分，科室间差异具有统计学意义（F=4.48，P=0.0003；Kruskal-Wallis P=0.0005）。中医科、门诊、医技科室得分相对较高，行政管理办公室和内科系病房接近均值，外科系略低于均值，急诊相关科室、儿科和预防保健科得分相对较低。事后比较显示，门诊和中医科均显著高于急诊相关科室和儿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  </w:t>
      </w:r>
      <w:r>
        <w:rPr>
          <w:b/>
          <w:sz w:val="22"/>
          <w:rFonts w:eastAsia="黑体" w:ascii="黑体" w:hAnsi="黑体" w:cs="黑体"/>
        </w:rPr>
        <w:t>动态能力总分分科室结果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4.844±0.313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4.305±0.536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3.953±0.616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3.944±0.985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3.651±0.720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3.156±0.000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3.146±0.339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2.594±0.840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2-</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动态能力总分主要显著差异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0.011</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感知识别能力全院均值3.981分，是四个维度中得分相对较高的维度，科室间差异具有统计学意义（F=4.85，P=0.0001；Kruskal-Wallis P=0.0007）。中医科、门诊、医技科室和行政管理办公室得分相对较高，儿科和急诊相关科室得分相对较低。事后比较显示，儿科显著低于行政管理办公室、门诊、医技科室和中医科；门诊、中医科也显著高于急诊相关科室。</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  </w:t>
      </w:r>
      <w:r>
        <w:rPr>
          <w:b/>
          <w:sz w:val="22"/>
          <w:rFonts w:eastAsia="黑体" w:ascii="黑体" w:hAnsi="黑体" w:cs="黑体"/>
        </w:rPr>
        <w:t>感知识别能力分科室结果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4.750±0.500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4.300±0.417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4.125±0.518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3.977±0.938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3.727±0.657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3.625±0.000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3.250±0.492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2.438±0.619</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3-</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感知识别能力主要显著差异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0.028</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行政管理办公室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门诊</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医技科室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儿科更低</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0.001</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学习吸收能力全院均值3.898分，科室间差异具有统计学意义（F=4.52，P=0.0003；Kruskal-Wallis P=0.0011）。门诊和中医科得分最高，医技科室高于均值；行政管理办公室和内科系病房接近均值；外科系略低于均值；急诊相关科室、儿科和预防保健科得分相对较低。事后比较显示，门诊和中医科均显著高于急诊相关科室和儿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  </w:t>
      </w:r>
      <w:r>
        <w:rPr>
          <w:b/>
          <w:sz w:val="22"/>
          <w:rFonts w:eastAsia="黑体" w:ascii="黑体" w:hAnsi="黑体" w:cs="黑体"/>
        </w:rPr>
        <w:t>学习吸收能力分科室结果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4.320±0.668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3.945±1.016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3.938±0.732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3.613±0.844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2.960±0.219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2.500±0.707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4-</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学习吸收能力主要显著差异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门诊更高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急诊相关科室</w:t>
            </w:r>
          </w:p>
        </w:tc>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0.019</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0.023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协调整合能力全院均值3.952分，科室间整体分布存在差异（F=3.37，P=0.0032；Kruskal-Wallis P=0.0051），经Bonferroni校正后两两比较未达到统计学显著水平。中医科、门诊、医技科室得分较高，内科系病房和行政管理办公室接近均值，外科系略低，急诊相关科室、儿科和预防保健科得分相对较低。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5  </w:t>
      </w:r>
      <w:r>
        <w:rPr>
          <w:b/>
          <w:sz w:val="22"/>
          <w:rFonts w:eastAsia="黑体" w:ascii="黑体" w:hAnsi="黑体" w:cs="黑体"/>
        </w:rPr>
        <w:t>协调整合能力分科室结果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4.875±0.250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4.325±0.537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3.977±1.003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3.885±0.590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3.719±0.796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3.375±0.000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3.250±0.580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2.875±1.237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创新应用能力全院均值3.842分，是四个维度中得分相对较低的维度，科室间差异具有统计学意义（F=3.82，P=0.0012；Kruskal-Wallis P=0.0050）。中医科、门诊和医技科室得分较高，行政管理办公室和内科系病房接近或略高于均值，外科系、急诊相关科室、儿科和预防保健科得分较低。事后比较显示，中医科显著高于儿科；门诊与儿科、中医科与急诊相关科室的差异接近显著。</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6  </w:t>
      </w:r>
      <w:r>
        <w:rPr>
          <w:b/>
          <w:sz w:val="22"/>
          <w:rFonts w:eastAsia="黑体" w:ascii="黑体" w:hAnsi="黑体" w:cs="黑体"/>
        </w:rPr>
        <w:t>创新应用能力分科室结果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科室</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中医科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门诊</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4.750±0.500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4.275±0.606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内科系病房</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3.875±1.011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行政管理办公室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3.865±0.753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外科系</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3.547±0.861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急诊相关科室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3.125±0.125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7</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预防保健科</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2.625±0.000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8</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儿科</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2.563±0.795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9</w:t>
            </w:r>
          </w:p>
        </w:tc>
      </w:tr>
    </w:tbl>
    <w:p/>
    <w:p>
      <w:pPr>
        <w:spacing w:before="120" w:after="60"/>
        <w:jc w:val="center"/>
      </w:pPr>
      <w:r>
        <w:rPr>
          <w:b/>
          <w:sz w:val="22"/>
          <w:rFonts w:eastAsia="黑体" w:ascii="黑体" w:hAnsi="黑体" w:cs="黑体"/>
        </w:rPr>
        <w:t>表</w:t>
      </w:r>
      <w:r>
        <w:rPr>
          <w:b/>
          <w:sz w:val="22"/>
          <w:rFonts w:eastAsia="黑体" w:ascii="Times New Roman" w:hAnsi="Times New Roman" w:cs="Times New Roman"/>
        </w:rPr>
        <w:t>6-</w:t>
      </w:r>
      <w:r>
        <w:rPr>
          <w:b/>
          <w:sz w:val="22"/>
          <w:rFonts w:eastAsia="黑体" w:ascii="黑体" w:hAnsi="黑体" w:cs="黑体"/>
        </w:rPr>
        <w:t>附</w:t>
      </w:r>
      <w:r>
        <w:rPr>
          <w:b/>
          <w:sz w:val="22"/>
          <w:rFonts w:eastAsia="黑体" w:ascii="Times New Roman" w:hAnsi="Times New Roman" w:cs="Times New Roman"/>
        </w:rPr>
        <w:t xml:space="preserve">  </w:t>
      </w:r>
      <w:r>
        <w:rPr>
          <w:b/>
          <w:sz w:val="22"/>
          <w:rFonts w:eastAsia="黑体" w:ascii="黑体" w:hAnsi="黑体" w:cs="黑体"/>
        </w:rPr>
        <w:t>创新应用能力主要显著差异</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比较科室</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差异方向</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w:t>
            </w:r>
            <w:r>
              <w:rPr>
                <w:b w:val="0"/>
                <w:sz w:val="21"/>
                <w:rFonts w:eastAsia="仿宋" w:ascii="Times New Roman" w:hAnsi="Times New Roman" w:cs="Times New Roman"/>
              </w:rPr>
              <w:t xml:space="preserve"> </w:t>
            </w:r>
            <w:r>
              <w:rPr>
                <w:b w:val="0"/>
                <w:sz w:val="21"/>
                <w:rFonts w:eastAsia="仿宋" w:ascii="仿宋" w:hAnsi="仿宋" w:cs="仿宋"/>
              </w:rPr>
              <w:t>vs</w:t>
            </w:r>
            <w:r>
              <w:rPr>
                <w:b w:val="0"/>
                <w:sz w:val="21"/>
                <w:rFonts w:eastAsia="仿宋" w:ascii="Times New Roman" w:hAnsi="Times New Roman" w:cs="Times New Roman"/>
              </w:rPr>
              <w:t xml:space="preserve"> </w:t>
            </w:r>
            <w:r>
              <w:rPr>
                <w:b w:val="0"/>
                <w:sz w:val="21"/>
                <w:rFonts w:eastAsia="仿宋" w:ascii="仿宋" w:hAnsi="仿宋" w:cs="仿宋"/>
              </w:rPr>
              <w:t>儿科</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中医科更高</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0.035</w:t>
            </w:r>
          </w:p>
        </w:tc>
      </w:tr>
    </w:tbl>
    <w:p/>
    <w:p>
      <w:pPr>
        <w:spacing w:before="240" w:after="120" w:line="360" w:lineRule="auto"/>
      </w:pPr>
      <w:r>
        <w:rPr>
          <w:rFonts w:ascii="黑体" w:hAnsi="黑体" w:eastAsia="黑体"/>
          <w:b/>
          <w:sz w:val="30"/>
        </w:rPr>
        <w:t>三、不同职务动态能力情况</w:t>
      </w:r>
    </w:p>
    <w:p>
      <w:pPr>
        <w:spacing w:line="384" w:lineRule="auto" w:after="60"/>
        <w:ind w:firstLine="480"/>
      </w:pPr>
      <w:r>
        <w:rPr>
          <w:rFonts w:ascii="仿宋" w:hAnsi="仿宋" w:eastAsia="仿宋"/>
          <w:b w:val="0"/>
          <w:sz w:val="24"/>
        </w:rPr>
        <w:t>不同职务类型之间，动态能力总分及四个维度差异均未达到统计学显著水平。从均值看，科室工作人员在总分及四个维度上均居首位，职能部门工作人员和职能部门负责人多接近全院均值，科室负责人整体略低于全院均值。院级领导样本量仅1人，结果仅作描述性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总体差异未达到统计学显著水平（F=1.06，P=0.3836；Kruskal-Wallis P=0.3437）。得分由高到低依次为科室工作人员、职能部门工作人员、职能部门负责人、科室负责人、院级领导。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7  </w:t>
      </w:r>
      <w:r>
        <w:rPr>
          <w:b/>
          <w:sz w:val="22"/>
          <w:rFonts w:eastAsia="黑体" w:ascii="黑体" w:hAnsi="黑体" w:cs="黑体"/>
        </w:rPr>
        <w:t>动态能力总分分职务结果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4.102±0.827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3.927±0.794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3.753±0.842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3.656±0.795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3.625±0.000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总体差异未达到统计学显著水平（F=1.55，P=0.1996；Kruskal-Wallis P=0.1491）。科室工作人员、职能部门负责人和职能部门工作人员得分均高于全院均值，科室负责人和院级领导相对较低。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8  </w:t>
      </w:r>
      <w:r>
        <w:rPr>
          <w:b/>
          <w:sz w:val="22"/>
          <w:rFonts w:eastAsia="黑体" w:ascii="黑体" w:hAnsi="黑体" w:cs="黑体"/>
        </w:rPr>
        <w:t>感知识别能力分职务结果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4.161±0.745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4.094±0.624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4.063±0.650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3.667±0.798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3.500±0.000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总体差异未达到统计学显著水平（F=1.10，P=0.3636；Kruskal-Wallis P=0.3146）。科室工作人员得分最高，职能部门工作人员和院级领导接近均值，职能部门负责人和科室负责人相对较低。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9  </w:t>
      </w:r>
      <w:r>
        <w:rPr>
          <w:b/>
          <w:sz w:val="22"/>
          <w:rFonts w:eastAsia="黑体" w:ascii="黑体" w:hAnsi="黑体" w:cs="黑体"/>
        </w:rPr>
        <w:t>学习吸收能力分职务结果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4.109±0.930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3.800±0.909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3.700±0.902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3.600±0.865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总体差异未达到统计学显著水平（F=0.78，P=0.5435；Kruskal-Wallis P=0.3964）。科室工作人员和职能部门工作人员得分相对较高，院级领导和科室负责人接近均值，职能部门负责人相对较低。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10  </w:t>
      </w:r>
      <w:r>
        <w:rPr>
          <w:b/>
          <w:sz w:val="22"/>
          <w:rFonts w:eastAsia="黑体" w:ascii="黑体" w:hAnsi="黑体" w:cs="黑体"/>
        </w:rPr>
        <w:t>协调整合能力分职务结果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4.107±0.853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4.031±0.695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3.750±0.000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3.738±0.799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3.688±0.898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总体差异未达到统计学显著水平（F=0.96，P=0.4375；Kruskal-Wallis P=0.3427）。科室工作人员得分最高，职能部门工作人员高于均值，科室负责人、职能部门负责人和院级领导相对较低。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11  </w:t>
      </w:r>
      <w:r>
        <w:rPr>
          <w:b/>
          <w:sz w:val="22"/>
          <w:rFonts w:eastAsia="黑体" w:ascii="黑体" w:hAnsi="黑体" w:cs="黑体"/>
        </w:rPr>
        <w:t>创新应用能力分职务结果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职务类型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4.032±0.919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职能部门工作人员</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3.813±0.982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科室负责人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3.619±0.815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职能部门负责人</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3.531±0.981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院级领导</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3.250±0.000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四、不同职业类型动态能力情况</w:t>
      </w:r>
    </w:p>
    <w:p>
      <w:pPr>
        <w:spacing w:line="384" w:lineRule="auto" w:after="60"/>
        <w:ind w:firstLine="480"/>
      </w:pPr>
      <w:r>
        <w:rPr>
          <w:rFonts w:ascii="仿宋" w:hAnsi="仿宋" w:eastAsia="仿宋"/>
          <w:b w:val="0"/>
          <w:sz w:val="24"/>
        </w:rPr>
        <w:t>本部分比较医生、护士、医技、管理和后勤五类人员的动态能力，"其他"类别样本量较少，未纳入比较。医技人员在动态能力总分及四个维度上得分均相对较高，护士整体也处于较高水平，医生在多项指标上得分相对较低，管理和后勤人员多处于中间水平。统计检验显示，感知识别能力和协调整合能力在职业类型间的差异达到统计学显著水平，动态能力总分和创新应用能力存在一定差异趋势，学习吸收能力差异未达到统计学显著水平。管理和后勤人员样本量相对较小，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纳入分析的五类职业类型人员动态能力总分均值为3.901分。方差分析接近统计学显著（F=2.44，P=0.0570），Kruskal-Wallis检验显示差异具有统计学意义（P=0.0425）。经Bonferroni校正后，具体两两比较未达到统计学显著水平。医技人员得分最高，护士高于均值，后勤和管理人员接近或略低于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12  </w:t>
      </w:r>
      <w:r>
        <w:rPr>
          <w:b/>
          <w:sz w:val="22"/>
          <w:rFonts w:eastAsia="黑体" w:ascii="黑体" w:hAnsi="黑体" w:cs="黑体"/>
        </w:rPr>
        <w:t>动态能力总分分职业类型结果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4.401±0.671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4.127±0.830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3.856±0.608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3.723±0.321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3.596±0.815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感知识别能力五类职业类型人员均值为3.965分，职业类型间差异具有统计学意义（F=2.69，P=0.0399；Kruskal-Wallis P=0.0388）。经Bonferroni校正后，两两比较未达到统计学显著水平。医技人员得分最高，护士和后勤人员高于均值，管理人员接近均值，医生相对较低。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13  </w:t>
      </w:r>
      <w:r>
        <w:rPr>
          <w:b/>
          <w:sz w:val="22"/>
          <w:rFonts w:eastAsia="黑体" w:ascii="黑体" w:hAnsi="黑体" w:cs="黑体"/>
        </w:rPr>
        <w:t>感知识别能力分职业类型结果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4.431±0.545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4.162±0.796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4.100±0.463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3.917±0.382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3.644±0.767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学习吸收能力五类职业类型人员均值为3.881分，职业类型间差异未达到统计学显著水平（F=1.96，P=0.1118；Kruskal-Wallis P=0.1322）。医技人员和护士得分较高，管理和后勤人员接近均值，医生相对较低。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14  </w:t>
      </w:r>
      <w:r>
        <w:rPr>
          <w:b/>
          <w:sz w:val="22"/>
          <w:rFonts w:eastAsia="黑体" w:ascii="黑体" w:hAnsi="黑体" w:cs="黑体"/>
        </w:rPr>
        <w:t>学习吸收能力分职业类型结果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4.356±0.829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4.120±0.921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3.933±0.306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3.800±0.837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3.556±0.898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协调整合能力五类职业类型人员均值为3.936分，职业类型间差异具有统计学意义（F=2.55，P=0.0486；Kruskal-Wallis P=0.0322）。经Bonferroni校正后，两两比较未达到统计学显著水平。医技人员得分最高，护士高于均值，后勤、医生和管理人员得分相对较低且较为接近。</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15  </w:t>
      </w:r>
      <w:r>
        <w:rPr>
          <w:b/>
          <w:sz w:val="22"/>
          <w:rFonts w:eastAsia="黑体" w:ascii="黑体" w:hAnsi="黑体" w:cs="黑体"/>
        </w:rPr>
        <w:t>协调整合能力分职业类型结果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4.444±0.622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4.188±0.810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3.675±0.464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3.662±0.867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3.625±0.331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创新应用能力五类职业类型人员均值为3.824分，是四个维度中得分相对较低的维度。职业类型间差异未达到统计学显著水平，但呈现一定差异趋势（F=2.27，P=0.0726；Kruskal-Wallis P=0.0723）。医技人员得分最高，护士高于均值，后勤人员接近均值，医生和管理人员相对较低。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16  </w:t>
      </w:r>
      <w:r>
        <w:rPr>
          <w:b/>
          <w:sz w:val="22"/>
          <w:rFonts w:eastAsia="黑体" w:ascii="黑体" w:hAnsi="黑体" w:cs="黑体"/>
        </w:rPr>
        <w:t>创新应用能力分职业类型结果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职业类型</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医技</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4.375±0.745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护士</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4.037±0.870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后勤</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3.850±0.783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医生</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3.523±0.900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3.417±0.520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五、不同职称动态能力情况</w:t>
      </w:r>
    </w:p>
    <w:p>
      <w:pPr>
        <w:spacing w:line="384" w:lineRule="auto" w:after="60"/>
        <w:ind w:firstLine="480"/>
      </w:pPr>
      <w:r>
        <w:rPr>
          <w:rFonts w:ascii="仿宋" w:hAnsi="仿宋" w:eastAsia="仿宋"/>
          <w:b w:val="0"/>
          <w:sz w:val="24"/>
        </w:rPr>
        <w:t>不同职称人员在动态能力总分及四个维度上的差异总体未达到统计学显著水平，但得分排序呈现一定梯度特征：初级职称人员得分最高，无职称和中级人员接近或高于全院均值，副高级和正高级人员相对较低。无职称人员样本量较小，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全院动态能力总分均值3.918分，职称间差异未达到统计学显著水平（F=1.97，P=0.1113；Kruskal-Wallis P=0.0607）。初级职称人员得分最高，无职称和中级人员接近或高于均值，副高级和正高级人员相对较低。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17  </w:t>
      </w:r>
      <w:r>
        <w:rPr>
          <w:b/>
          <w:sz w:val="22"/>
          <w:rFonts w:eastAsia="黑体" w:ascii="黑体" w:hAnsi="黑体" w:cs="黑体"/>
        </w:rPr>
        <w:t>动态能力总分分职称结果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4.310±0.673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4.115±0.556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3.917±0.904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3.685±0.778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3.333±0.527</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全院均值3.981分，职称间差异未达到统计学显著水平（F=2.14，P=0.0874；Kruskal-Wallis P=0.0500）。初级职称人员得分最高，中级和无职称人员接近均值，副高级和正高级人员相对较低。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18  </w:t>
      </w:r>
      <w:r>
        <w:rPr>
          <w:b/>
          <w:sz w:val="22"/>
          <w:rFonts w:eastAsia="黑体" w:ascii="黑体" w:hAnsi="黑体" w:cs="黑体"/>
        </w:rPr>
        <w:t>感知识别能力分职称结果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4.358±0.616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4.005±0.830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3.958±0.439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3.767±0.782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3.375±0.424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全院均值3.898分，职称间差异未达到统计学显著水平（F=2.16，P=0.0845；Kruskal-Wallis P=0.0796）。初级和无职称人员得分最高，中级人员接近均值，副高级和正高级人员相对较低。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19  </w:t>
      </w:r>
      <w:r>
        <w:rPr>
          <w:b/>
          <w:sz w:val="22"/>
          <w:rFonts w:eastAsia="黑体" w:ascii="黑体" w:hAnsi="黑体" w:cs="黑体"/>
        </w:rPr>
        <w:t>学习吸收能力分职称结果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4.333±0.820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4.333±0.577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3.889±0.977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3.600±0.855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3.280±0.522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全院均值3.952分，职称间差异未达到统计学显著水平（F=1.81，P=0.1388；Kruskal-Wallis P=0.0996）。初级人员得分最高，无职称和中级人员高于均值，副高级和正高级人员相对较低。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20  </w:t>
      </w:r>
      <w:r>
        <w:rPr>
          <w:b/>
          <w:sz w:val="22"/>
          <w:rFonts w:eastAsia="黑体" w:ascii="黑体" w:hAnsi="黑体" w:cs="黑体"/>
        </w:rPr>
        <w:t>协调整合能力分职称结果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4.342±0.664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4.167±0.520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3.917±0.935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3.783±0.767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3.350±0.548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全院均值3.842分，是四个维度中得分相对较低的维度。职称间差异未达到统计学显著水平（F=1.41，P=0.2412；Kruskal-Wallis P=0.1197）。初级人员得分最高，无职称和中级人员接近或略高于均值，副高级和正高级人员相对较低。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21  </w:t>
      </w:r>
      <w:r>
        <w:rPr>
          <w:b/>
          <w:sz w:val="22"/>
          <w:rFonts w:eastAsia="黑体" w:ascii="黑体" w:hAnsi="黑体" w:cs="黑体"/>
        </w:rPr>
        <w:t>创新应用能力分职称结果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初级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4.208±0.700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无职称</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4.000±0.750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中级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3.856±1.015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副高级</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3.592±0.842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正高级</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3.325±0.659</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六、不同本院工作年限动态能力情况</w:t>
      </w:r>
    </w:p>
    <w:p>
      <w:pPr>
        <w:spacing w:line="384" w:lineRule="auto" w:after="60"/>
        <w:ind w:firstLine="480"/>
      </w:pPr>
      <w:r>
        <w:rPr>
          <w:rFonts w:ascii="仿宋" w:hAnsi="仿宋" w:eastAsia="仿宋"/>
          <w:b w:val="0"/>
          <w:sz w:val="24"/>
        </w:rPr>
        <w:t>不同本院工作年限组在动态能力总分及四个维度上的差异均未达到统计学显著水平。从均值看，3–5年组在多数指标上得分相对较高，11–20年组多接近全院均值，3年以下组和6–10年组围绕均值分布，20年以上组在多项指标上相对较低。20年以上组样本量仅2人，相关结果适合作为参考。</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总体差异未达到统计学显著水平（F=1.14，P=0.3485；Kruskal-Wallis P=0.2963）。3–5年组得分最高，11–20年组和3年以下组接近全院均值，6–10年组略低于均值，20年以上组得分最低。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22  </w:t>
      </w:r>
      <w:r>
        <w:rPr>
          <w:b/>
          <w:sz w:val="22"/>
          <w:rFonts w:eastAsia="黑体" w:ascii="黑体" w:hAnsi="黑体" w:cs="黑体"/>
        </w:rPr>
        <w:t>动态能力总分分工作年限结果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4.213±0.905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3.966±0.860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3.935±0.683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3.827±0.637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2.809±0.270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总体差异未达到统计学显著水平（F=1.52，P=0.2076；Kruskal-Wallis P=0.2528）。3–5年组得分最高，11–20年组、3年以下组和6–10年组接近全院均值，20年以上组得分最低。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23  </w:t>
      </w:r>
      <w:r>
        <w:rPr>
          <w:b/>
          <w:sz w:val="22"/>
          <w:rFonts w:eastAsia="黑体" w:ascii="黑体" w:hAnsi="黑体" w:cs="黑体"/>
        </w:rPr>
        <w:t>感知识别能力分工作年限结果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4.250±0.872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4.028±0.804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3.958±0.439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3.927±0.565</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2.750±0.354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总体差异未达到统计学显著水平（F=1.00，P=0.4133；Kruskal-Wallis P=0.3404）。3年以下组和3–5年组得分较高，11–20年组接近均值，6–10年组略低，20年以上组得分最低。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24  </w:t>
      </w:r>
      <w:r>
        <w:rPr>
          <w:b/>
          <w:sz w:val="22"/>
          <w:rFonts w:eastAsia="黑体" w:ascii="黑体" w:hAnsi="黑体" w:cs="黑体"/>
        </w:rPr>
        <w:t>学习吸收能力分工作年限结果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4.200±0.721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4.100±1.052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3.955±0.948</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3.733±0.769</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2.800±0.283</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总体差异未达到统计学显著水平（F=1.42，P=0.2399；Kruskal-Wallis P=0.2130）。3–5年组得分最高，11–20年组接近全院均值，3年以下组和6–10年组略低于均值，20年以上组得分最低。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25  </w:t>
      </w:r>
      <w:r>
        <w:rPr>
          <w:b/>
          <w:sz w:val="22"/>
          <w:rFonts w:eastAsia="黑体" w:ascii="黑体" w:hAnsi="黑体" w:cs="黑体"/>
        </w:rPr>
        <w:t>协调整合能力分工作年限结果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4.250±0.957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4.006±0.853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3.917±0.764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3.875±0.631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2.688±0.442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总体差异未达到统计学显著水平（F=0.71，P=0.5909；Kruskal-Wallis P=0.4344）。3–5年组得分最高，11–20年组和6–10年组接近全院均值，3年以下组略低，20年以上组得分最低。</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26  </w:t>
      </w:r>
      <w:r>
        <w:rPr>
          <w:b/>
          <w:sz w:val="22"/>
          <w:rFonts w:eastAsia="黑体" w:ascii="黑体" w:hAnsi="黑体" w:cs="黑体"/>
        </w:rPr>
        <w:t>创新应用能力分工作年限结果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3-5</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4.250±0.957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11-20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3.875±0.953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6-10</w:t>
            </w:r>
            <w:r>
              <w:rPr>
                <w:b w:val="0"/>
                <w:sz w:val="21"/>
                <w:rFonts w:eastAsia="仿宋" w:ascii="仿宋" w:hAnsi="仿宋" w:cs="仿宋"/>
              </w:rPr>
              <w:t>年</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3.771±0.667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r>
      <w:tr>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r>
              <w:rPr>
                <w:b w:val="0"/>
                <w:sz w:val="21"/>
                <w:rFonts w:eastAsia="仿宋" w:ascii="仿宋" w:hAnsi="仿宋" w:cs="仿宋"/>
              </w:rPr>
              <w:t>年以下</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3.667±0.946</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20</w:t>
            </w:r>
            <w:r>
              <w:rPr>
                <w:b w:val="0"/>
                <w:sz w:val="21"/>
                <w:rFonts w:eastAsia="仿宋" w:ascii="仿宋" w:hAnsi="仿宋" w:cs="仿宋"/>
              </w:rPr>
              <w:t>年以上</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3.000±0.000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5</w:t>
            </w:r>
          </w:p>
        </w:tc>
      </w:tr>
    </w:tbl>
    <w:p/>
    <w:p>
      <w:pPr>
        <w:spacing w:before="240" w:after="120" w:line="360" w:lineRule="auto"/>
      </w:pPr>
      <w:r>
        <w:rPr>
          <w:rFonts w:ascii="黑体" w:hAnsi="黑体" w:eastAsia="黑体"/>
          <w:b/>
          <w:sz w:val="30"/>
        </w:rPr>
        <w:t>七、不同主要工作内容动态能力情况</w:t>
      </w:r>
    </w:p>
    <w:p>
      <w:pPr>
        <w:spacing w:line="384" w:lineRule="auto" w:after="60"/>
        <w:ind w:firstLine="480"/>
      </w:pPr>
      <w:r>
        <w:rPr>
          <w:rFonts w:ascii="仿宋" w:hAnsi="仿宋" w:eastAsia="仿宋"/>
          <w:b w:val="0"/>
          <w:sz w:val="24"/>
        </w:rPr>
        <w:t>本次样本中主要工作内容包括管理、医疗和教学三类，教学类样本量仅1人，未观察到科研类别样本，教学结果仅作描述性参考。从均值看，管理与医疗人员在动态能力总分及四个维度上得分较为接近，均接近全院均值，差异均未达到统计学显著水平。</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总体差异未达到统计学显著水平（F=0.93，P=0.3985；Kruskal-Wallis P=0.3214）。管理人员得分略高于医疗人员，两者均接近全院均值；教学人员样本量仅1人，仅作描述性参考。</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27  </w:t>
      </w:r>
      <w:r>
        <w:rPr>
          <w:b/>
          <w:sz w:val="22"/>
          <w:rFonts w:eastAsia="黑体" w:ascii="黑体" w:hAnsi="黑体" w:cs="黑体"/>
        </w:rPr>
        <w:t>动态能力总分分主要工作内容结果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3.944±0.774</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3.879±0.840</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总体差异未达到统计学显著水平（F=0.98，P=0.3823；Kruskal-Wallis P=0.3480）。管理人员得分略高于医疗人员，两者均接近全院均值。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28  </w:t>
      </w:r>
      <w:r>
        <w:rPr>
          <w:b/>
          <w:sz w:val="22"/>
          <w:rFonts w:eastAsia="黑体" w:ascii="黑体" w:hAnsi="黑体" w:cs="黑体"/>
        </w:rPr>
        <w:t>感知识别能力分主要工作内容结果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4.017±0.727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3.938±0.785</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总体差异未达到统计学显著水平（F=0.80，P=0.4529；Kruskal-Wallis P=0.4390）。管理人员得分略高于医疗人员，两者均接近全院均值。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29  </w:t>
      </w:r>
      <w:r>
        <w:rPr>
          <w:b/>
          <w:sz w:val="22"/>
          <w:rFonts w:eastAsia="黑体" w:ascii="黑体" w:hAnsi="黑体" w:cs="黑体"/>
        </w:rPr>
        <w:t>学习吸收能力分主要工作内容结果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3.936±0.867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3.852±0.934</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总体差异未达到统计学显著水平（F=0.82，P=0.4434；Kruskal-Wallis P=0.4139）。管理人员得分略高于医疗人员，两者均接近全院均值。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30  </w:t>
      </w:r>
      <w:r>
        <w:rPr>
          <w:b/>
          <w:sz w:val="22"/>
          <w:rFonts w:eastAsia="黑体" w:ascii="黑体" w:hAnsi="黑体" w:cs="黑体"/>
        </w:rPr>
        <w:t>协调整合能力分主要工作内容结果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3.955±0.757</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3.926±0.861</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总体差异未达到统计学显著水平（F=0.90，P=0.4130；Kruskal-Wallis P=0.3377）。管理人员得分略高于医疗人员，两者均接近全院均值。</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31  </w:t>
      </w:r>
      <w:r>
        <w:rPr>
          <w:b/>
          <w:sz w:val="22"/>
          <w:rFonts w:eastAsia="黑体" w:ascii="黑体" w:hAnsi="黑体" w:cs="黑体"/>
        </w:rPr>
        <w:t>创新应用能力分主要工作内容结果</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类别</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样本量</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均值</w:t>
            </w:r>
            <w:r>
              <w:rPr>
                <w:b/>
                <w:sz w:val="21"/>
                <w:rFonts w:eastAsia="黑体" w:ascii="Times New Roman" w:hAnsi="Times New Roman" w:cs="Times New Roman"/>
              </w:rPr>
              <w:t>±</w:t>
            </w:r>
            <w:r>
              <w:rPr>
                <w:b/>
                <w:sz w:val="21"/>
                <w:rFonts w:eastAsia="黑体" w:ascii="黑体" w:hAnsi="黑体" w:cs="黑体"/>
              </w:rPr>
              <w:t>标准差</w:t>
            </w:r>
          </w:p>
        </w:tc>
        <w:tc>
          <w:tcPr>
            <w:tcW w:type="dxa" w:w="2266"/>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排序</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教学</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5.000±0.000</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w:t>
            </w:r>
          </w:p>
        </w:tc>
      </w:tr>
      <w:tr>
        <w:tc>
          <w:tcPr>
            <w:tcW w:type="dxa" w:w="2266"/>
            <w:vAlign w:val="center"/>
            <w:tcBorders>
              <w:left w:val="nil"/>
              <w:right w:val="nil"/>
              <w:top w:val="nil"/>
              <w:bottom w:val="nil"/>
            </w:tcBorders>
          </w:tcPr>
          <w:p>
            <w:pPr>
              <w:spacing w:before="20" w:after="20"/>
              <w:jc w:val="center"/>
            </w:pPr>
            <w:r/>
            <w:r>
              <w:rPr>
                <w:b w:val="0"/>
                <w:sz w:val="21"/>
                <w:rFonts w:eastAsia="仿宋" w:ascii="仿宋" w:hAnsi="仿宋" w:cs="仿宋"/>
              </w:rPr>
              <w:t>管理</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3.869±0.862</w:t>
            </w:r>
          </w:p>
        </w:tc>
        <w:tc>
          <w:tcPr>
            <w:tcW w:type="dxa" w:w="2266"/>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2</w:t>
            </w:r>
          </w:p>
        </w:tc>
      </w:tr>
      <w:tr>
        <w:tc>
          <w:tcPr>
            <w:tcW w:type="dxa" w:w="2266"/>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医疗</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42</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3.801±0.908</w:t>
            </w:r>
          </w:p>
        </w:tc>
        <w:tc>
          <w:tcPr>
            <w:tcW w:type="dxa" w:w="2266"/>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3</w:t>
            </w:r>
          </w:p>
        </w:tc>
      </w:tr>
    </w:tbl>
    <w:p/>
    <w:p>
      <w:pPr>
        <w:spacing w:before="240" w:after="120" w:line="360" w:lineRule="auto"/>
      </w:pPr>
      <w:r>
        <w:rPr>
          <w:rFonts w:ascii="黑体" w:hAnsi="黑体" w:eastAsia="黑体"/>
          <w:b/>
          <w:sz w:val="30"/>
        </w:rPr>
        <w:t>八、公立医院动态能力及其不同维度的影响因素</w:t>
      </w:r>
    </w:p>
    <w:p>
      <w:pPr>
        <w:spacing w:line="384" w:lineRule="auto" w:after="60"/>
        <w:ind w:firstLine="480"/>
      </w:pPr>
      <w:r>
        <w:rPr>
          <w:rFonts w:ascii="仿宋" w:hAnsi="仿宋" w:eastAsia="仿宋"/>
          <w:b w:val="0"/>
          <w:sz w:val="24"/>
        </w:rPr>
        <w:t>本部分在前述分组比较基础上，引入医院文化、医院资源、医院战略、路径依赖、环境因素、员工因素和管理特征七类组织内部条件，在综合控制年龄、科室、职务、职业类型、职称、工作年限、培训次数、主要工作内容等个体与岗位变量后，分析其对动态能力总分及四个维度的作用。总体来看，七类影响因素中，员工因素对创新应用能力呈显著正向作用；其他结果在控制背景变量后均未达到统计学显著水平。后续推动创新应用能力建设，可重点关注管理者能力、医务人员业务水平以及管理与临床协同。</w:t>
      </w:r>
    </w:p>
    <w:p>
      <w:pPr>
        <w:spacing w:before="240" w:after="120" w:line="360" w:lineRule="auto"/>
      </w:pPr>
      <w:r>
        <w:rPr>
          <w:rFonts w:ascii="黑体" w:hAnsi="黑体" w:eastAsia="黑体"/>
          <w:b/>
          <w:sz w:val="26"/>
        </w:rPr>
        <w:t>（一）动态能力总分</w:t>
      </w:r>
    </w:p>
    <w:p>
      <w:pPr>
        <w:spacing w:line="384" w:lineRule="auto" w:after="60"/>
        <w:ind w:firstLine="480"/>
      </w:pPr>
      <w:r>
        <w:rPr>
          <w:rFonts w:ascii="仿宋" w:hAnsi="仿宋" w:eastAsia="仿宋"/>
          <w:b w:val="0"/>
          <w:sz w:val="24"/>
        </w:rPr>
        <w:t>综合调整模型显示，七类影响因素对动态能力总分的影响均未达到统计学显著水平。其中医院文化和员工因素的回归系数为正、接近显著，呈一定正向趋势。</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32  </w:t>
      </w:r>
      <w:r>
        <w:rPr>
          <w:b/>
          <w:sz w:val="22"/>
          <w:rFonts w:eastAsia="黑体" w:ascii="黑体" w:hAnsi="黑体" w:cs="黑体"/>
        </w:rPr>
        <w:t>动态能力总分影响因素综合调整模型结果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1.288±0.745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0.099</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0.179±0.340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0.604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-0.553±0.665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0.415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-0.071±0.102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0.492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-0.028±0.153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0.857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0.463±0.262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-0.325±0.655</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0.625</w:t>
            </w:r>
          </w:p>
        </w:tc>
      </w:tr>
    </w:tbl>
    <w:p/>
    <w:p>
      <w:pPr>
        <w:spacing w:before="240" w:after="120" w:line="360" w:lineRule="auto"/>
      </w:pPr>
      <w:r>
        <w:rPr>
          <w:rFonts w:ascii="黑体" w:hAnsi="黑体" w:eastAsia="黑体"/>
          <w:b/>
          <w:sz w:val="26"/>
        </w:rPr>
        <w:t>（二）感知识别能力</w:t>
      </w:r>
    </w:p>
    <w:p>
      <w:pPr>
        <w:spacing w:line="384" w:lineRule="auto" w:after="60"/>
        <w:ind w:firstLine="480"/>
      </w:pPr>
      <w:r>
        <w:rPr>
          <w:rFonts w:ascii="仿宋" w:hAnsi="仿宋" w:eastAsia="仿宋"/>
          <w:b w:val="0"/>
          <w:sz w:val="24"/>
        </w:rPr>
        <w:t>综合调整模型显示，七类影响因素对感知识别能力的影响均未达到统计学显著水平。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33  </w:t>
      </w:r>
      <w:r>
        <w:rPr>
          <w:b/>
          <w:sz w:val="22"/>
          <w:rFonts w:eastAsia="黑体" w:ascii="黑体" w:hAnsi="黑体" w:cs="黑体"/>
        </w:rPr>
        <w:t>感知识别能力影响因素综合调整模型结果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1.557±1.077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0.163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0.071±0.480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0.884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-0.434±1.004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-0.048±0.153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0.757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-0.112±0.236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0.540±0.476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0.27</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-0.888±0.998</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0.384</w:t>
            </w:r>
          </w:p>
        </w:tc>
      </w:tr>
    </w:tbl>
    <w:p/>
    <w:p>
      <w:pPr>
        <w:spacing w:before="240" w:after="120" w:line="360" w:lineRule="auto"/>
      </w:pPr>
      <w:r>
        <w:rPr>
          <w:rFonts w:ascii="黑体" w:hAnsi="黑体" w:eastAsia="黑体"/>
          <w:b/>
          <w:sz w:val="26"/>
        </w:rPr>
        <w:t>（三）学习吸收能力</w:t>
      </w:r>
    </w:p>
    <w:p>
      <w:pPr>
        <w:spacing w:line="384" w:lineRule="auto" w:after="60"/>
        <w:ind w:firstLine="480"/>
      </w:pPr>
      <w:r>
        <w:rPr>
          <w:rFonts w:ascii="仿宋" w:hAnsi="仿宋" w:eastAsia="仿宋"/>
          <w:b w:val="0"/>
          <w:sz w:val="24"/>
        </w:rPr>
        <w:t>综合调整模型显示，七类影响因素对学习吸收能力的影响均未达到统计学显著水平。其中医院文化和员工因素的回归系数为正、接近显著，呈一定正向趋势。</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34  </w:t>
      </w:r>
      <w:r>
        <w:rPr>
          <w:b/>
          <w:sz w:val="22"/>
          <w:rFonts w:eastAsia="黑体" w:ascii="黑体" w:hAnsi="黑体" w:cs="黑体"/>
        </w:rPr>
        <w:t>学习吸收能力影响因素综合调整模型结果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1.768±0.996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0.091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0.111±0.347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0.752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-0.965±0.753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0.214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-0.040±0.122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0.745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-0.112±0.170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0.589±0.302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0.065</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-0.265±0.716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0.715</w:t>
            </w:r>
          </w:p>
        </w:tc>
      </w:tr>
    </w:tbl>
    <w:p/>
    <w:p>
      <w:pPr>
        <w:spacing w:before="240" w:after="120" w:line="360" w:lineRule="auto"/>
      </w:pPr>
      <w:r>
        <w:rPr>
          <w:rFonts w:ascii="黑体" w:hAnsi="黑体" w:eastAsia="黑体"/>
          <w:b/>
          <w:sz w:val="26"/>
        </w:rPr>
        <w:t>（四）协调整合能力</w:t>
      </w:r>
    </w:p>
    <w:p>
      <w:pPr>
        <w:spacing w:line="384" w:lineRule="auto" w:after="60"/>
        <w:ind w:firstLine="480"/>
      </w:pPr>
      <w:r>
        <w:rPr>
          <w:rFonts w:ascii="仿宋" w:hAnsi="仿宋" w:eastAsia="仿宋"/>
          <w:b w:val="0"/>
          <w:sz w:val="24"/>
        </w:rPr>
        <w:t>综合调整模型显示，七类影响因素对协调整合能力的影响均未达到统计学显著水平。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35  </w:t>
      </w:r>
      <w:r>
        <w:rPr>
          <w:b/>
          <w:sz w:val="22"/>
          <w:rFonts w:eastAsia="黑体" w:ascii="黑体" w:hAnsi="黑体" w:cs="黑体"/>
        </w:rPr>
        <w:t>协调整合能力影响因素综合调整模型结果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0.637±0.643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0.333</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0.130±0.298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0.666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0.022±0.567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0.97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-0.082±0.086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0.352</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0.033±0.141</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0.816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0.041±0.252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0.871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0.157±0.606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0.798</w:t>
            </w:r>
          </w:p>
        </w:tc>
      </w:tr>
    </w:tbl>
    <w:p/>
    <w:p>
      <w:pPr>
        <w:spacing w:before="240" w:after="120" w:line="360" w:lineRule="auto"/>
      </w:pPr>
      <w:r>
        <w:rPr>
          <w:rFonts w:ascii="黑体" w:hAnsi="黑体" w:eastAsia="黑体"/>
          <w:b/>
          <w:sz w:val="26"/>
        </w:rPr>
        <w:t>（五）创新应用能力</w:t>
      </w:r>
    </w:p>
    <w:p>
      <w:pPr>
        <w:spacing w:line="384" w:lineRule="auto" w:after="60"/>
        <w:ind w:firstLine="480"/>
      </w:pPr>
      <w:r>
        <w:rPr>
          <w:rFonts w:ascii="仿宋" w:hAnsi="仿宋" w:eastAsia="仿宋"/>
          <w:b w:val="0"/>
          <w:sz w:val="24"/>
        </w:rPr>
        <w:t>综合调整模型显示，员工因素与创新应用能力呈显著正向关联（回归系数=0.683，P=0.021）。结果提示，管理者能力、医务人员业务水平以及管理与临床协同，对医院推进技术应用、服务改进和管理创新具有重要支撑作用。其余影响因素对创新应用能力的影响均未达到统计学显著水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36  </w:t>
      </w:r>
      <w:r>
        <w:rPr>
          <w:b/>
          <w:sz w:val="22"/>
          <w:rFonts w:eastAsia="黑体" w:ascii="黑体" w:hAnsi="黑体" w:cs="黑体"/>
        </w:rPr>
        <w:t>创新应用能力影响因素综合调整模型结果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影响因素</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医院文化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1.192±0.765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0.134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医院资源</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0.404±0.403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0.327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医院战略</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-0.834±0.697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0.245</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路径依赖</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-0.115±0.128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0.377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环境因素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0.080±0.150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员工因素</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0.683±0.274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管理特征</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-0.305±0.683</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0.66</w:t>
            </w:r>
          </w:p>
        </w:tc>
      </w:tr>
    </w:tbl>
    <w:p/>
    <w:p>
      <w:pPr>
        <w:spacing w:before="240" w:after="120" w:line="360" w:lineRule="auto"/>
      </w:pPr>
      <w:r>
        <w:rPr>
          <w:rFonts w:ascii="黑体" w:hAnsi="黑体" w:eastAsia="黑体"/>
          <w:b/>
          <w:sz w:val="30"/>
        </w:rPr>
        <w:t>九、公立医院动态能力对医院绩效的影响</w:t>
      </w:r>
    </w:p>
    <w:p>
      <w:pPr>
        <w:spacing w:line="384" w:lineRule="auto" w:after="60"/>
        <w:ind w:firstLine="480"/>
      </w:pPr>
      <w:r>
        <w:rPr>
          <w:rFonts w:ascii="仿宋" w:hAnsi="仿宋" w:eastAsia="仿宋"/>
          <w:b w:val="0"/>
          <w:sz w:val="24"/>
        </w:rPr>
        <w:t>本部分分析公立医院动态能力与医院绩效表现之间的关系。绩效指标包括服务量、医疗质量、运营效率、患者满意度、员工满意度和服务公平可及性。分析中已控制年龄、性别、教育程度、专业背景、职务、职业类型、职称、工作年限、培训次数和主要工作类型等差异。为避免动态能力总分与四个维度同时纳入模型造成的共线性问题，动态能力总分和四个维度分别进入模型，表中仅呈现动态能力指标的结果。</w:t>
      </w:r>
    </w:p>
    <w:p>
      <w:pPr>
        <w:spacing w:line="384" w:lineRule="auto" w:after="60"/>
        <w:ind w:firstLine="480"/>
      </w:pPr>
      <w:r>
        <w:rPr>
          <w:rFonts w:ascii="仿宋" w:hAnsi="仿宋" w:eastAsia="仿宋"/>
          <w:b w:val="0"/>
          <w:sz w:val="24"/>
        </w:rPr>
        <w:t>总体来看，动态能力总分及四个维度与六项绩效指标均呈显著正向关联，动态能力水平越高，受访者对医院服务量、医疗质量、运营效率、患者满意度、员工满意度和服务公平可及性的评价也越高。分维度看，协调整合能力、创新应用能力和学习吸收能力在多项绩效指标中的回归系数相对较高。</w:t>
      </w:r>
    </w:p>
    <w:p>
      <w:pPr>
        <w:spacing w:before="240" w:after="120" w:line="360" w:lineRule="auto"/>
      </w:pPr>
      <w:r>
        <w:rPr>
          <w:rFonts w:ascii="黑体" w:hAnsi="黑体" w:eastAsia="黑体"/>
          <w:b/>
          <w:sz w:val="26"/>
        </w:rPr>
        <w:t>（一）服务量</w:t>
      </w:r>
    </w:p>
    <w:p>
      <w:pPr>
        <w:spacing w:line="384" w:lineRule="auto" w:after="60"/>
        <w:ind w:firstLine="480"/>
      </w:pPr>
      <w:r>
        <w:rPr>
          <w:rFonts w:ascii="仿宋" w:hAnsi="仿宋" w:eastAsia="仿宋"/>
          <w:b w:val="0"/>
          <w:sz w:val="24"/>
        </w:rPr>
        <w:t>服务量方面，动态能力总分及四个维度均呈显著正向关联。其中协调整合能力（0.507）、动态能力总分（0.495）和创新应用能力（0.477）的回归系数相对较高，提示服务量提升与资源统筹、流程衔接和创新应用能力关系较为密切。</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37  </w:t>
      </w:r>
      <w:r>
        <w:rPr>
          <w:b/>
          <w:sz w:val="22"/>
          <w:rFonts w:eastAsia="黑体" w:ascii="黑体" w:hAnsi="黑体" w:cs="黑体"/>
        </w:rPr>
        <w:t>服务量影响结果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0.495±0.119</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0.356±0.140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0.447±0.102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0.507±0.123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0.477±0.097</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（二）医疗质量</w:t>
      </w:r>
    </w:p>
    <w:p>
      <w:pPr>
        <w:spacing w:line="384" w:lineRule="auto" w:after="60"/>
        <w:ind w:firstLine="480"/>
      </w:pPr>
      <w:r>
        <w:rPr>
          <w:rFonts w:ascii="仿宋" w:hAnsi="仿宋" w:eastAsia="仿宋"/>
          <w:b w:val="0"/>
          <w:sz w:val="24"/>
        </w:rPr>
        <w:t>医疗质量方面，动态能力总分及四个维度均呈显著正向关联。其中协调整合能力（0.489）、动态能力总分（0.476）和创新应用能力（0.461）的回归系数相对较高，提示医疗质量提升与资源整合、知识转化和创新实践能力密切相关。</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38  </w:t>
      </w:r>
      <w:r>
        <w:rPr>
          <w:b/>
          <w:sz w:val="22"/>
          <w:rFonts w:eastAsia="黑体" w:ascii="黑体" w:hAnsi="黑体" w:cs="黑体"/>
        </w:rPr>
        <w:t>医疗质量影响结果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0.476±0.132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0.326±0.143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0.031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0.438±0.118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0.489±0.137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0.461±0.116</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（三）运营效率</w:t>
      </w:r>
    </w:p>
    <w:p>
      <w:pPr>
        <w:spacing w:line="384" w:lineRule="auto" w:after="60"/>
        <w:ind w:firstLine="480"/>
      </w:pPr>
      <w:r>
        <w:rPr>
          <w:rFonts w:ascii="仿宋" w:hAnsi="仿宋" w:eastAsia="仿宋"/>
          <w:b w:val="0"/>
          <w:sz w:val="24"/>
        </w:rPr>
        <w:t>运营效率方面，动态能力总分及四个维度均呈显著正向关联。其中协调整合能力（0.448）和动态能力总分（0.435）的回归系数相对较高，提示提高运营效率需要持续加强资源配置、流程衔接和跨部门协同。</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39  </w:t>
      </w:r>
      <w:r>
        <w:rPr>
          <w:b/>
          <w:sz w:val="22"/>
          <w:rFonts w:eastAsia="黑体" w:ascii="黑体" w:hAnsi="黑体" w:cs="黑体"/>
        </w:rPr>
        <w:t>运营效率影响结果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0.435±0.118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0.306±0.133</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0.029</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0.396±0.104</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0.448±0.125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0.419±0.103</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（四）患者满意度</w:t>
      </w:r>
    </w:p>
    <w:p>
      <w:pPr>
        <w:spacing w:line="384" w:lineRule="auto" w:after="60"/>
        <w:ind w:firstLine="480"/>
      </w:pPr>
      <w:r>
        <w:rPr>
          <w:rFonts w:ascii="仿宋" w:hAnsi="仿宋" w:eastAsia="仿宋"/>
          <w:b w:val="0"/>
          <w:sz w:val="24"/>
        </w:rPr>
        <w:t>患者满意度方面，动态能力总分及四个维度均呈显著正向关联。其中协调整合能力（0.637）、动态能力总分（0.577）和创新应用能力（0.548）的回归系数相对较高，提示患者体验改善与流程协同、服务创新和资源响应能力关系较为紧密。</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40  </w:t>
      </w:r>
      <w:r>
        <w:rPr>
          <w:b/>
          <w:sz w:val="22"/>
          <w:rFonts w:eastAsia="黑体" w:ascii="黑体" w:hAnsi="黑体" w:cs="黑体"/>
        </w:rPr>
        <w:t>患者满意度影响结果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0.577±0.132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0.385±0.151</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0.017</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0.518±0.120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0.637±0.137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0.548±0.114</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（五）员工满意度</w:t>
      </w:r>
    </w:p>
    <w:p>
      <w:pPr>
        <w:spacing w:line="384" w:lineRule="auto" w:after="60"/>
        <w:ind w:firstLine="480"/>
      </w:pPr>
      <w:r>
        <w:rPr>
          <w:rFonts w:ascii="仿宋" w:hAnsi="仿宋" w:eastAsia="仿宋"/>
          <w:b w:val="0"/>
          <w:sz w:val="24"/>
        </w:rPr>
        <w:t>员工满意度方面，动态能力总分及四个维度均呈显著正向关联。其中协调整合能力（0.570）、动态能力总分（0.525）和学习吸收能力（0.483）的回归系数相对较高，提示组织运行顺畅、内部学习支持和资源协同对员工评价具有积极意义。</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41  </w:t>
      </w:r>
      <w:r>
        <w:rPr>
          <w:b/>
          <w:sz w:val="22"/>
          <w:rFonts w:eastAsia="黑体" w:ascii="黑体" w:hAnsi="黑体" w:cs="黑体"/>
        </w:rPr>
        <w:t>员工满意度影响结果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0.525±0.132</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0.367±0.149</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0.483±0.120</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0.570±0.138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0.482±0.105</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26"/>
        </w:rPr>
        <w:t>（六）服务公平可及性</w:t>
      </w:r>
    </w:p>
    <w:p>
      <w:pPr>
        <w:spacing w:line="384" w:lineRule="auto" w:after="60"/>
        <w:ind w:firstLine="480"/>
      </w:pPr>
      <w:r>
        <w:rPr>
          <w:rFonts w:ascii="仿宋" w:hAnsi="仿宋" w:eastAsia="仿宋"/>
          <w:b w:val="0"/>
          <w:sz w:val="24"/>
        </w:rPr>
        <w:t>服务公平可及性方面，动态能力总分及四个维度均呈显著正向关联。其中协调整合能力（0.503）、动态能力总分（0.456）和创新应用能力（0.440）的回归系数相对较高，提示优化资源配置、提升协同效率和推进服务创新，有助于改善服务公平可及性评价。</w:t>
      </w:r>
    </w:p>
    <w:p>
      <w:pPr>
        <w:spacing w:before="120" w:after="60"/>
        <w:jc w:val="center"/>
      </w:pPr>
      <w:r>
        <w:rPr>
          <w:b/>
          <w:sz w:val="22"/>
          <w:rFonts w:eastAsia="黑体" w:ascii="黑体" w:hAnsi="黑体" w:cs="黑体"/>
        </w:rPr>
        <w:t>表</w:t>
      </w:r>
      <w:r>
        <w:rPr>
          <w:b/>
          <w:sz w:val="22"/>
          <w:rFonts w:eastAsia="黑体" w:ascii="Times New Roman" w:hAnsi="Times New Roman" w:cs="Times New Roman"/>
        </w:rPr>
        <w:t xml:space="preserve">42  </w:t>
      </w:r>
      <w:r>
        <w:rPr>
          <w:b/>
          <w:sz w:val="22"/>
          <w:rFonts w:eastAsia="黑体" w:ascii="黑体" w:hAnsi="黑体" w:cs="黑体"/>
        </w:rPr>
        <w:t>服务公平可及性影响结果</w:t>
      </w:r>
    </w:p>
    <w:tbl>
      <w:tblPr>
        <w:tblW w:type="auto" w:w="0"/>
        <w:jc w:val="center"/>
        <w:tblLayout w:type="fixed"/>
        <w:tblLook w:firstColumn="1" w:firstRow="1" w:lastColumn="0" w:lastRow="0" w:noHBand="0" w:noVBand="1" w:val="04A0"/>
      </w:tblPr>
      <w:tblGrid>
        <w:gridCol w:w="3022"/>
        <w:gridCol w:w="3022"/>
        <w:gridCol w:w="3022"/>
      </w:tblGrid>
      <w:tr>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动态能力指标</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回归系数</w:t>
            </w:r>
            <w:r>
              <w:rPr>
                <w:b/>
                <w:sz w:val="21"/>
                <w:rFonts w:eastAsia="黑体" w:ascii="Times New Roman" w:hAnsi="Times New Roman" w:cs="Times New Roman"/>
              </w:rPr>
              <w:t>±</w:t>
            </w:r>
            <w:r>
              <w:rPr>
                <w:b/>
                <w:sz w:val="21"/>
                <w:rFonts w:eastAsia="黑体" w:ascii="黑体" w:hAnsi="黑体" w:cs="黑体"/>
              </w:rPr>
              <w:t>标准误</w:t>
            </w:r>
          </w:p>
        </w:tc>
        <w:tc>
          <w:tcPr>
            <w:tcW w:type="dxa" w:w="3022"/>
            <w:vAlign w:val="center"/>
            <w:tcBorders>
              <w:left w:val="nil"/>
              <w:right w:val="nil"/>
              <w:top w:val="single" w:sz="18" w:color="000000"/>
              <w:bottom w:val="single" w:sz="6" w:color="000000"/>
            </w:tcBorders>
          </w:tcPr>
          <w:p>
            <w:pPr>
              <w:spacing w:before="40" w:after="40"/>
              <w:jc w:val="center"/>
            </w:pPr>
            <w:r/>
            <w:r>
              <w:rPr>
                <w:b/>
                <w:sz w:val="21"/>
                <w:rFonts w:eastAsia="黑体" w:ascii="黑体" w:hAnsi="黑体" w:cs="黑体"/>
              </w:rPr>
              <w:t>P值</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动态能力总分</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0.456±0.108</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感知识别能力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0.299±0.125</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0.024</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学习吸收能力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0.406±0.096</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nil"/>
            </w:tcBorders>
          </w:tcPr>
          <w:p>
            <w:pPr>
              <w:spacing w:before="20" w:after="20"/>
              <w:jc w:val="center"/>
            </w:pPr>
            <w:r/>
            <w:r>
              <w:rPr>
                <w:b w:val="0"/>
                <w:sz w:val="21"/>
                <w:rFonts w:eastAsia="仿宋" w:ascii="仿宋" w:hAnsi="仿宋" w:cs="仿宋"/>
              </w:rPr>
              <w:t>协调整合能力</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0.503±0.117</w:t>
            </w:r>
          </w:p>
        </w:tc>
        <w:tc>
          <w:tcPr>
            <w:tcW w:type="dxa" w:w="3022"/>
            <w:vAlign w:val="center"/>
            <w:tcBorders>
              <w:left w:val="nil"/>
              <w:right w:val="nil"/>
              <w:top w:val="nil"/>
              <w:bottom w:val="nil"/>
            </w:tcBorders>
          </w:tcPr>
          <w:p>
            <w:pPr>
              <w:spacing w:before="20" w:after="20"/>
              <w:jc w:val="center"/>
            </w:pPr>
            <w:r/>
            <w:r>
              <w:rPr>
                <w:b w:val="0"/>
                <w:sz w:val="21"/>
                <w:rFonts w:eastAsia="仿宋" w:ascii="Times New Roman" w:hAnsi="Times New Roman" w:cs="Times New Roman"/>
              </w:rPr>
              <w:t>&lt;0.001</w:t>
            </w:r>
          </w:p>
        </w:tc>
      </w:tr>
      <w:tr>
        <w:tc>
          <w:tcPr>
            <w:tcW w:type="dxa" w:w="3022"/>
            <w:vAlign w:val="center"/>
            <w:tcBorders>
              <w:left w:val="nil"/>
              <w:right w:val="nil"/>
              <w:top w:val="nil"/>
              <w:bottom w:val="single" w:sz="18" w:color="000000"/>
            </w:tcBorders>
          </w:tcPr>
          <w:p>
            <w:pPr>
              <w:spacing w:before="20" w:after="20"/>
              <w:jc w:val="center"/>
            </w:pPr>
            <w:r/>
            <w:r>
              <w:rPr>
                <w:b w:val="0"/>
                <w:sz w:val="21"/>
                <w:rFonts w:eastAsia="仿宋" w:ascii="仿宋" w:hAnsi="仿宋" w:cs="仿宋"/>
              </w:rPr>
              <w:t>创新应用能力</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0.440±0.091</w:t>
            </w:r>
          </w:p>
        </w:tc>
        <w:tc>
          <w:tcPr>
            <w:tcW w:type="dxa" w:w="3022"/>
            <w:vAlign w:val="center"/>
            <w:tcBorders>
              <w:left w:val="nil"/>
              <w:right w:val="nil"/>
              <w:top w:val="nil"/>
              <w:bottom w:val="single" w:sz="18" w:color="000000"/>
            </w:tcBorders>
          </w:tcPr>
          <w:p>
            <w:pPr>
              <w:spacing w:before="20" w:after="20"/>
              <w:jc w:val="center"/>
            </w:pPr>
            <w:r/>
            <w:r>
              <w:rPr>
                <w:b w:val="0"/>
                <w:sz w:val="21"/>
                <w:rFonts w:eastAsia="仿宋" w:ascii="Times New Roman" w:hAnsi="Times New Roman" w:cs="Times New Roman"/>
              </w:rPr>
              <w:t>&lt;0.001</w:t>
            </w:r>
          </w:p>
        </w:tc>
      </w:tr>
    </w:tbl>
    <w:p/>
    <w:p>
      <w:pPr>
        <w:spacing w:before="240" w:after="120" w:line="360" w:lineRule="auto"/>
      </w:pPr>
      <w:r>
        <w:rPr>
          <w:rFonts w:ascii="黑体" w:hAnsi="黑体" w:eastAsia="黑体"/>
          <w:b/>
          <w:sz w:val="30"/>
        </w:rPr>
        <w:t>十、发展建议</w:t>
      </w:r>
    </w:p>
    <w:p>
      <w:pPr>
        <w:spacing w:line="384" w:lineRule="auto" w:after="60"/>
        <w:ind w:firstLine="480"/>
      </w:pPr>
      <w:r>
        <w:rPr>
          <w:rFonts w:ascii="仿宋" w:hAnsi="仿宋" w:eastAsia="仿宋"/>
          <w:b w:val="0"/>
          <w:sz w:val="24"/>
        </w:rPr>
        <w:t>结合前述分组比较、影响因素分析和动态能力—医院绩效的关联结果，后续动态能力建设可围绕"补短板、强协同、育人才、重人群"四条思路展开，具体从以下四个方面深入推进。</w:t>
      </w:r>
    </w:p>
    <w:p>
      <w:pPr>
        <w:spacing w:before="240" w:after="120" w:line="360" w:lineRule="auto"/>
      </w:pPr>
      <w:r>
        <w:rPr>
          <w:rFonts w:ascii="黑体" w:hAnsi="黑体" w:eastAsia="黑体"/>
          <w:b/>
          <w:sz w:val="26"/>
        </w:rPr>
        <w:t>（一）突出创新应用和感知识别两个相对薄弱的维度</w:t>
      </w:r>
    </w:p>
    <w:p>
      <w:pPr>
        <w:spacing w:line="384" w:lineRule="auto" w:after="60"/>
        <w:ind w:firstLine="480"/>
      </w:pPr>
      <w:r>
        <w:rPr>
          <w:rFonts w:ascii="仿宋" w:hAnsi="仿宋" w:eastAsia="仿宋"/>
          <w:b w:val="0"/>
          <w:sz w:val="24"/>
        </w:rPr>
        <w:t>创新应用能力是本院四个维度中得分相对最低的维度，感知识别能力与其他12家上海市公立医院平均水平的差距在四个维度中相对较大，应成为下一阶段能力建设的重点方向。一是强化感知识别能力建设，围绕国家医改政策、上海市公立医院管理要求、同类医院先进做法、患者就医需求变化以及新技术新设备新方法等，建立常态化的外部信息跟踪与研讨机制，通过定期发布政策简报、组织行业动态专题学习、召开院级圆桌讨论等方式，使临床科室和职能部门都能及时获取并研判外部变化信号。二是推动创新应用能力提升，围绕临床服务流程优化、诊疗路径改进、新技术与新设备应用、信息化与智慧医院建设、跨机构合作等方向，形成年度创新任务清单，配套设立创新项目立项、专项支持、人员激励和成效评估等机制。三是关注"感知—应用"的衔接，将外部信息捕捉结果有序转化为院内改进与创新项目，避免感知与应用两端脱节，提高动态能力的整体转化效率。</w:t>
      </w:r>
    </w:p>
    <w:p>
      <w:pPr>
        <w:spacing w:before="240" w:after="120" w:line="360" w:lineRule="auto"/>
      </w:pPr>
      <w:r>
        <w:rPr>
          <w:rFonts w:ascii="黑体" w:hAnsi="黑体" w:eastAsia="黑体"/>
          <w:b/>
          <w:sz w:val="26"/>
        </w:rPr>
        <w:t>（二）加强协调整合能力，支撑医院整体绩效提升</w:t>
      </w:r>
    </w:p>
    <w:p>
      <w:pPr>
        <w:spacing w:line="384" w:lineRule="auto" w:after="60"/>
        <w:ind w:firstLine="480"/>
      </w:pPr>
      <w:r>
        <w:rPr>
          <w:rFonts w:ascii="仿宋" w:hAnsi="仿宋" w:eastAsia="仿宋"/>
          <w:b w:val="0"/>
          <w:sz w:val="24"/>
        </w:rPr>
        <w:t>动态能力与医院绩效的分析结果显示，协调整合能力在服务量、医疗质量、运营效率、患者满意度、员工满意度和服务公平可及性六项绩效指标中的回归系数均处于相对较高水平，是动态能力建设的关键抓手。一是从组织结构入手，加强职能部门之间、临床科室与行政部门之间、医疗与护理之间、医疗与医技之间的协作机制，建立常态化的联席会议和跨部门专项工作组，推动重大事项与共性问题的联合研究、统一部署。二是从流程视角持续推进关键就医环节和管理环节的流程再造，重点梳理影响服务量、医疗质量和患者体验的关键流程节点，以患者旅程和员工体验为主线推动流程优化。三是从资源配置角度，建立基于需求和绩效的资源动态调整机制，推动人员、床位、设备、信息等资源在院内的统筹调配，并通过数据化运营监测工具，提升协调整合的可视化和可操作性。</w:t>
      </w:r>
    </w:p>
    <w:p>
      <w:pPr>
        <w:spacing w:before="240" w:after="120" w:line="360" w:lineRule="auto"/>
      </w:pPr>
      <w:r>
        <w:rPr>
          <w:rFonts w:ascii="黑体" w:hAnsi="黑体" w:eastAsia="黑体"/>
          <w:b/>
          <w:sz w:val="26"/>
        </w:rPr>
        <w:t>（三）以员工因素为支点推进动态能力建设</w:t>
      </w:r>
    </w:p>
    <w:p>
      <w:pPr>
        <w:spacing w:line="384" w:lineRule="auto" w:after="60"/>
        <w:ind w:firstLine="480"/>
      </w:pPr>
      <w:r>
        <w:rPr>
          <w:rFonts w:ascii="仿宋" w:hAnsi="仿宋" w:eastAsia="仿宋"/>
          <w:b w:val="0"/>
          <w:sz w:val="24"/>
        </w:rPr>
        <w:t>影响因素分析结果显示，员工因素（管理者能力、医务人员业务水平、管理与临床协同）是唯一对创新应用能力呈显著正向影响的因素，同时在动态能力总分和学习吸收能力方面也呈现接近显著的正向趋势。后续应将员工能力建设作为动态能力提升的核心支点，重点推进三方面工作。一是加强管理者能力建设，面向科室负责人和职能部门负责人，开展现代医院管理、绩效管理、项目推进、冲突协调等专题培训与跨院交流，同步完善中层干部的选拔、轮岗与考核机制，让具备动态能力特质的管理者承担更多推动改革和创新的角色。二是提升医务人员专业水平，依托本院现有培训体系，加强新技术新方法、循证实践、科研能力和跨学科协作等方面的学习机会，鼓励一线人员以项目参与、课题研究、院外短期进修等形式持续积累能力。三是完善管理与临床协同机制，搭建职能部门与临床科室之间的常态化沟通渠道，围绕医院重点工作、政策落地、问题整改开展共同研讨；同时，将医院文化、资源配置、战略推进和流程协作等作为配套工作持续完善，为员工因素的持续发挥提供系统性支撑。</w:t>
      </w:r>
    </w:p>
    <w:p>
      <w:pPr>
        <w:spacing w:before="240" w:after="120" w:line="360" w:lineRule="auto"/>
      </w:pPr>
      <w:r>
        <w:rPr>
          <w:rFonts w:ascii="黑体" w:hAnsi="黑体" w:eastAsia="黑体"/>
          <w:b/>
          <w:sz w:val="26"/>
        </w:rPr>
        <w:t>（四）关注分组比较中得分相对较低的科室和人群</w:t>
      </w:r>
    </w:p>
    <w:p>
      <w:pPr>
        <w:spacing w:line="384" w:lineRule="auto" w:after="60"/>
        <w:ind w:firstLine="480"/>
      </w:pPr>
      <w:r>
        <w:rPr>
          <w:rFonts w:ascii="仿宋" w:hAnsi="仿宋" w:eastAsia="仿宋"/>
          <w:b w:val="0"/>
          <w:sz w:val="24"/>
        </w:rPr>
        <w:t>在尊重样本量限制的前提下，分组比较结果显示了需要给予更多关注的群体：科室层面主要包括急诊相关科室、儿科、外科系等临床一线压力较大的科室；人员层面主要包括副高级及正高级职称人员、科室负责人以及本院工作年限20年以上的资深人员。一是针对急诊、外科等高压力科室，结合其工作节奏和资源配置特点，适当增加信息获取、学习交流和参与决策的渠道，例如在院级例会、改进项目、培训安排等环节预留相应名额，减少"被动执行"的比重，让一线科室更多参与到变革方案的设计中。二是针对中高级职称与资深人员，结合其丰富经验和对医院运行的熟悉度，通过核心骨干座谈、专题调研、参与院级专项和专家咨询等方式，充分释放其经验积累的价值，同时通过轮岗、带教和项目领衔等机制，鼓励其持续参与创新与变革实践。三是针对科室负责人，强化其在感知识别、资源协调和创新推进中的"带头人"角色，通过管理能力培训、绩效考核和横向交流等方式，形成一支具有较强动态能力的中层骨干队伍，支撑全院动态能力水平的系统性提升。</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