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jc w:val="center"/>
      </w:pPr>
      <w:r>
        <w:rPr>
          <w:rFonts w:ascii="方正小标宋简体" w:hAnsi="方正小标宋简体" w:eastAsia="方正小标宋简体"/>
          <w:b/>
          <w:sz w:val="44"/>
        </w:rPr>
        <w:t>公立医院动态能力发展报告</w:t>
      </w:r>
    </w:p>
    <w:p>
      <w:pPr>
        <w:spacing w:after="360"/>
        <w:jc w:val="center"/>
      </w:pPr>
      <w:r>
        <w:rPr>
          <w:rFonts w:ascii="楷体" w:hAnsi="楷体" w:eastAsia="楷体"/>
          <w:b w:val="0"/>
          <w:sz w:val="28"/>
        </w:rPr>
        <w:t>——基于院内问卷调查与上海市12家公立医院横向对比</w:t>
      </w:r>
    </w:p>
    <w:p>
      <w:pPr>
        <w:spacing w:before="240" w:after="120" w:line="360" w:lineRule="auto"/>
      </w:pPr>
      <w:r>
        <w:rPr>
          <w:rFonts w:ascii="黑体" w:hAnsi="黑体" w:eastAsia="黑体"/>
          <w:b/>
          <w:sz w:val="30"/>
        </w:rPr>
        <w:t>结果总结</w:t>
      </w:r>
    </w:p>
    <w:p>
      <w:pPr>
        <w:spacing w:line="384" w:lineRule="auto" w:after="60"/>
        <w:ind w:firstLine="480"/>
      </w:pPr>
      <w:r>
        <w:rPr>
          <w:rFonts w:ascii="仿宋" w:hAnsi="仿宋" w:eastAsia="仿宋"/>
          <w:b w:val="0"/>
          <w:sz w:val="24"/>
        </w:rPr>
        <w:t>本报告基于本院面向一线及管理岗位人员开展的动态能力问卷调查，围绕感知识别、学习吸收、协调整合、创新应用四个维度，分别从科室、职务、职业类型、职称、本院工作年限、主要工作内容等人群特征出发，刻画全院动态能力的水平与结构；在此基础上，进一步考察七类组织内部条件对动态能力的作用，以及动态能力对六项医院绩效指标的影响，并将该院与同期调研的其他12家上海市公立医院进行横向对比。主要结论如下：</w:t>
      </w:r>
    </w:p>
    <w:p>
      <w:pPr>
        <w:spacing w:line="384" w:lineRule="auto" w:after="60"/>
        <w:ind w:firstLine="480"/>
      </w:pPr>
      <w:r>
        <w:rPr>
          <w:rFonts w:ascii="仿宋" w:hAnsi="仿宋" w:eastAsia="仿宋"/>
          <w:b w:val="0"/>
          <w:sz w:val="24"/>
        </w:rPr>
        <w:t>第一，全院动态能力总分均值为3.918分，四个维度中感知识别能力（3.981）相对最高，创新应用能力（3.842）相对最低，整体呈"外部信息能看见、内部转化与落地偏弱"的特征。</w:t>
      </w:r>
    </w:p>
    <w:p>
      <w:pPr>
        <w:spacing w:line="384" w:lineRule="auto" w:after="60"/>
        <w:ind w:firstLine="480"/>
      </w:pPr>
      <w:r>
        <w:rPr>
          <w:rFonts w:ascii="仿宋" w:hAnsi="仿宋" w:eastAsia="仿宋"/>
          <w:b w:val="0"/>
          <w:sz w:val="24"/>
        </w:rPr>
        <w:t>第二，科室间分化明显。中医科、门诊、医技科室在总分及各维度上均处于较高水平，急诊相关科室、儿科以及样本极小的预防保健科相对偏低；行政管理办公室、内科系病房接近全院均值，外科系略低于均值。在总分、感知识别、学习吸收、创新应用四个维度上，科室间差异均具有统计学意义。</w:t>
      </w:r>
    </w:p>
    <w:p>
      <w:pPr>
        <w:spacing w:line="384" w:lineRule="auto" w:after="60"/>
        <w:ind w:firstLine="480"/>
      </w:pPr>
      <w:r>
        <w:rPr>
          <w:rFonts w:ascii="仿宋" w:hAnsi="仿宋" w:eastAsia="仿宋"/>
          <w:b w:val="0"/>
          <w:sz w:val="24"/>
        </w:rPr>
        <w:t>第三，分人群特征看，一线科室工作人员、医技人员和护士在多项指标上表现较好，而科室负责人、副高及正高级职称人员、工作年限20年以上人员整体得分相对较低。这一结构提示：能力"感受端"与"管理端"、"资深端"之间存在一定落差，传统核心骨干在主动变革、创新应用方面的评价反而相对保守。</w:t>
      </w:r>
    </w:p>
    <w:p>
      <w:pPr>
        <w:spacing w:line="384" w:lineRule="auto" w:after="60"/>
        <w:ind w:firstLine="480"/>
      </w:pPr>
      <w:r>
        <w:rPr>
          <w:rFonts w:ascii="仿宋" w:hAnsi="仿宋" w:eastAsia="仿宋"/>
          <w:b w:val="0"/>
          <w:sz w:val="24"/>
        </w:rPr>
        <w:t>第四，在控制年龄、科室、岗位等背景变量后，员工因素（管理者能力、医务人员业务水平及管理与临床协同）是七类组织内部条件中唯一对创新应用能力产生显著正向影响的因素（β=0.683，P=0.021），医院文化、员工因素对总分和学习吸收能力呈正向趋势但尚未达到统计学显著。</w:t>
      </w:r>
    </w:p>
    <w:p>
      <w:pPr>
        <w:spacing w:line="384" w:lineRule="auto" w:after="60"/>
        <w:ind w:firstLine="480"/>
      </w:pPr>
      <w:r>
        <w:rPr>
          <w:rFonts w:ascii="仿宋" w:hAnsi="仿宋" w:eastAsia="仿宋"/>
          <w:b w:val="0"/>
          <w:sz w:val="24"/>
        </w:rPr>
        <w:t>第五，动态能力总分及四个维度与服务量、医疗质量、运营效率、患者满意度、员工满意度、服务公平可及性六项绩效指标均呈显著正向关联。其中，协调整合能力与创新应用能力的系数相对更高，说明资源协同与创新落地是动态能力转化为绩效的关键环节。</w:t>
      </w:r>
    </w:p>
    <w:p>
      <w:pPr>
        <w:spacing w:line="384" w:lineRule="auto" w:after="60"/>
        <w:ind w:firstLine="480"/>
      </w:pPr>
      <w:r>
        <w:rPr>
          <w:rFonts w:ascii="仿宋" w:hAnsi="仿宋" w:eastAsia="仿宋"/>
          <w:b w:val="0"/>
          <w:sz w:val="24"/>
        </w:rPr>
        <w:t>第六，横向对标显示，该院动态能力总分及四个维度均低于其他12家上海市公立医院平均水平，其中创新应用能力（-0.538）、感知识别能力（-0.510）、协调整合能力（-0.436）差距相对较大，学习吸收能力（-0.342）差距相对较小，整体处于上海市公立医院中偏后位置。</w:t>
      </w:r>
    </w:p>
    <w:p>
      <w:pPr>
        <w:spacing w:line="384" w:lineRule="auto" w:after="60"/>
        <w:ind w:firstLine="480"/>
      </w:pPr>
      <w:r>
        <w:rPr>
          <w:rFonts w:ascii="仿宋" w:hAnsi="仿宋" w:eastAsia="仿宋"/>
          <w:b w:val="0"/>
          <w:sz w:val="24"/>
        </w:rPr>
        <w:t>综合判断，本院动态能力建设的基本面已经形成，但在"发现变化—吸收转化—协同落地—创新应用"的闭环中，越靠近"落地"的环节短板越明显；能力提升的重点不在宏观战略或资源规模，而在于中层管理者和骨干专业人员的能力释放以及跨科室协同机制的进一步打通。</w:t>
      </w:r>
    </w:p>
    <w:p>
      <w:pPr>
        <w:spacing w:before="240" w:after="120" w:line="360" w:lineRule="auto"/>
      </w:pPr>
      <w:r>
        <w:rPr>
          <w:rFonts w:ascii="黑体" w:hAnsi="黑体" w:eastAsia="黑体"/>
          <w:b/>
          <w:sz w:val="30"/>
        </w:rPr>
        <w:t>一、研究背景与分析框架</w:t>
      </w:r>
    </w:p>
    <w:p>
      <w:pPr>
        <w:spacing w:line="384" w:lineRule="auto" w:after="60"/>
        <w:ind w:firstLine="480"/>
      </w:pPr>
      <w:r>
        <w:rPr>
          <w:rFonts w:ascii="仿宋" w:hAnsi="仿宋" w:eastAsia="仿宋"/>
          <w:b w:val="0"/>
          <w:sz w:val="24"/>
        </w:rPr>
        <w:t>动态能力指医院在外部环境持续变化条件下，整合、构建和重新配置内外部资源，以识别机会、应对挑战、实现持续发展的综合能力。本研究将其操作化为四个相互支撑的维度：</w:t>
      </w:r>
    </w:p>
    <w:p>
      <w:pPr>
        <w:spacing w:line="384" w:lineRule="auto" w:after="60"/>
        <w:ind w:firstLine="480"/>
      </w:pPr>
      <w:r>
        <w:rPr>
          <w:rFonts w:ascii="仿宋" w:hAnsi="仿宋" w:eastAsia="仿宋"/>
          <w:b w:val="0"/>
          <w:sz w:val="24"/>
        </w:rPr>
        <w:t>（1）感知识别能力——对政策导向、患者需求、行业竞争与新技术新方法等外部变化的感知与判断；</w:t>
      </w:r>
    </w:p>
    <w:p>
      <w:pPr>
        <w:spacing w:line="384" w:lineRule="auto" w:after="60"/>
        <w:ind w:firstLine="480"/>
      </w:pPr>
      <w:r>
        <w:rPr>
          <w:rFonts w:ascii="仿宋" w:hAnsi="仿宋" w:eastAsia="仿宋"/>
          <w:b w:val="0"/>
          <w:sz w:val="24"/>
        </w:rPr>
        <w:t>（2）学习吸收能力——对外部知识、经验与信息的获取、理解和内部转化；</w:t>
      </w:r>
    </w:p>
    <w:p>
      <w:pPr>
        <w:spacing w:line="384" w:lineRule="auto" w:after="60"/>
        <w:ind w:firstLine="480"/>
      </w:pPr>
      <w:r>
        <w:rPr>
          <w:rFonts w:ascii="仿宋" w:hAnsi="仿宋" w:eastAsia="仿宋"/>
          <w:b w:val="0"/>
          <w:sz w:val="24"/>
        </w:rPr>
        <w:t>（3）协调整合能力——对人力、流程、科室和资源的统筹调度与协同运作；</w:t>
      </w:r>
    </w:p>
    <w:p>
      <w:pPr>
        <w:spacing w:line="384" w:lineRule="auto" w:after="60"/>
        <w:ind w:firstLine="480"/>
      </w:pPr>
      <w:r>
        <w:rPr>
          <w:rFonts w:ascii="仿宋" w:hAnsi="仿宋" w:eastAsia="仿宋"/>
          <w:b w:val="0"/>
          <w:sz w:val="24"/>
        </w:rPr>
        <w:t>（4）创新应用能力——在服务模式、医疗技术、管理流程等方面推动创新从"有想法"走向"能落地"的能力。</w:t>
      </w:r>
    </w:p>
    <w:p>
      <w:pPr>
        <w:spacing w:line="384" w:lineRule="auto" w:after="60"/>
        <w:ind w:firstLine="480"/>
      </w:pPr>
      <w:r>
        <w:rPr>
          <w:rFonts w:ascii="仿宋" w:hAnsi="仿宋" w:eastAsia="仿宋"/>
          <w:b w:val="0"/>
          <w:sz w:val="24"/>
        </w:rPr>
        <w:t>本报告基于院内问卷数据（有效样本65份），依次从科室、职务、职业类型、职称、工作年限、主要工作内容六个维度进行分群体刻画；进一步引入医院文化、医院资源、医院战略、路径依赖、环境因素、员工因素和管理特征七类影响因素，分析其对动态能力的影响；最后从"能力—绩效"链路和横向对标两个角度，判断本院动态能力建设的相对位置与改进方向。</w:t>
      </w:r>
    </w:p>
    <w:p>
      <w:pPr>
        <w:spacing w:before="240" w:after="120" w:line="360" w:lineRule="auto"/>
      </w:pPr>
      <w:r>
        <w:rPr>
          <w:rFonts w:ascii="黑体" w:hAnsi="黑体" w:eastAsia="黑体"/>
          <w:b/>
          <w:sz w:val="30"/>
        </w:rPr>
        <w:t>二、不同科室动态能力情况</w:t>
      </w:r>
    </w:p>
    <w:p>
      <w:pPr>
        <w:spacing w:line="384" w:lineRule="auto" w:after="60"/>
        <w:ind w:firstLine="480"/>
      </w:pPr>
      <w:r>
        <w:rPr>
          <w:rFonts w:ascii="仿宋" w:hAnsi="仿宋" w:eastAsia="仿宋"/>
          <w:b w:val="0"/>
          <w:sz w:val="24"/>
        </w:rPr>
        <w:t>本部分以问卷A5中受访者填写的具体科室名称为基础，将31个原始科室按业务属性和管理属性归并为9类：行政管理（办公室、院部、财务科、院感科、综合保障科、医教科）、医技科室（影像科、检验科、病理科、药剂科、供应室）、急诊相关科室（急诊、急诊科、急诊内科等）、内科系病房、外科系、门诊、儿科、中医科、预防保健科。鉴于中医科、门诊、儿科、预防保健科样本量较小，相关结果更适合作为管理改进的线索性参考，而非强推断依据。</w:t>
      </w:r>
    </w:p>
    <w:p>
      <w:pPr>
        <w:spacing w:line="384" w:lineRule="auto" w:after="60"/>
        <w:ind w:firstLine="480"/>
      </w:pPr>
      <w:r>
        <w:rPr>
          <w:rFonts w:ascii="仿宋" w:hAnsi="仿宋" w:eastAsia="仿宋"/>
          <w:b w:val="0"/>
          <w:sz w:val="24"/>
        </w:rPr>
        <w:t>总体上，中医科、门诊和医技科室在多项指标上得分靠前；急诊相关科室、儿科以及预防保健科得分相对靠后；行政管理办公室、内科系病房围绕全院均值波动，外科系略低于全院均值。这一结构可能与科室规模、业务密度、外部变化暴露度以及管理赋能程度共同相关。</w:t>
      </w:r>
    </w:p>
    <w:p>
      <w:pPr>
        <w:spacing w:before="240" w:after="120" w:line="360" w:lineRule="auto"/>
      </w:pPr>
      <w:r>
        <w:rPr>
          <w:rFonts w:ascii="黑体" w:hAnsi="黑体" w:eastAsia="黑体"/>
          <w:b/>
          <w:sz w:val="26"/>
        </w:rPr>
        <w:t>（一）动态能力总分</w:t>
      </w:r>
    </w:p>
    <w:p>
      <w:pPr>
        <w:spacing w:line="384" w:lineRule="auto" w:after="60"/>
        <w:ind w:firstLine="480"/>
      </w:pPr>
      <w:r>
        <w:rPr>
          <w:rFonts w:ascii="仿宋" w:hAnsi="仿宋" w:eastAsia="仿宋"/>
          <w:b w:val="0"/>
          <w:sz w:val="24"/>
        </w:rPr>
        <w:t>全院动态能力总分均值3.918分，科室间差异具有统计学意义（F=4.48，P=0.0003；Kruskal-Wallis P=0.0005）。中医科、门诊、医技科室位于高位，行政管理办公室和内科系病房接近均值，外科系略低，急诊相关科室、儿科处于低位。事后比较显示，门诊与中医科均显著高于急诊相关科室和儿科。这一格局意味着，业务相对聚焦、服务边界较清晰的科室在动态能力自我评价上更有优势，而业务压力大、流程依赖性强的急诊与儿科则相对承压。</w:t>
      </w:r>
    </w:p>
    <w:p>
      <w:pPr>
        <w:spacing w:before="120" w:after="60"/>
        <w:jc w:val="center"/>
      </w:pPr>
      <w:r>
        <w:rPr>
          <w:rFonts w:ascii="黑体" w:hAnsi="黑体" w:eastAsia="黑体"/>
          <w:b/>
          <w:sz w:val="22"/>
        </w:rPr>
        <w:t>表1  动态能力总分分科室结果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科室</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样本量</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均值±标准差</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排序</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中医科</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5.000±0.000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门诊</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4.844±0.313</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医技科室</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4.305±0.536</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行政管理办公室</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13</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3.953±0.616</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内科系病房</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11</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3.944±0.985</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外科系</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16</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3.651±0.720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6</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预防保健科</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3.156±0.000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7</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急诊相关科室</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3.146±0.339</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8</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儿科</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2.594±0.840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9</w:t>
            </w:r>
          </w:p>
        </w:tc>
      </w:tr>
    </w:tbl>
    <w:p/>
    <w:p>
      <w:pPr>
        <w:spacing w:before="120" w:after="60"/>
        <w:jc w:val="center"/>
      </w:pPr>
      <w:r>
        <w:rPr>
          <w:rFonts w:ascii="黑体" w:hAnsi="黑体" w:eastAsia="黑体"/>
          <w:b/>
          <w:sz w:val="22"/>
        </w:rPr>
        <w:t>表1-附  动态能力总分主要显著差异</w:t>
      </w:r>
    </w:p>
    <w:tbl>
      <w:tblPr>
        <w:tblW w:type="auto" w:w="0"/>
        <w:jc w:val="center"/>
        <w:tblLayout w:type="fixed"/>
        <w:tblLook w:firstColumn="1" w:firstRow="1" w:lastColumn="0" w:lastRow="0" w:noHBand="0" w:noVBand="1" w:val="04A0"/>
      </w:tblPr>
      <w:tblGrid>
        <w:gridCol w:w="3022"/>
        <w:gridCol w:w="3022"/>
        <w:gridCol w:w="3022"/>
      </w:tblGrid>
      <w:tr>
        <w:tc>
          <w:tcPr>
            <w:tcW w:type="dxa" w:w="3022"/>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比较科室</w:t>
            </w:r>
          </w:p>
        </w:tc>
        <w:tc>
          <w:tcPr>
            <w:tcW w:type="dxa" w:w="3022"/>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差异方向</w:t>
            </w:r>
          </w:p>
        </w:tc>
        <w:tc>
          <w:tcPr>
            <w:tcW w:type="dxa" w:w="3022"/>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P值</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门诊 vs 急诊相关科室</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门诊更高</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0.017</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门诊 vs 儿科</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门诊更高</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0.013</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中医科 vs 急诊相关科室</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中医科更高</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0.017</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中医科 vs 儿科</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中医科更高</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0.011</w:t>
            </w:r>
          </w:p>
        </w:tc>
      </w:tr>
    </w:tbl>
    <w:p/>
    <w:p>
      <w:pPr>
        <w:spacing w:before="240" w:after="120" w:line="360" w:lineRule="auto"/>
      </w:pPr>
      <w:r>
        <w:rPr>
          <w:rFonts w:ascii="黑体" w:hAnsi="黑体" w:eastAsia="黑体"/>
          <w:b/>
          <w:sz w:val="26"/>
        </w:rPr>
        <w:t>（二）感知识别能力</w:t>
      </w:r>
    </w:p>
    <w:p>
      <w:pPr>
        <w:spacing w:line="384" w:lineRule="auto" w:after="60"/>
        <w:ind w:firstLine="480"/>
      </w:pPr>
      <w:r>
        <w:rPr>
          <w:rFonts w:ascii="仿宋" w:hAnsi="仿宋" w:eastAsia="仿宋"/>
          <w:b w:val="0"/>
          <w:sz w:val="24"/>
        </w:rPr>
        <w:t>感知识别能力均值3.981分，是四个维度中表现相对最强的一项，科室间差异具有统计学意义（F=4.85，P=0.0001；Kruskal-Wallis P=0.0007）。中医科、门诊、医技科室和行政管理办公室均高于全院平均，说明其在政策信号、患者需求变化和新技术新方法等外部变化的捕捉上较为敏锐；儿科与急诊相关科室则明显偏低，儿科在事后比较中显著低于行政管理办公室、门诊、医技科室和中医科。</w:t>
      </w:r>
    </w:p>
    <w:p>
      <w:pPr>
        <w:spacing w:before="120" w:after="60"/>
        <w:jc w:val="center"/>
      </w:pPr>
      <w:r>
        <w:rPr>
          <w:rFonts w:ascii="黑体" w:hAnsi="黑体" w:eastAsia="黑体"/>
          <w:b/>
          <w:sz w:val="22"/>
        </w:rPr>
        <w:t>表2  感知识别能力分科室结果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科室</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样本量</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均值±标准差</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排序</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中医科</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5.000±0.000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门诊</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4.750±0.500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医技科室</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4.300±0.417</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行政管理办公室</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13</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4.125±0.518</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内科系病房</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11</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3.977±0.938</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外科系</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16</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3.727±0.657</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6</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预防保健科</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3.625±0.000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7</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急诊相关科室</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3.250±0.492</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8</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儿科</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2.438±0.619</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9</w:t>
            </w:r>
          </w:p>
        </w:tc>
      </w:tr>
    </w:tbl>
    <w:p/>
    <w:p>
      <w:pPr>
        <w:spacing w:before="120" w:after="60"/>
        <w:jc w:val="center"/>
      </w:pPr>
      <w:r>
        <w:rPr>
          <w:rFonts w:ascii="黑体" w:hAnsi="黑体" w:eastAsia="黑体"/>
          <w:b/>
          <w:sz w:val="22"/>
        </w:rPr>
        <w:t>表2-附  感知识别能力主要显著差异</w:t>
      </w:r>
    </w:p>
    <w:tbl>
      <w:tblPr>
        <w:tblW w:type="auto" w:w="0"/>
        <w:jc w:val="center"/>
        <w:tblLayout w:type="fixed"/>
        <w:tblLook w:firstColumn="1" w:firstRow="1" w:lastColumn="0" w:lastRow="0" w:noHBand="0" w:noVBand="1" w:val="04A0"/>
      </w:tblPr>
      <w:tblGrid>
        <w:gridCol w:w="3022"/>
        <w:gridCol w:w="3022"/>
        <w:gridCol w:w="3022"/>
      </w:tblGrid>
      <w:tr>
        <w:tc>
          <w:tcPr>
            <w:tcW w:type="dxa" w:w="3022"/>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比较科室</w:t>
            </w:r>
          </w:p>
        </w:tc>
        <w:tc>
          <w:tcPr>
            <w:tcW w:type="dxa" w:w="3022"/>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差异方向</w:t>
            </w:r>
          </w:p>
        </w:tc>
        <w:tc>
          <w:tcPr>
            <w:tcW w:type="dxa" w:w="3022"/>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P值</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门诊 vs 急诊相关科室</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门诊更高</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0.028</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儿科 vs 行政管理办公室</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儿科更低</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0.03</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儿科 vs 门诊</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儿科更低</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0.003</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儿科 vs 医技科室</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儿科更低</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0.012</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中医科 vs 急诊相关科室</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中医科更高</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0.013</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中医科 vs 儿科</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中医科更高</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0.001</w:t>
            </w:r>
          </w:p>
        </w:tc>
      </w:tr>
    </w:tbl>
    <w:p/>
    <w:p>
      <w:pPr>
        <w:spacing w:before="240" w:after="120" w:line="360" w:lineRule="auto"/>
      </w:pPr>
      <w:r>
        <w:rPr>
          <w:rFonts w:ascii="黑体" w:hAnsi="黑体" w:eastAsia="黑体"/>
          <w:b/>
          <w:sz w:val="26"/>
        </w:rPr>
        <w:t>（三）学习吸收能力</w:t>
      </w:r>
    </w:p>
    <w:p>
      <w:pPr>
        <w:spacing w:line="384" w:lineRule="auto" w:after="60"/>
        <w:ind w:firstLine="480"/>
      </w:pPr>
      <w:r>
        <w:rPr>
          <w:rFonts w:ascii="仿宋" w:hAnsi="仿宋" w:eastAsia="仿宋"/>
          <w:b w:val="0"/>
          <w:sz w:val="24"/>
        </w:rPr>
        <w:t>学习吸收能力均值3.898分，科室间差异具有统计学意义（F=4.52，P=0.0003；Kruskal-Wallis P=0.0011）。门诊与中医科并列最高，医技科室亦高于均值，显示这些科室在新知识引入、经验积累和外部信息转化上相对顺畅；行政管理办公室、内科系病房围绕均值，外科系略低；急诊相关科室、儿科、预防保健科得分较低，可能与业务节奏紧张、学习时间不足以及跨学科信息接入渠道有限有关。</w:t>
      </w:r>
    </w:p>
    <w:p>
      <w:pPr>
        <w:spacing w:before="120" w:after="60"/>
        <w:jc w:val="center"/>
      </w:pPr>
      <w:r>
        <w:rPr>
          <w:rFonts w:ascii="黑体" w:hAnsi="黑体" w:eastAsia="黑体"/>
          <w:b/>
          <w:sz w:val="22"/>
        </w:rPr>
        <w:t>表3  学习吸收能力分科室结果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科室</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样本量</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均值±标准差</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排序</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门诊</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5.000±0.000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中医科</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5.000±0.000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医技科室</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4.320±0.668</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内科系病房</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11</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3.945±1.016</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行政管理办公室</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13</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3.938±0.732</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外科系</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16</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3.613±0.844</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6</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预防保健科</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3.000±0.000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7</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急诊相关科室</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2.960±0.219</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8</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儿科</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2.500±0.707</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9</w:t>
            </w:r>
          </w:p>
        </w:tc>
      </w:tr>
    </w:tbl>
    <w:p/>
    <w:p>
      <w:pPr>
        <w:spacing w:before="120" w:after="60"/>
        <w:jc w:val="center"/>
      </w:pPr>
      <w:r>
        <w:rPr>
          <w:rFonts w:ascii="黑体" w:hAnsi="黑体" w:eastAsia="黑体"/>
          <w:b/>
          <w:sz w:val="22"/>
        </w:rPr>
        <w:t>表3-附  学习吸收能力主要显著差异</w:t>
      </w:r>
    </w:p>
    <w:tbl>
      <w:tblPr>
        <w:tblW w:type="auto" w:w="0"/>
        <w:jc w:val="center"/>
        <w:tblLayout w:type="fixed"/>
        <w:tblLook w:firstColumn="1" w:firstRow="1" w:lastColumn="0" w:lastRow="0" w:noHBand="0" w:noVBand="1" w:val="04A0"/>
      </w:tblPr>
      <w:tblGrid>
        <w:gridCol w:w="3022"/>
        <w:gridCol w:w="3022"/>
        <w:gridCol w:w="3022"/>
      </w:tblGrid>
      <w:tr>
        <w:tc>
          <w:tcPr>
            <w:tcW w:type="dxa" w:w="3022"/>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比较科室</w:t>
            </w:r>
          </w:p>
        </w:tc>
        <w:tc>
          <w:tcPr>
            <w:tcW w:type="dxa" w:w="3022"/>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差异方向</w:t>
            </w:r>
          </w:p>
        </w:tc>
        <w:tc>
          <w:tcPr>
            <w:tcW w:type="dxa" w:w="3022"/>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P值</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门诊 vs 急诊相关科室</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门诊更高</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0.006</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门诊 vs 儿科</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门诊更高</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0.013</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中医科 vs 急诊相关科室</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中医科更高</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0.019</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中医科 vs 儿科</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中医科更高</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0.023</w:t>
            </w:r>
          </w:p>
        </w:tc>
      </w:tr>
    </w:tbl>
    <w:p/>
    <w:p>
      <w:pPr>
        <w:spacing w:before="240" w:after="120" w:line="360" w:lineRule="auto"/>
      </w:pPr>
      <w:r>
        <w:rPr>
          <w:rFonts w:ascii="黑体" w:hAnsi="黑体" w:eastAsia="黑体"/>
          <w:b/>
          <w:sz w:val="26"/>
        </w:rPr>
        <w:t>（四）协调整合能力</w:t>
      </w:r>
    </w:p>
    <w:p>
      <w:pPr>
        <w:spacing w:line="384" w:lineRule="auto" w:after="60"/>
        <w:ind w:firstLine="480"/>
      </w:pPr>
      <w:r>
        <w:rPr>
          <w:rFonts w:ascii="仿宋" w:hAnsi="仿宋" w:eastAsia="仿宋"/>
          <w:b w:val="0"/>
          <w:sz w:val="24"/>
        </w:rPr>
        <w:t>协调整合能力均值3.952分，科室间整体分布存在差异（F=3.37，P=0.0032；Kruskal-Wallis P=0.0051），经Bonferroni校正后两两比较未达显著。中医科、门诊、医技科室高于均值，外科系及其后科室偏低。这表明低分科室在跨岗位协作、资源调配和流程衔接上仍有可挖掘的空间，特别是对于以团队协作为主要工作形态的急诊和儿科，协同机制的成熟度对能力感知影响较大。</w:t>
      </w:r>
    </w:p>
    <w:p>
      <w:pPr>
        <w:spacing w:before="120" w:after="60"/>
        <w:jc w:val="center"/>
      </w:pPr>
      <w:r>
        <w:rPr>
          <w:rFonts w:ascii="黑体" w:hAnsi="黑体" w:eastAsia="黑体"/>
          <w:b/>
          <w:sz w:val="22"/>
        </w:rPr>
        <w:t>表4  协调整合能力分科室结果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科室</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样本量</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均值±标准差</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排序</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中医科</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5.000±0.000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门诊</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4.875±0.250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医技科室</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4.325±0.537</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内科系病房</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11</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3.977±1.003</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行政管理办公室</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13</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3.885±0.590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外科系</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16</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3.719±0.796</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6</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预防保健科</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3.375±0.000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7</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急诊相关科室</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3.250±0.580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8</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儿科</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2.875±1.237</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9</w:t>
            </w:r>
          </w:p>
        </w:tc>
      </w:tr>
    </w:tbl>
    <w:p/>
    <w:p>
      <w:pPr>
        <w:spacing w:before="240" w:after="120" w:line="360" w:lineRule="auto"/>
      </w:pPr>
      <w:r>
        <w:rPr>
          <w:rFonts w:ascii="黑体" w:hAnsi="黑体" w:eastAsia="黑体"/>
          <w:b/>
          <w:sz w:val="26"/>
        </w:rPr>
        <w:t>（五）创新应用能力</w:t>
      </w:r>
    </w:p>
    <w:p>
      <w:pPr>
        <w:spacing w:line="384" w:lineRule="auto" w:after="60"/>
        <w:ind w:firstLine="480"/>
      </w:pPr>
      <w:r>
        <w:rPr>
          <w:rFonts w:ascii="仿宋" w:hAnsi="仿宋" w:eastAsia="仿宋"/>
          <w:b w:val="0"/>
          <w:sz w:val="24"/>
        </w:rPr>
        <w:t>创新应用能力均值3.842分，是四个维度中得分最低者，科室间差异具有统计学意义（F=3.82，P=0.0012；Kruskal-Wallis P=0.0050）。中医科显著高于儿科；门诊高于儿科、中医科高于急诊相关科室的差异接近显著。这一维度反映的是"从创新想法到实际应用"的转化能力，其整体偏低意味着：全院在管理创新、服务流程再造、医疗技术应用等方面的落地机制仍需进一步打通，特别是业务负荷较重的外科系、急诊相关科室以及样本有限的儿科和预防保健科。</w:t>
      </w:r>
    </w:p>
    <w:p>
      <w:pPr>
        <w:spacing w:before="120" w:after="60"/>
        <w:jc w:val="center"/>
      </w:pPr>
      <w:r>
        <w:rPr>
          <w:rFonts w:ascii="黑体" w:hAnsi="黑体" w:eastAsia="黑体"/>
          <w:b/>
          <w:sz w:val="22"/>
        </w:rPr>
        <w:t>表5  创新应用能力分科室结果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科室</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样本量</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均值±标准差</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排序</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中医科</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5.000±0.000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门诊</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4.750±0.500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医技科室</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4.275±0.606</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内科系病房</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11</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3.875±1.011</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行政管理办公室</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13</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3.865±0.753</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外科系</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16</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3.547±0.861</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6</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急诊相关科室</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3.125±0.125</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7</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预防保健科</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2.625±0.000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8</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儿科</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2.563±0.795</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9</w:t>
            </w:r>
          </w:p>
        </w:tc>
      </w:tr>
    </w:tbl>
    <w:p/>
    <w:p>
      <w:pPr>
        <w:spacing w:before="120" w:after="60"/>
        <w:jc w:val="center"/>
      </w:pPr>
      <w:r>
        <w:rPr>
          <w:rFonts w:ascii="黑体" w:hAnsi="黑体" w:eastAsia="黑体"/>
          <w:b/>
          <w:sz w:val="22"/>
        </w:rPr>
        <w:t>表5-附  创新应用能力主要显著差异</w:t>
      </w:r>
    </w:p>
    <w:tbl>
      <w:tblPr>
        <w:tblW w:type="auto" w:w="0"/>
        <w:jc w:val="center"/>
        <w:tblLayout w:type="fixed"/>
        <w:tblLook w:firstColumn="1" w:firstRow="1" w:lastColumn="0" w:lastRow="0" w:noHBand="0" w:noVBand="1" w:val="04A0"/>
      </w:tblPr>
      <w:tblGrid>
        <w:gridCol w:w="3022"/>
        <w:gridCol w:w="3022"/>
        <w:gridCol w:w="3022"/>
      </w:tblGrid>
      <w:tr>
        <w:tc>
          <w:tcPr>
            <w:tcW w:type="dxa" w:w="3022"/>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比较科室</w:t>
            </w:r>
          </w:p>
        </w:tc>
        <w:tc>
          <w:tcPr>
            <w:tcW w:type="dxa" w:w="3022"/>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差异方向</w:t>
            </w:r>
          </w:p>
        </w:tc>
        <w:tc>
          <w:tcPr>
            <w:tcW w:type="dxa" w:w="3022"/>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P值</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中医科 vs 儿科</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中医科更高</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0.035</w:t>
            </w:r>
          </w:p>
        </w:tc>
      </w:tr>
    </w:tbl>
    <w:p/>
    <w:p>
      <w:pPr>
        <w:spacing w:before="240" w:after="120" w:line="360" w:lineRule="auto"/>
      </w:pPr>
      <w:r>
        <w:rPr>
          <w:rFonts w:ascii="黑体" w:hAnsi="黑体" w:eastAsia="黑体"/>
          <w:b/>
          <w:sz w:val="30"/>
        </w:rPr>
        <w:t>三、不同职务动态能力情况</w:t>
      </w:r>
    </w:p>
    <w:p>
      <w:pPr>
        <w:spacing w:line="384" w:lineRule="auto" w:after="60"/>
        <w:ind w:firstLine="480"/>
      </w:pPr>
      <w:r>
        <w:rPr>
          <w:rFonts w:ascii="仿宋" w:hAnsi="仿宋" w:eastAsia="仿宋"/>
          <w:b w:val="0"/>
          <w:sz w:val="24"/>
        </w:rPr>
        <w:t>不同职务类型之间，动态能力总分及四个维度差异均未达到统计学显著水平，但得分排序呈现稳定的结构性特征：一线科室工作人员在各项指标上均居首位，职能部门人员居中，科室负责人整体低于全院均值。这一"倒挂"现象值得关注——直接面对业务变化的一线人员对医院动态能力的感受最为积极，而身处管理与业务结合部的科室负责人则相对保守，可能与其承担的考核压力、对自身单位薄弱环节更敏感以及变革阻力更直接等因素有关。院级领导样本仅1人，仅作描述性参考。</w:t>
      </w:r>
    </w:p>
    <w:p>
      <w:pPr>
        <w:spacing w:before="240" w:after="120" w:line="360" w:lineRule="auto"/>
      </w:pPr>
      <w:r>
        <w:rPr>
          <w:rFonts w:ascii="黑体" w:hAnsi="黑体" w:eastAsia="黑体"/>
          <w:b/>
          <w:sz w:val="26"/>
        </w:rPr>
        <w:t>（一）动态能力总分</w:t>
      </w:r>
    </w:p>
    <w:p>
      <w:pPr>
        <w:spacing w:line="384" w:lineRule="auto" w:after="60"/>
        <w:ind w:firstLine="480"/>
      </w:pPr>
      <w:r>
        <w:rPr>
          <w:rFonts w:ascii="仿宋" w:hAnsi="仿宋" w:eastAsia="仿宋"/>
          <w:b w:val="0"/>
          <w:sz w:val="24"/>
        </w:rPr>
        <w:t>总体差异未达到统计学显著水平（F=1.06，P=0.3836；Kruskal-Wallis P=0.3437）。得分由高到低依次为科室工作人员、职能部门工作人员、职能部门负责人、科室负责人、院级领导。</w:t>
      </w:r>
    </w:p>
    <w:p>
      <w:pPr>
        <w:spacing w:before="120" w:after="60"/>
        <w:jc w:val="center"/>
      </w:pPr>
      <w:r>
        <w:rPr>
          <w:rFonts w:ascii="黑体" w:hAnsi="黑体" w:eastAsia="黑体"/>
          <w:b/>
          <w:sz w:val="22"/>
        </w:rPr>
        <w:t>表6  动态能力总分分职务结果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职务类型</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样本量</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均值±标准差</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排序</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科室工作人员</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35</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4.102±0.827</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职能部门工作人员</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3.927±0.794</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职能部门负责人</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3.753±0.842</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科室负责人</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21</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3.656±0.795</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院级领导</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3.625±0.000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w:t>
            </w:r>
          </w:p>
        </w:tc>
      </w:tr>
    </w:tbl>
    <w:p/>
    <w:p>
      <w:pPr>
        <w:spacing w:before="240" w:after="120" w:line="360" w:lineRule="auto"/>
      </w:pPr>
      <w:r>
        <w:rPr>
          <w:rFonts w:ascii="黑体" w:hAnsi="黑体" w:eastAsia="黑体"/>
          <w:b/>
          <w:sz w:val="26"/>
        </w:rPr>
        <w:t>（二）感知识别能力</w:t>
      </w:r>
    </w:p>
    <w:p>
      <w:pPr>
        <w:spacing w:line="384" w:lineRule="auto" w:after="60"/>
        <w:ind w:firstLine="480"/>
      </w:pPr>
      <w:r>
        <w:rPr>
          <w:rFonts w:ascii="仿宋" w:hAnsi="仿宋" w:eastAsia="仿宋"/>
          <w:b w:val="0"/>
          <w:sz w:val="24"/>
        </w:rPr>
        <w:t>总体差异未达到统计学显著水平（F=1.55，P=0.1996；Kruskal-Wallis P=0.1491）。一线科室工作人员与职能部门人员均高于全院均值，显示贴近业务和流程前端的岗位对外部变化更敏感；科室负责人与院级领导相对偏低。</w:t>
      </w:r>
    </w:p>
    <w:p>
      <w:pPr>
        <w:spacing w:before="120" w:after="60"/>
        <w:jc w:val="center"/>
      </w:pPr>
      <w:r>
        <w:rPr>
          <w:rFonts w:ascii="黑体" w:hAnsi="黑体" w:eastAsia="黑体"/>
          <w:b/>
          <w:sz w:val="22"/>
        </w:rPr>
        <w:t>表7  感知识别能力分职务结果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职务类型</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样本量</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均值±标准差</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排序</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科室工作人员</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35</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4.161±0.745</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职能部门负责人</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4.094±0.624</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职能部门工作人员</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4.063±0.650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科室负责人</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21</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3.667±0.798</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院级领导</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3.500±0.000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w:t>
            </w:r>
          </w:p>
        </w:tc>
      </w:tr>
    </w:tbl>
    <w:p/>
    <w:p>
      <w:pPr>
        <w:spacing w:before="240" w:after="120" w:line="360" w:lineRule="auto"/>
      </w:pPr>
      <w:r>
        <w:rPr>
          <w:rFonts w:ascii="黑体" w:hAnsi="黑体" w:eastAsia="黑体"/>
          <w:b/>
          <w:sz w:val="26"/>
        </w:rPr>
        <w:t>（三）学习吸收能力</w:t>
      </w:r>
    </w:p>
    <w:p>
      <w:pPr>
        <w:spacing w:line="384" w:lineRule="auto" w:after="60"/>
        <w:ind w:firstLine="480"/>
      </w:pPr>
      <w:r>
        <w:rPr>
          <w:rFonts w:ascii="仿宋" w:hAnsi="仿宋" w:eastAsia="仿宋"/>
          <w:b w:val="0"/>
          <w:sz w:val="24"/>
        </w:rPr>
        <w:t>总体差异未达到统计学显著水平（F=1.10，P=0.3636；Kruskal-Wallis P=0.3146）。科室工作人员得分最高，科室负责人和职能部门负责人相对偏低，提示中层管理者在对新知识、新技术的系统吸收与内化上仍有较大提升空间。</w:t>
      </w:r>
    </w:p>
    <w:p>
      <w:pPr>
        <w:spacing w:before="120" w:after="60"/>
        <w:jc w:val="center"/>
      </w:pPr>
      <w:r>
        <w:rPr>
          <w:rFonts w:ascii="黑体" w:hAnsi="黑体" w:eastAsia="黑体"/>
          <w:b/>
          <w:sz w:val="22"/>
        </w:rPr>
        <w:t>表8  学习吸收能力分职务结果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职务类型</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样本量</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均值±标准差</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排序</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科室工作人员</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35</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4.109±0.930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院级领导</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4.000±0.000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职能部门工作人员</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3.800±0.909</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职能部门负责人</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3.700±0.902</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科室负责人</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21</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3.600±0.865</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w:t>
            </w:r>
          </w:p>
        </w:tc>
      </w:tr>
    </w:tbl>
    <w:p/>
    <w:p>
      <w:pPr>
        <w:spacing w:before="240" w:after="120" w:line="360" w:lineRule="auto"/>
      </w:pPr>
      <w:r>
        <w:rPr>
          <w:rFonts w:ascii="黑体" w:hAnsi="黑体" w:eastAsia="黑体"/>
          <w:b/>
          <w:sz w:val="26"/>
        </w:rPr>
        <w:t>（四）协调整合能力</w:t>
      </w:r>
    </w:p>
    <w:p>
      <w:pPr>
        <w:spacing w:line="384" w:lineRule="auto" w:after="60"/>
        <w:ind w:firstLine="480"/>
      </w:pPr>
      <w:r>
        <w:rPr>
          <w:rFonts w:ascii="仿宋" w:hAnsi="仿宋" w:eastAsia="仿宋"/>
          <w:b w:val="0"/>
          <w:sz w:val="24"/>
        </w:rPr>
        <w:t>总体差异未达到统计学显著水平（F=0.78，P=0.5435；Kruskal-Wallis P=0.3964）。科室与职能部门一线人员的协同感受整体较强，而负责人层面相对偏低，暗示中层在资源调配与跨部门沟通上可能面临更多摩擦点。</w:t>
      </w:r>
    </w:p>
    <w:p>
      <w:pPr>
        <w:spacing w:before="120" w:after="60"/>
        <w:jc w:val="center"/>
      </w:pPr>
      <w:r>
        <w:rPr>
          <w:rFonts w:ascii="黑体" w:hAnsi="黑体" w:eastAsia="黑体"/>
          <w:b/>
          <w:sz w:val="22"/>
        </w:rPr>
        <w:t>表9  协调整合能力分职务结果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职务类型</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样本量</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均值±标准差</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排序</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科室工作人员</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35</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4.107±0.853</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职能部门工作人员</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4.031±0.695</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院级领导</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3.750±0.000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科室负责人</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21</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3.738±0.799</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职能部门负责人</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3.688±0.898</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w:t>
            </w:r>
          </w:p>
        </w:tc>
      </w:tr>
    </w:tbl>
    <w:p/>
    <w:p>
      <w:pPr>
        <w:spacing w:before="240" w:after="120" w:line="360" w:lineRule="auto"/>
      </w:pPr>
      <w:r>
        <w:rPr>
          <w:rFonts w:ascii="黑体" w:hAnsi="黑体" w:eastAsia="黑体"/>
          <w:b/>
          <w:sz w:val="26"/>
        </w:rPr>
        <w:t>（五）创新应用能力</w:t>
      </w:r>
    </w:p>
    <w:p>
      <w:pPr>
        <w:spacing w:line="384" w:lineRule="auto" w:after="60"/>
        <w:ind w:firstLine="480"/>
      </w:pPr>
      <w:r>
        <w:rPr>
          <w:rFonts w:ascii="仿宋" w:hAnsi="仿宋" w:eastAsia="仿宋"/>
          <w:b w:val="0"/>
          <w:sz w:val="24"/>
        </w:rPr>
        <w:t>总体差异未达到统计学显著水平（F=0.96，P=0.4375；Kruskal-Wallis P=0.3427），但仍显示科室工作人员最高、职能部门工作人员次之、管理者群体偏低的排序。创新的"发生端"与"决策端"之间的温差，是后续推动管理与临床协同时需要重点弥合的。</w:t>
      </w:r>
    </w:p>
    <w:p>
      <w:pPr>
        <w:spacing w:before="120" w:after="60"/>
        <w:jc w:val="center"/>
      </w:pPr>
      <w:r>
        <w:rPr>
          <w:rFonts w:ascii="黑体" w:hAnsi="黑体" w:eastAsia="黑体"/>
          <w:b/>
          <w:sz w:val="22"/>
        </w:rPr>
        <w:t>表10  创新应用能力分职务结果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职务类型</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样本量</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均值±标准差</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排序</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科室工作人员</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35</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4.032±0.919</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职能部门工作人员</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3.813±0.982</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科室负责人</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21</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3.619±0.815</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职能部门负责人</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3.531±0.981</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院级领导</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3.250±0.000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w:t>
            </w:r>
          </w:p>
        </w:tc>
      </w:tr>
    </w:tbl>
    <w:p/>
    <w:p>
      <w:pPr>
        <w:spacing w:before="240" w:after="120" w:line="360" w:lineRule="auto"/>
      </w:pPr>
      <w:r>
        <w:rPr>
          <w:rFonts w:ascii="黑体" w:hAnsi="黑体" w:eastAsia="黑体"/>
          <w:b/>
          <w:sz w:val="30"/>
        </w:rPr>
        <w:t>四、不同职业类型动态能力情况</w:t>
      </w:r>
    </w:p>
    <w:p>
      <w:pPr>
        <w:spacing w:line="384" w:lineRule="auto" w:after="60"/>
        <w:ind w:firstLine="480"/>
      </w:pPr>
      <w:r>
        <w:rPr>
          <w:rFonts w:ascii="仿宋" w:hAnsi="仿宋" w:eastAsia="仿宋"/>
          <w:b w:val="0"/>
          <w:sz w:val="24"/>
        </w:rPr>
        <w:t>本部分比较医生、护士、医技、管理和后勤五类人员的动态能力，"其他"类别样本量小未纳入。医技人员在总分及四个维度上均居首位，护士整体处于较高水平，医生相对偏低，管理与后勤人员多处于中间位置。感知识别能力与协调整合能力在职业类型间存在统计学显著差异，总分和创新应用能力呈现差异趋势，学习吸收能力差异未达显著。需要指出的是，医生群体的得分偏低可能与业务负荷、医改任务叠加以及对自身领域现状的严谨评估有关，而非实际能力的绝对落后，仍需结合后续访谈做进一步判断。</w:t>
      </w:r>
    </w:p>
    <w:p>
      <w:pPr>
        <w:spacing w:before="240" w:after="120" w:line="360" w:lineRule="auto"/>
      </w:pPr>
      <w:r>
        <w:rPr>
          <w:rFonts w:ascii="黑体" w:hAnsi="黑体" w:eastAsia="黑体"/>
          <w:b/>
          <w:sz w:val="26"/>
        </w:rPr>
        <w:t>（一）动态能力总分</w:t>
      </w:r>
    </w:p>
    <w:p>
      <w:pPr>
        <w:spacing w:line="384" w:lineRule="auto" w:after="60"/>
        <w:ind w:firstLine="480"/>
      </w:pPr>
      <w:r>
        <w:rPr>
          <w:rFonts w:ascii="仿宋" w:hAnsi="仿宋" w:eastAsia="仿宋"/>
          <w:b w:val="0"/>
          <w:sz w:val="24"/>
        </w:rPr>
        <w:t>纳入分析五类人员均值3.901分。方差分析接近显著（F=2.44，P=0.0570），Kruskal-Wallis检验显著（P=0.0425），Bonferroni校正后两两比较未达显著，差异主要体现在整体分布上。</w:t>
      </w:r>
    </w:p>
    <w:p>
      <w:pPr>
        <w:spacing w:before="120" w:after="60"/>
        <w:jc w:val="center"/>
      </w:pPr>
      <w:r>
        <w:rPr>
          <w:rFonts w:ascii="黑体" w:hAnsi="黑体" w:eastAsia="黑体"/>
          <w:b/>
          <w:sz w:val="22"/>
        </w:rPr>
        <w:t>表11  动态能力总分分职业类型结果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职业类型</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样本量</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均值±标准差</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排序</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医技</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9</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4.401±0.671</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护士</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4.127±0.830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后勤</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3.856±0.608</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管理</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3.723±0.321</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医生</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27</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3.596±0.815</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w:t>
            </w:r>
          </w:p>
        </w:tc>
      </w:tr>
    </w:tbl>
    <w:p/>
    <w:p>
      <w:pPr>
        <w:spacing w:before="240" w:after="120" w:line="360" w:lineRule="auto"/>
      </w:pPr>
      <w:r>
        <w:rPr>
          <w:rFonts w:ascii="黑体" w:hAnsi="黑体" w:eastAsia="黑体"/>
          <w:b/>
          <w:sz w:val="26"/>
        </w:rPr>
        <w:t>（二）感知识别能力</w:t>
      </w:r>
    </w:p>
    <w:p>
      <w:pPr>
        <w:spacing w:line="384" w:lineRule="auto" w:after="60"/>
        <w:ind w:firstLine="480"/>
      </w:pPr>
      <w:r>
        <w:rPr>
          <w:rFonts w:ascii="仿宋" w:hAnsi="仿宋" w:eastAsia="仿宋"/>
          <w:b w:val="0"/>
          <w:sz w:val="24"/>
        </w:rPr>
        <w:t>均值3.965分，职业类型间差异具有统计学意义（F=2.69，P=0.0399；Kruskal-Wallis P=0.0388），两两比较未达显著。医技人员、护士对外部变化的感知相对更为敏锐，医生相对偏低。</w:t>
      </w:r>
    </w:p>
    <w:p>
      <w:pPr>
        <w:spacing w:before="120" w:after="60"/>
        <w:jc w:val="center"/>
      </w:pPr>
      <w:r>
        <w:rPr>
          <w:rFonts w:ascii="黑体" w:hAnsi="黑体" w:eastAsia="黑体"/>
          <w:b/>
          <w:sz w:val="22"/>
        </w:rPr>
        <w:t>表12  感知识别能力分职业类型结果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职业类型</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样本量</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均值±标准差</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排序</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医技</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9</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4.431±0.545</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护士</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4.162±0.796</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后勤</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4.100±0.463</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管理</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3.917±0.382</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医生</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27</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3.644±0.767</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w:t>
            </w:r>
          </w:p>
        </w:tc>
      </w:tr>
    </w:tbl>
    <w:p/>
    <w:p>
      <w:pPr>
        <w:spacing w:before="240" w:after="120" w:line="360" w:lineRule="auto"/>
      </w:pPr>
      <w:r>
        <w:rPr>
          <w:rFonts w:ascii="黑体" w:hAnsi="黑体" w:eastAsia="黑体"/>
          <w:b/>
          <w:sz w:val="26"/>
        </w:rPr>
        <w:t>（三）学习吸收能力</w:t>
      </w:r>
    </w:p>
    <w:p>
      <w:pPr>
        <w:spacing w:line="384" w:lineRule="auto" w:after="60"/>
        <w:ind w:firstLine="480"/>
      </w:pPr>
      <w:r>
        <w:rPr>
          <w:rFonts w:ascii="仿宋" w:hAnsi="仿宋" w:eastAsia="仿宋"/>
          <w:b w:val="0"/>
          <w:sz w:val="24"/>
        </w:rPr>
        <w:t>均值3.881分，职业类型间差异未达到统计学显著（F=1.96，P=0.1118；Kruskal-Wallis P=0.1322）。医技与护士相对靠前，医生相对偏低，但整体较为接近。</w:t>
      </w:r>
    </w:p>
    <w:p>
      <w:pPr>
        <w:spacing w:before="120" w:after="60"/>
        <w:jc w:val="center"/>
      </w:pPr>
      <w:r>
        <w:rPr>
          <w:rFonts w:ascii="黑体" w:hAnsi="黑体" w:eastAsia="黑体"/>
          <w:b/>
          <w:sz w:val="22"/>
        </w:rPr>
        <w:t>表13  学习吸收能力分职业类型结果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职业类型</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样本量</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均值±标准差</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排序</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医技</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9</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4.356±0.829</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护士</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4.120±0.921</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管理</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3.933±0.306</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后勤</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3.800±0.837</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医生</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27</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3.556±0.898</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w:t>
            </w:r>
          </w:p>
        </w:tc>
      </w:tr>
    </w:tbl>
    <w:p/>
    <w:p>
      <w:pPr>
        <w:spacing w:before="240" w:after="120" w:line="360" w:lineRule="auto"/>
      </w:pPr>
      <w:r>
        <w:rPr>
          <w:rFonts w:ascii="黑体" w:hAnsi="黑体" w:eastAsia="黑体"/>
          <w:b/>
          <w:sz w:val="26"/>
        </w:rPr>
        <w:t>（四）协调整合能力</w:t>
      </w:r>
    </w:p>
    <w:p>
      <w:pPr>
        <w:spacing w:line="384" w:lineRule="auto" w:after="60"/>
        <w:ind w:firstLine="480"/>
      </w:pPr>
      <w:r>
        <w:rPr>
          <w:rFonts w:ascii="仿宋" w:hAnsi="仿宋" w:eastAsia="仿宋"/>
          <w:b w:val="0"/>
          <w:sz w:val="24"/>
        </w:rPr>
        <w:t>均值3.936分，职业类型间差异具有统计学意义（F=2.55，P=0.0486；Kruskal-Wallis P=0.0322），Bonferroni校正后两两比较未达显著。医技与护士在多岗位协同与流程衔接方面感受明显更强，医生、后勤、管理整体相对偏低。</w:t>
      </w:r>
    </w:p>
    <w:p>
      <w:pPr>
        <w:spacing w:before="120" w:after="60"/>
        <w:jc w:val="center"/>
      </w:pPr>
      <w:r>
        <w:rPr>
          <w:rFonts w:ascii="黑体" w:hAnsi="黑体" w:eastAsia="黑体"/>
          <w:b/>
          <w:sz w:val="22"/>
        </w:rPr>
        <w:t>表14  协调整合能力分职业类型结果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职业类型</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样本量</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均值±标准差</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排序</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医技</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9</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4.444±0.622</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护士</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4.188±0.810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后勤</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3.675±0.464</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医生</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27</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3.662±0.867</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管理</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3.625±0.331</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w:t>
            </w:r>
          </w:p>
        </w:tc>
      </w:tr>
    </w:tbl>
    <w:p/>
    <w:p>
      <w:pPr>
        <w:spacing w:before="240" w:after="120" w:line="360" w:lineRule="auto"/>
      </w:pPr>
      <w:r>
        <w:rPr>
          <w:rFonts w:ascii="黑体" w:hAnsi="黑体" w:eastAsia="黑体"/>
          <w:b/>
          <w:sz w:val="26"/>
        </w:rPr>
        <w:t>（五）创新应用能力</w:t>
      </w:r>
    </w:p>
    <w:p>
      <w:pPr>
        <w:spacing w:line="384" w:lineRule="auto" w:after="60"/>
        <w:ind w:firstLine="480"/>
      </w:pPr>
      <w:r>
        <w:rPr>
          <w:rFonts w:ascii="仿宋" w:hAnsi="仿宋" w:eastAsia="仿宋"/>
          <w:b w:val="0"/>
          <w:sz w:val="24"/>
        </w:rPr>
        <w:t>均值3.824分，职业类型间差异未达到统计学显著（F=2.27，P=0.0726；Kruskal-Wallis P=0.0723），但呈现医技、护士较高而医生、管理偏低的趋势，提示结合岗位特点设计差异化的创新激励方案可能是更有效的突破口。</w:t>
      </w:r>
    </w:p>
    <w:p>
      <w:pPr>
        <w:spacing w:before="120" w:after="60"/>
        <w:jc w:val="center"/>
      </w:pPr>
      <w:r>
        <w:rPr>
          <w:rFonts w:ascii="黑体" w:hAnsi="黑体" w:eastAsia="黑体"/>
          <w:b/>
          <w:sz w:val="22"/>
        </w:rPr>
        <w:t>表15  创新应用能力分职业类型结果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职业类型</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样本量</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均值±标准差</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排序</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医技</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9</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4.375±0.745</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护士</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4.037±0.870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后勤</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3.850±0.783</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医生</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27</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3.523±0.900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管理</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3.417±0.520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w:t>
            </w:r>
          </w:p>
        </w:tc>
      </w:tr>
    </w:tbl>
    <w:p/>
    <w:p>
      <w:pPr>
        <w:spacing w:before="240" w:after="120" w:line="360" w:lineRule="auto"/>
      </w:pPr>
      <w:r>
        <w:rPr>
          <w:rFonts w:ascii="黑体" w:hAnsi="黑体" w:eastAsia="黑体"/>
          <w:b/>
          <w:sz w:val="30"/>
        </w:rPr>
        <w:t>五、不同职称动态能力情况</w:t>
      </w:r>
    </w:p>
    <w:p>
      <w:pPr>
        <w:spacing w:line="384" w:lineRule="auto" w:after="60"/>
        <w:ind w:firstLine="480"/>
      </w:pPr>
      <w:r>
        <w:rPr>
          <w:rFonts w:ascii="仿宋" w:hAnsi="仿宋" w:eastAsia="仿宋"/>
          <w:b w:val="0"/>
          <w:sz w:val="24"/>
        </w:rPr>
        <w:t>不同职称人员在动态能力总分及四个维度上的差异总体未达到统计学显著水平，但排序呈现清晰的梯度——初级＞无职称≈中级＞副高级＞正高级。这一"反向梯度"在医院管理实践中并不罕见：初级人员处于能力快速积累期，对医院变化抱持更开放乐观的态度；而高级职称人员在长期经验积淀的同时，往往对现有机制、资源投入和落地条件评价更为严格。后续应将高级职称人员作为动态能力提升的重点支持对象，通过学术带头人机制、管理参与机会和创新激励进一步释放其势能。</w:t>
      </w:r>
    </w:p>
    <w:p>
      <w:pPr>
        <w:spacing w:before="240" w:after="120" w:line="360" w:lineRule="auto"/>
      </w:pPr>
      <w:r>
        <w:rPr>
          <w:rFonts w:ascii="黑体" w:hAnsi="黑体" w:eastAsia="黑体"/>
          <w:b/>
          <w:sz w:val="26"/>
        </w:rPr>
        <w:t>（一）动态能力总分</w:t>
      </w:r>
    </w:p>
    <w:p>
      <w:pPr>
        <w:spacing w:line="384" w:lineRule="auto" w:after="60"/>
        <w:ind w:firstLine="480"/>
      </w:pPr>
      <w:r>
        <w:rPr>
          <w:rFonts w:ascii="仿宋" w:hAnsi="仿宋" w:eastAsia="仿宋"/>
          <w:b w:val="0"/>
          <w:sz w:val="24"/>
        </w:rPr>
        <w:t>全院总分均值3.918分，职称间差异接近显著（F=1.97，P=0.1113；Kruskal-Wallis P=0.0607）。</w:t>
      </w:r>
    </w:p>
    <w:p>
      <w:pPr>
        <w:spacing w:before="120" w:after="60"/>
        <w:jc w:val="center"/>
      </w:pPr>
      <w:r>
        <w:rPr>
          <w:rFonts w:ascii="黑体" w:hAnsi="黑体" w:eastAsia="黑体"/>
          <w:b/>
          <w:sz w:val="22"/>
        </w:rPr>
        <w:t>表16  动态能力总分分职称结果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类别</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样本量</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均值±标准差</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排序</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初级</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15</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4.310±0.673</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无职称</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4.115±0.556</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中级</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27</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3.917±0.904</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副高级</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15</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3.685±0.778</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正高级</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3.333±0.527</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w:t>
            </w:r>
          </w:p>
        </w:tc>
      </w:tr>
    </w:tbl>
    <w:p/>
    <w:p>
      <w:pPr>
        <w:spacing w:before="240" w:after="120" w:line="360" w:lineRule="auto"/>
      </w:pPr>
      <w:r>
        <w:rPr>
          <w:rFonts w:ascii="黑体" w:hAnsi="黑体" w:eastAsia="黑体"/>
          <w:b/>
          <w:sz w:val="26"/>
        </w:rPr>
        <w:t>（二）感知识别能力</w:t>
      </w:r>
    </w:p>
    <w:p>
      <w:pPr>
        <w:spacing w:line="384" w:lineRule="auto" w:after="60"/>
        <w:ind w:firstLine="480"/>
      </w:pPr>
      <w:r>
        <w:rPr>
          <w:rFonts w:ascii="仿宋" w:hAnsi="仿宋" w:eastAsia="仿宋"/>
          <w:b w:val="0"/>
          <w:sz w:val="24"/>
        </w:rPr>
        <w:t>均值3.981分，职称间差异接近显著（F=2.14，P=0.0874；Kruskal-Wallis P=0.0500），初级人员对外部变化敏感度最高。</w:t>
      </w:r>
    </w:p>
    <w:p>
      <w:pPr>
        <w:spacing w:before="120" w:after="60"/>
        <w:jc w:val="center"/>
      </w:pPr>
      <w:r>
        <w:rPr>
          <w:rFonts w:ascii="黑体" w:hAnsi="黑体" w:eastAsia="黑体"/>
          <w:b/>
          <w:sz w:val="22"/>
        </w:rPr>
        <w:t>表17  感知识别能力分职称结果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类别</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样本量</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均值±标准差</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排序</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初级</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15</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4.358±0.616</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中级</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27</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4.005±0.830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无职称</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3.958±0.439</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副高级</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15</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3.767±0.782</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正高级</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3.375±0.424</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w:t>
            </w:r>
          </w:p>
        </w:tc>
      </w:tr>
    </w:tbl>
    <w:p/>
    <w:p>
      <w:pPr>
        <w:spacing w:before="240" w:after="120" w:line="360" w:lineRule="auto"/>
      </w:pPr>
      <w:r>
        <w:rPr>
          <w:rFonts w:ascii="黑体" w:hAnsi="黑体" w:eastAsia="黑体"/>
          <w:b/>
          <w:sz w:val="26"/>
        </w:rPr>
        <w:t>（三）学习吸收能力</w:t>
      </w:r>
    </w:p>
    <w:p>
      <w:pPr>
        <w:spacing w:line="384" w:lineRule="auto" w:after="60"/>
        <w:ind w:firstLine="480"/>
      </w:pPr>
      <w:r>
        <w:rPr>
          <w:rFonts w:ascii="仿宋" w:hAnsi="仿宋" w:eastAsia="仿宋"/>
          <w:b w:val="0"/>
          <w:sz w:val="24"/>
        </w:rPr>
        <w:t>均值3.898分，差异接近显著（F=2.16，P=0.0845；Kruskal-Wallis P=0.0796）。高级职称人员在学习吸收上的评价相对偏低，提示为资深骨干提供更具挑战性和针对性的外部学习机会与知识更新平台，可能带来明显的增量效应。</w:t>
      </w:r>
    </w:p>
    <w:p>
      <w:pPr>
        <w:spacing w:before="120" w:after="60"/>
        <w:jc w:val="center"/>
      </w:pPr>
      <w:r>
        <w:rPr>
          <w:rFonts w:ascii="黑体" w:hAnsi="黑体" w:eastAsia="黑体"/>
          <w:b/>
          <w:sz w:val="22"/>
        </w:rPr>
        <w:t>表18  学习吸收能力分职称结果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类别</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样本量</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均值±标准差</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排序</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初级</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15</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4.333±0.820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无职称</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4.333±0.577</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中级</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27</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3.889±0.977</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副高级</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15</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3.600±0.855</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正高级</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3.280±0.522</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w:t>
            </w:r>
          </w:p>
        </w:tc>
      </w:tr>
    </w:tbl>
    <w:p/>
    <w:p>
      <w:pPr>
        <w:spacing w:before="240" w:after="120" w:line="360" w:lineRule="auto"/>
      </w:pPr>
      <w:r>
        <w:rPr>
          <w:rFonts w:ascii="黑体" w:hAnsi="黑体" w:eastAsia="黑体"/>
          <w:b/>
          <w:sz w:val="26"/>
        </w:rPr>
        <w:t>（四）协调整合能力</w:t>
      </w:r>
    </w:p>
    <w:p>
      <w:pPr>
        <w:spacing w:line="384" w:lineRule="auto" w:after="60"/>
        <w:ind w:firstLine="480"/>
      </w:pPr>
      <w:r>
        <w:rPr>
          <w:rFonts w:ascii="仿宋" w:hAnsi="仿宋" w:eastAsia="仿宋"/>
          <w:b w:val="0"/>
          <w:sz w:val="24"/>
        </w:rPr>
        <w:t>均值3.952分，职称间差异未达到统计学显著（F=1.81，P=0.1388；Kruskal-Wallis P=0.0996）。排序与其他维度一致，呈自初级向正高级递减趋势。</w:t>
      </w:r>
    </w:p>
    <w:p>
      <w:pPr>
        <w:spacing w:before="120" w:after="60"/>
        <w:jc w:val="center"/>
      </w:pPr>
      <w:r>
        <w:rPr>
          <w:rFonts w:ascii="黑体" w:hAnsi="黑体" w:eastAsia="黑体"/>
          <w:b/>
          <w:sz w:val="22"/>
        </w:rPr>
        <w:t>表19  协调整合能力分职称结果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类别</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样本量</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均值±标准差</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排序</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初级</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15</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4.342±0.664</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无职称</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4.167±0.520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中级</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27</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3.917±0.935</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副高级</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15</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3.783±0.767</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正高级</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3.350±0.548</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w:t>
            </w:r>
          </w:p>
        </w:tc>
      </w:tr>
    </w:tbl>
    <w:p/>
    <w:p>
      <w:pPr>
        <w:spacing w:before="240" w:after="120" w:line="360" w:lineRule="auto"/>
      </w:pPr>
      <w:r>
        <w:rPr>
          <w:rFonts w:ascii="黑体" w:hAnsi="黑体" w:eastAsia="黑体"/>
          <w:b/>
          <w:sz w:val="26"/>
        </w:rPr>
        <w:t>（五）创新应用能力</w:t>
      </w:r>
    </w:p>
    <w:p>
      <w:pPr>
        <w:spacing w:line="384" w:lineRule="auto" w:after="60"/>
        <w:ind w:firstLine="480"/>
      </w:pPr>
      <w:r>
        <w:rPr>
          <w:rFonts w:ascii="仿宋" w:hAnsi="仿宋" w:eastAsia="仿宋"/>
          <w:b w:val="0"/>
          <w:sz w:val="24"/>
        </w:rPr>
        <w:t>均值3.842分，差异未达到统计学显著（F=1.41，P=0.2412；Kruskal-Wallis P=0.1197）。创新应用能力在各职称层次中均处于四个维度中的相对低位，可作为面向全院各层级共同提升的重点。</w:t>
      </w:r>
    </w:p>
    <w:p>
      <w:pPr>
        <w:spacing w:before="120" w:after="60"/>
        <w:jc w:val="center"/>
      </w:pPr>
      <w:r>
        <w:rPr>
          <w:rFonts w:ascii="黑体" w:hAnsi="黑体" w:eastAsia="黑体"/>
          <w:b/>
          <w:sz w:val="22"/>
        </w:rPr>
        <w:t>表20  创新应用能力分职称结果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类别</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样本量</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均值±标准差</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排序</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初级</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15</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4.208±0.700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无职称</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4.000±0.750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中级</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27</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3.856±1.015</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副高级</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15</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3.592±0.842</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正高级</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3.325±0.659</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w:t>
            </w:r>
          </w:p>
        </w:tc>
      </w:tr>
    </w:tbl>
    <w:p/>
    <w:p>
      <w:pPr>
        <w:spacing w:before="240" w:after="120" w:line="360" w:lineRule="auto"/>
      </w:pPr>
      <w:r>
        <w:rPr>
          <w:rFonts w:ascii="黑体" w:hAnsi="黑体" w:eastAsia="黑体"/>
          <w:b/>
          <w:sz w:val="30"/>
        </w:rPr>
        <w:t>六、不同本院工作年限动态能力情况</w:t>
      </w:r>
    </w:p>
    <w:p>
      <w:pPr>
        <w:spacing w:line="384" w:lineRule="auto" w:after="60"/>
        <w:ind w:firstLine="480"/>
      </w:pPr>
      <w:r>
        <w:rPr>
          <w:rFonts w:ascii="仿宋" w:hAnsi="仿宋" w:eastAsia="仿宋"/>
          <w:b w:val="0"/>
          <w:sz w:val="24"/>
        </w:rPr>
        <w:t>本次调查中，不同本院工作年限组在动态能力总分及四个维度上均未呈现统计学显著差异，但整体表现出3–5年组较高、11–20年组接近均值、20年以上组偏低的结构。20年以上组仅2人，更适合作为描述性参考；3–5年段作为"职业上升期"，其能力感受显著高于其他群体，这一群体也是后续医院人才梯队建设和骨干培养的重点。</w:t>
      </w:r>
    </w:p>
    <w:p>
      <w:pPr>
        <w:spacing w:before="240" w:after="120" w:line="360" w:lineRule="auto"/>
      </w:pPr>
      <w:r>
        <w:rPr>
          <w:rFonts w:ascii="黑体" w:hAnsi="黑体" w:eastAsia="黑体"/>
          <w:b/>
          <w:sz w:val="26"/>
        </w:rPr>
        <w:t>（一）动态能力总分</w:t>
      </w:r>
    </w:p>
    <w:p>
      <w:pPr>
        <w:spacing w:line="384" w:lineRule="auto" w:after="60"/>
        <w:ind w:firstLine="480"/>
      </w:pPr>
      <w:r>
        <w:rPr>
          <w:rFonts w:ascii="仿宋" w:hAnsi="仿宋" w:eastAsia="仿宋"/>
          <w:b w:val="0"/>
          <w:sz w:val="24"/>
        </w:rPr>
        <w:t>总体差异未达到统计学显著水平（F=1.14，P=0.3485；Kruskal-Wallis P=0.2963）。</w:t>
      </w:r>
    </w:p>
    <w:p>
      <w:pPr>
        <w:spacing w:before="120" w:after="60"/>
        <w:jc w:val="center"/>
      </w:pPr>
      <w:r>
        <w:rPr>
          <w:rFonts w:ascii="黑体" w:hAnsi="黑体" w:eastAsia="黑体"/>
          <w:b/>
          <w:sz w:val="22"/>
        </w:rPr>
        <w:t>表21  动态能力总分分工作年限结果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类别</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样本量</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均值±标准差</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排序</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3-5年</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4.213±0.905</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11-20年</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44</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3.966±0.860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3年以下</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3.935±0.683</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6-10年</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12</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3.827±0.637</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20年以上</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2.809±0.270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w:t>
            </w:r>
          </w:p>
        </w:tc>
      </w:tr>
    </w:tbl>
    <w:p/>
    <w:p>
      <w:pPr>
        <w:spacing w:before="240" w:after="120" w:line="360" w:lineRule="auto"/>
      </w:pPr>
      <w:r>
        <w:rPr>
          <w:rFonts w:ascii="黑体" w:hAnsi="黑体" w:eastAsia="黑体"/>
          <w:b/>
          <w:sz w:val="26"/>
        </w:rPr>
        <w:t>（二）感知识别能力</w:t>
      </w:r>
    </w:p>
    <w:p>
      <w:pPr>
        <w:spacing w:line="384" w:lineRule="auto" w:after="60"/>
        <w:ind w:firstLine="480"/>
      </w:pPr>
      <w:r>
        <w:rPr>
          <w:rFonts w:ascii="仿宋" w:hAnsi="仿宋" w:eastAsia="仿宋"/>
          <w:b w:val="0"/>
          <w:sz w:val="24"/>
        </w:rPr>
        <w:t>总体差异未达到统计学显著水平（F=1.52，P=0.2076；Kruskal-Wallis P=0.2528）。</w:t>
      </w:r>
    </w:p>
    <w:p>
      <w:pPr>
        <w:spacing w:before="120" w:after="60"/>
        <w:jc w:val="center"/>
      </w:pPr>
      <w:r>
        <w:rPr>
          <w:rFonts w:ascii="黑体" w:hAnsi="黑体" w:eastAsia="黑体"/>
          <w:b/>
          <w:sz w:val="22"/>
        </w:rPr>
        <w:t>表22  感知识别能力分工作年限结果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类别</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样本量</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均值±标准差</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排序</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3-5年</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4.250±0.872</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11-20年</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44</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4.028±0.804</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3年以下</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3.958±0.439</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6-10年</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12</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3.927±0.565</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20年以上</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2.750±0.354</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w:t>
            </w:r>
          </w:p>
        </w:tc>
      </w:tr>
    </w:tbl>
    <w:p/>
    <w:p>
      <w:pPr>
        <w:spacing w:before="240" w:after="120" w:line="360" w:lineRule="auto"/>
      </w:pPr>
      <w:r>
        <w:rPr>
          <w:rFonts w:ascii="黑体" w:hAnsi="黑体" w:eastAsia="黑体"/>
          <w:b/>
          <w:sz w:val="26"/>
        </w:rPr>
        <w:t>（三）学习吸收能力</w:t>
      </w:r>
    </w:p>
    <w:p>
      <w:pPr>
        <w:spacing w:line="384" w:lineRule="auto" w:after="60"/>
        <w:ind w:firstLine="480"/>
      </w:pPr>
      <w:r>
        <w:rPr>
          <w:rFonts w:ascii="仿宋" w:hAnsi="仿宋" w:eastAsia="仿宋"/>
          <w:b w:val="0"/>
          <w:sz w:val="24"/>
        </w:rPr>
        <w:t>总体差异未达到统计学显著水平（F=1.00，P=0.4133；Kruskal-Wallis P=0.3404）。3年以下与3–5年组得分靠前，折射出新进人员在知识更新与外部信息吸收上的能动性。</w:t>
      </w:r>
    </w:p>
    <w:p>
      <w:pPr>
        <w:spacing w:before="120" w:after="60"/>
        <w:jc w:val="center"/>
      </w:pPr>
      <w:r>
        <w:rPr>
          <w:rFonts w:ascii="黑体" w:hAnsi="黑体" w:eastAsia="黑体"/>
          <w:b/>
          <w:sz w:val="22"/>
        </w:rPr>
        <w:t>表23  学习吸收能力分工作年限结果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类别</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样本量</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均值±标准差</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排序</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3年以下</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4.200±0.721</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3-5年</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4.100±1.052</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11-20年</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44</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3.955±0.948</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6-10年</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12</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3.733±0.769</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20年以上</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2.800±0.283</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w:t>
            </w:r>
          </w:p>
        </w:tc>
      </w:tr>
    </w:tbl>
    <w:p/>
    <w:p>
      <w:pPr>
        <w:spacing w:before="240" w:after="120" w:line="360" w:lineRule="auto"/>
      </w:pPr>
      <w:r>
        <w:rPr>
          <w:rFonts w:ascii="黑体" w:hAnsi="黑体" w:eastAsia="黑体"/>
          <w:b/>
          <w:sz w:val="26"/>
        </w:rPr>
        <w:t>（四）协调整合能力</w:t>
      </w:r>
    </w:p>
    <w:p>
      <w:pPr>
        <w:spacing w:line="384" w:lineRule="auto" w:after="60"/>
        <w:ind w:firstLine="480"/>
      </w:pPr>
      <w:r>
        <w:rPr>
          <w:rFonts w:ascii="仿宋" w:hAnsi="仿宋" w:eastAsia="仿宋"/>
          <w:b w:val="0"/>
          <w:sz w:val="24"/>
        </w:rPr>
        <w:t>总体差异未达到统计学显著水平（F=1.42，P=0.2399；Kruskal-Wallis P=0.2130）。</w:t>
      </w:r>
    </w:p>
    <w:p>
      <w:pPr>
        <w:spacing w:before="120" w:after="60"/>
        <w:jc w:val="center"/>
      </w:pPr>
      <w:r>
        <w:rPr>
          <w:rFonts w:ascii="黑体" w:hAnsi="黑体" w:eastAsia="黑体"/>
          <w:b/>
          <w:sz w:val="22"/>
        </w:rPr>
        <w:t>表24  协调整合能力分工作年限结果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类别</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样本量</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均值±标准差</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排序</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3-5年</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4.250±0.957</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11-20年</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44</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4.006±0.853</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3年以下</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3.917±0.764</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6-10年</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12</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3.875±0.631</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20年以上</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2.688±0.442</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w:t>
            </w:r>
          </w:p>
        </w:tc>
      </w:tr>
    </w:tbl>
    <w:p/>
    <w:p>
      <w:pPr>
        <w:spacing w:before="240" w:after="120" w:line="360" w:lineRule="auto"/>
      </w:pPr>
      <w:r>
        <w:rPr>
          <w:rFonts w:ascii="黑体" w:hAnsi="黑体" w:eastAsia="黑体"/>
          <w:b/>
          <w:sz w:val="26"/>
        </w:rPr>
        <w:t>（五）创新应用能力</w:t>
      </w:r>
    </w:p>
    <w:p>
      <w:pPr>
        <w:spacing w:line="384" w:lineRule="auto" w:after="60"/>
        <w:ind w:firstLine="480"/>
      </w:pPr>
      <w:r>
        <w:rPr>
          <w:rFonts w:ascii="仿宋" w:hAnsi="仿宋" w:eastAsia="仿宋"/>
          <w:b w:val="0"/>
          <w:sz w:val="24"/>
        </w:rPr>
        <w:t>总体差异未达到统计学显著水平（F=0.71，P=0.5909；Kruskal-Wallis P=0.4344）。</w:t>
      </w:r>
    </w:p>
    <w:p>
      <w:pPr>
        <w:spacing w:before="120" w:after="60"/>
        <w:jc w:val="center"/>
      </w:pPr>
      <w:r>
        <w:rPr>
          <w:rFonts w:ascii="黑体" w:hAnsi="黑体" w:eastAsia="黑体"/>
          <w:b/>
          <w:sz w:val="22"/>
        </w:rPr>
        <w:t>表25  创新应用能力分工作年限结果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类别</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样本量</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均值±标准差</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排序</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3-5年</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4.250±0.957</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11-20年</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44</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3.875±0.953</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6-10年</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12</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3.771±0.667</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3年以下</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3.667±0.946</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20年以上</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3.000±0.000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w:t>
            </w:r>
          </w:p>
        </w:tc>
      </w:tr>
    </w:tbl>
    <w:p/>
    <w:p>
      <w:pPr>
        <w:spacing w:before="240" w:after="120" w:line="360" w:lineRule="auto"/>
      </w:pPr>
      <w:r>
        <w:rPr>
          <w:rFonts w:ascii="黑体" w:hAnsi="黑体" w:eastAsia="黑体"/>
          <w:b/>
          <w:sz w:val="30"/>
        </w:rPr>
        <w:t>七、不同主要工作内容动态能力情况</w:t>
      </w:r>
    </w:p>
    <w:p>
      <w:pPr>
        <w:spacing w:line="384" w:lineRule="auto" w:after="60"/>
        <w:ind w:firstLine="480"/>
      </w:pPr>
      <w:r>
        <w:rPr>
          <w:rFonts w:ascii="仿宋" w:hAnsi="仿宋" w:eastAsia="仿宋"/>
          <w:b w:val="0"/>
          <w:sz w:val="24"/>
        </w:rPr>
        <w:t>本次样本中主要工作内容包括管理、医疗和教学三类，教学类仅1人、未观察到科研类别，结果仅作描述性参考。管理人员与医疗人员在总分及各维度上得分接近，均围绕全院平均水平，未显示出明确差异，说明岗位差异主要通过职业类型和职务层面表现，而非单纯的工作内容划分。</w:t>
      </w:r>
    </w:p>
    <w:p>
      <w:pPr>
        <w:spacing w:before="240" w:after="120" w:line="360" w:lineRule="auto"/>
      </w:pPr>
      <w:r>
        <w:rPr>
          <w:rFonts w:ascii="黑体" w:hAnsi="黑体" w:eastAsia="黑体"/>
          <w:b/>
          <w:sz w:val="26"/>
        </w:rPr>
        <w:t>（一）动态能力总分</w:t>
      </w:r>
    </w:p>
    <w:p>
      <w:pPr>
        <w:spacing w:line="384" w:lineRule="auto" w:after="60"/>
        <w:ind w:firstLine="480"/>
      </w:pPr>
      <w:r>
        <w:rPr>
          <w:rFonts w:ascii="仿宋" w:hAnsi="仿宋" w:eastAsia="仿宋"/>
          <w:b w:val="0"/>
          <w:sz w:val="24"/>
        </w:rPr>
        <w:t>总体差异未达到统计学显著水平（F=0.93，P=0.3985；Kruskal-Wallis P=0.3214）。</w:t>
      </w:r>
    </w:p>
    <w:p>
      <w:pPr>
        <w:spacing w:before="120" w:after="60"/>
        <w:jc w:val="center"/>
      </w:pPr>
      <w:r>
        <w:rPr>
          <w:rFonts w:ascii="黑体" w:hAnsi="黑体" w:eastAsia="黑体"/>
          <w:b/>
          <w:sz w:val="22"/>
        </w:rPr>
        <w:t>表26  动态能力总分分主要工作内容结果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类别</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样本量</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均值±标准差</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排序</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教学</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5.000±0.000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管理</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22</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3.944±0.774</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医疗</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42</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3.879±0.840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w:t>
            </w:r>
          </w:p>
        </w:tc>
      </w:tr>
    </w:tbl>
    <w:p/>
    <w:p>
      <w:pPr>
        <w:spacing w:before="240" w:after="120" w:line="360" w:lineRule="auto"/>
      </w:pPr>
      <w:r>
        <w:rPr>
          <w:rFonts w:ascii="黑体" w:hAnsi="黑体" w:eastAsia="黑体"/>
          <w:b/>
          <w:sz w:val="26"/>
        </w:rPr>
        <w:t>（二）感知识别能力</w:t>
      </w:r>
    </w:p>
    <w:p>
      <w:pPr>
        <w:spacing w:line="384" w:lineRule="auto" w:after="60"/>
        <w:ind w:firstLine="480"/>
      </w:pPr>
      <w:r>
        <w:rPr>
          <w:rFonts w:ascii="仿宋" w:hAnsi="仿宋" w:eastAsia="仿宋"/>
          <w:b w:val="0"/>
          <w:sz w:val="24"/>
        </w:rPr>
        <w:t>总体差异未达到统计学显著水平（F=0.98，P=0.3823；Kruskal-Wallis P=0.3480）。</w:t>
      </w:r>
    </w:p>
    <w:p>
      <w:pPr>
        <w:spacing w:before="120" w:after="60"/>
        <w:jc w:val="center"/>
      </w:pPr>
      <w:r>
        <w:rPr>
          <w:rFonts w:ascii="黑体" w:hAnsi="黑体" w:eastAsia="黑体"/>
          <w:b/>
          <w:sz w:val="22"/>
        </w:rPr>
        <w:t>表27  感知识别能力分主要工作内容结果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类别</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样本量</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均值±标准差</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排序</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教学</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5.000±0.000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管理</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22</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4.017±0.727</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医疗</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42</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3.938±0.785</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w:t>
            </w:r>
          </w:p>
        </w:tc>
      </w:tr>
    </w:tbl>
    <w:p/>
    <w:p>
      <w:pPr>
        <w:spacing w:before="240" w:after="120" w:line="360" w:lineRule="auto"/>
      </w:pPr>
      <w:r>
        <w:rPr>
          <w:rFonts w:ascii="黑体" w:hAnsi="黑体" w:eastAsia="黑体"/>
          <w:b/>
          <w:sz w:val="26"/>
        </w:rPr>
        <w:t>（三）学习吸收能力</w:t>
      </w:r>
    </w:p>
    <w:p>
      <w:pPr>
        <w:spacing w:line="384" w:lineRule="auto" w:after="60"/>
        <w:ind w:firstLine="480"/>
      </w:pPr>
      <w:r>
        <w:rPr>
          <w:rFonts w:ascii="仿宋" w:hAnsi="仿宋" w:eastAsia="仿宋"/>
          <w:b w:val="0"/>
          <w:sz w:val="24"/>
        </w:rPr>
        <w:t>总体差异未达到统计学显著水平（F=0.80，P=0.4529；Kruskal-Wallis P=0.4390）。</w:t>
      </w:r>
    </w:p>
    <w:p>
      <w:pPr>
        <w:spacing w:before="120" w:after="60"/>
        <w:jc w:val="center"/>
      </w:pPr>
      <w:r>
        <w:rPr>
          <w:rFonts w:ascii="黑体" w:hAnsi="黑体" w:eastAsia="黑体"/>
          <w:b/>
          <w:sz w:val="22"/>
        </w:rPr>
        <w:t>表28  学习吸收能力分主要工作内容结果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类别</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样本量</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均值±标准差</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排序</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教学</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5.000±0.000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管理</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22</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3.936±0.867</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医疗</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42</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3.852±0.934</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w:t>
            </w:r>
          </w:p>
        </w:tc>
      </w:tr>
    </w:tbl>
    <w:p/>
    <w:p>
      <w:pPr>
        <w:spacing w:before="240" w:after="120" w:line="360" w:lineRule="auto"/>
      </w:pPr>
      <w:r>
        <w:rPr>
          <w:rFonts w:ascii="黑体" w:hAnsi="黑体" w:eastAsia="黑体"/>
          <w:b/>
          <w:sz w:val="26"/>
        </w:rPr>
        <w:t>（四）协调整合能力</w:t>
      </w:r>
    </w:p>
    <w:p>
      <w:pPr>
        <w:spacing w:line="384" w:lineRule="auto" w:after="60"/>
        <w:ind w:firstLine="480"/>
      </w:pPr>
      <w:r>
        <w:rPr>
          <w:rFonts w:ascii="仿宋" w:hAnsi="仿宋" w:eastAsia="仿宋"/>
          <w:b w:val="0"/>
          <w:sz w:val="24"/>
        </w:rPr>
        <w:t>总体差异未达到统计学显著水平（F=0.82，P=0.4434；Kruskal-Wallis P=0.4139）。</w:t>
      </w:r>
    </w:p>
    <w:p>
      <w:pPr>
        <w:spacing w:before="120" w:after="60"/>
        <w:jc w:val="center"/>
      </w:pPr>
      <w:r>
        <w:rPr>
          <w:rFonts w:ascii="黑体" w:hAnsi="黑体" w:eastAsia="黑体"/>
          <w:b/>
          <w:sz w:val="22"/>
        </w:rPr>
        <w:t>表29  协调整合能力分主要工作内容结果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类别</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样本量</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均值±标准差</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排序</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教学</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5.000±0.000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管理</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22</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3.955±0.757</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医疗</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42</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3.926±0.861</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w:t>
            </w:r>
          </w:p>
        </w:tc>
      </w:tr>
    </w:tbl>
    <w:p/>
    <w:p>
      <w:pPr>
        <w:spacing w:before="240" w:after="120" w:line="360" w:lineRule="auto"/>
      </w:pPr>
      <w:r>
        <w:rPr>
          <w:rFonts w:ascii="黑体" w:hAnsi="黑体" w:eastAsia="黑体"/>
          <w:b/>
          <w:sz w:val="26"/>
        </w:rPr>
        <w:t>（五）创新应用能力</w:t>
      </w:r>
    </w:p>
    <w:p>
      <w:pPr>
        <w:spacing w:line="384" w:lineRule="auto" w:after="60"/>
        <w:ind w:firstLine="480"/>
      </w:pPr>
      <w:r>
        <w:rPr>
          <w:rFonts w:ascii="仿宋" w:hAnsi="仿宋" w:eastAsia="仿宋"/>
          <w:b w:val="0"/>
          <w:sz w:val="24"/>
        </w:rPr>
        <w:t>总体差异未达到统计学显著水平（F=0.90，P=0.4130；Kruskal-Wallis P=0.3377）。</w:t>
      </w:r>
    </w:p>
    <w:p>
      <w:pPr>
        <w:spacing w:before="120" w:after="60"/>
        <w:jc w:val="center"/>
      </w:pPr>
      <w:r>
        <w:rPr>
          <w:rFonts w:ascii="黑体" w:hAnsi="黑体" w:eastAsia="黑体"/>
          <w:b/>
          <w:sz w:val="22"/>
        </w:rPr>
        <w:t>表30  创新应用能力分主要工作内容结果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类别</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样本量</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均值±标准差</w:t>
            </w:r>
          </w:p>
        </w:tc>
        <w:tc>
          <w:tcPr>
            <w:tcW w:type="dxa" w:w="2266"/>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排序</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教学</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5.000±0.000</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管理</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22</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3.869±0.862</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2</w:t>
            </w:r>
          </w:p>
        </w:tc>
      </w:tr>
      <w:tr>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医疗</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42</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3.801±0.908</w:t>
            </w:r>
          </w:p>
        </w:tc>
        <w:tc>
          <w:tcPr>
            <w:tcW w:type="dxa" w:w="2266"/>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w:t>
            </w:r>
          </w:p>
        </w:tc>
      </w:tr>
    </w:tbl>
    <w:p/>
    <w:p>
      <w:pPr>
        <w:spacing w:before="240" w:after="120" w:line="360" w:lineRule="auto"/>
      </w:pPr>
      <w:r>
        <w:rPr>
          <w:rFonts w:ascii="黑体" w:hAnsi="黑体" w:eastAsia="黑体"/>
          <w:b/>
          <w:sz w:val="30"/>
        </w:rPr>
        <w:t>八、公立医院动态能力及其不同维度的影响因素</w:t>
      </w:r>
    </w:p>
    <w:p>
      <w:pPr>
        <w:spacing w:line="384" w:lineRule="auto" w:after="60"/>
        <w:ind w:firstLine="480"/>
      </w:pPr>
      <w:r>
        <w:rPr>
          <w:rFonts w:ascii="仿宋" w:hAnsi="仿宋" w:eastAsia="仿宋"/>
          <w:b w:val="0"/>
          <w:sz w:val="24"/>
        </w:rPr>
        <w:t>本部分在前述分组比较基础上，引入医院文化、医院资源、医院战略、路径依赖、环境因素、员工因素和管理特征七类组织内部条件，在综合控制年龄、科室、职务、职业类型、职称、工作年限、培训次数、主要工作内容等个体与岗位变量后，分析其对动态能力总分及四个维度的作用。总体上，七类影响因素中仅员工因素对创新应用能力呈显著正向作用，医院文化与员工因素对动态能力总分和学习吸收能力的影响呈正向趋势但未达显著，其余因素在控制背景变量后均未显示出独立的显著效应。</w:t>
      </w:r>
    </w:p>
    <w:p>
      <w:pPr>
        <w:spacing w:line="384" w:lineRule="auto" w:after="60"/>
        <w:ind w:firstLine="480"/>
      </w:pPr>
      <w:r>
        <w:rPr>
          <w:rFonts w:ascii="仿宋" w:hAnsi="仿宋" w:eastAsia="仿宋"/>
          <w:b w:val="0"/>
          <w:sz w:val="24"/>
        </w:rPr>
        <w:t>这一结果在管理层面有两点重要启示：一是相较于宏观层面的战略、资源和文化变量，"员工因素"——包括管理者能力、医务人员业务水平以及管理与临床的协同——才是驱动创新真正发生的关键；二是文化、战略、资源等虽然未在模型中显著，但其作用更多是作为创新和动态能力发挥的基础条件，需要在持续完善中逐步显现效果。</w:t>
      </w:r>
    </w:p>
    <w:p>
      <w:pPr>
        <w:spacing w:before="240" w:after="120" w:line="360" w:lineRule="auto"/>
      </w:pPr>
      <w:r>
        <w:rPr>
          <w:rFonts w:ascii="黑体" w:hAnsi="黑体" w:eastAsia="黑体"/>
          <w:b/>
          <w:sz w:val="26"/>
        </w:rPr>
        <w:t>（一）动态能力总分</w:t>
      </w:r>
    </w:p>
    <w:p>
      <w:pPr>
        <w:spacing w:line="384" w:lineRule="auto" w:after="60"/>
        <w:ind w:firstLine="480"/>
      </w:pPr>
      <w:r>
        <w:rPr>
          <w:rFonts w:ascii="仿宋" w:hAnsi="仿宋" w:eastAsia="仿宋"/>
          <w:b w:val="0"/>
          <w:sz w:val="24"/>
        </w:rPr>
        <w:t>七类影响因素对动态能力总分的影响均未达到统计学显著水平，医院文化（P=0.099）与员工因素（P=0.091）表现出正向趋势。</w:t>
      </w:r>
    </w:p>
    <w:p>
      <w:pPr>
        <w:spacing w:before="120" w:after="60"/>
        <w:jc w:val="center"/>
      </w:pPr>
      <w:r>
        <w:rPr>
          <w:rFonts w:ascii="黑体" w:hAnsi="黑体" w:eastAsia="黑体"/>
          <w:b/>
          <w:sz w:val="22"/>
        </w:rPr>
        <w:t>表31  动态能力总分影响因素综合调整模型结果</w:t>
      </w:r>
    </w:p>
    <w:tbl>
      <w:tblPr>
        <w:tblW w:type="auto" w:w="0"/>
        <w:jc w:val="center"/>
        <w:tblLayout w:type="fixed"/>
        <w:tblLook w:firstColumn="1" w:firstRow="1" w:lastColumn="0" w:lastRow="0" w:noHBand="0" w:noVBand="1" w:val="04A0"/>
      </w:tblPr>
      <w:tblGrid>
        <w:gridCol w:w="3022"/>
        <w:gridCol w:w="3022"/>
        <w:gridCol w:w="3022"/>
      </w:tblGrid>
      <w:tr>
        <w:tc>
          <w:tcPr>
            <w:tcW w:type="dxa" w:w="3022"/>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影响因素</w:t>
            </w:r>
          </w:p>
        </w:tc>
        <w:tc>
          <w:tcPr>
            <w:tcW w:type="dxa" w:w="3022"/>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回归系数±标准误</w:t>
            </w:r>
          </w:p>
        </w:tc>
        <w:tc>
          <w:tcPr>
            <w:tcW w:type="dxa" w:w="3022"/>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P值</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医院文化</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1.288±0.745</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0.099</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医院资源</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0.179±0.340</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0.604</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医院战略</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-0.553±0.665</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0.415</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路径依赖</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-0.071±0.102</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0.492</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环境因素</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-0.028±0.153</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0.857</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员工因素</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0.463±0.262</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0.091</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管理特征</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-0.325±0.655</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0.625</w:t>
            </w:r>
          </w:p>
        </w:tc>
      </w:tr>
    </w:tbl>
    <w:p/>
    <w:p>
      <w:pPr>
        <w:spacing w:before="240" w:after="120" w:line="360" w:lineRule="auto"/>
      </w:pPr>
      <w:r>
        <w:rPr>
          <w:rFonts w:ascii="黑体" w:hAnsi="黑体" w:eastAsia="黑体"/>
          <w:b/>
          <w:sz w:val="26"/>
        </w:rPr>
        <w:t>（二）感知识别能力</w:t>
      </w:r>
    </w:p>
    <w:p>
      <w:pPr>
        <w:spacing w:line="384" w:lineRule="auto" w:after="60"/>
        <w:ind w:firstLine="480"/>
      </w:pPr>
      <w:r>
        <w:rPr>
          <w:rFonts w:ascii="仿宋" w:hAnsi="仿宋" w:eastAsia="仿宋"/>
          <w:b w:val="0"/>
          <w:sz w:val="24"/>
        </w:rPr>
        <w:t>七类影响因素的影响均未达到统计学显著水平。</w:t>
      </w:r>
    </w:p>
    <w:p>
      <w:pPr>
        <w:spacing w:before="120" w:after="60"/>
        <w:jc w:val="center"/>
      </w:pPr>
      <w:r>
        <w:rPr>
          <w:rFonts w:ascii="黑体" w:hAnsi="黑体" w:eastAsia="黑体"/>
          <w:b/>
          <w:sz w:val="22"/>
        </w:rPr>
        <w:t>表32  感知识别能力影响因素综合调整模型结果</w:t>
      </w:r>
    </w:p>
    <w:tbl>
      <w:tblPr>
        <w:tblW w:type="auto" w:w="0"/>
        <w:jc w:val="center"/>
        <w:tblLayout w:type="fixed"/>
        <w:tblLook w:firstColumn="1" w:firstRow="1" w:lastColumn="0" w:lastRow="0" w:noHBand="0" w:noVBand="1" w:val="04A0"/>
      </w:tblPr>
      <w:tblGrid>
        <w:gridCol w:w="3022"/>
        <w:gridCol w:w="3022"/>
        <w:gridCol w:w="3022"/>
      </w:tblGrid>
      <w:tr>
        <w:tc>
          <w:tcPr>
            <w:tcW w:type="dxa" w:w="3022"/>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影响因素</w:t>
            </w:r>
          </w:p>
        </w:tc>
        <w:tc>
          <w:tcPr>
            <w:tcW w:type="dxa" w:w="3022"/>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回归系数±标准误</w:t>
            </w:r>
          </w:p>
        </w:tc>
        <w:tc>
          <w:tcPr>
            <w:tcW w:type="dxa" w:w="3022"/>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P值</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医院文化</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1.557±1.077</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0.163</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医院资源</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0.071±0.480</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0.884</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医院战略</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-0.434±1.004</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0.67</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路径依赖</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-0.048±0.153</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0.757</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环境因素</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-0.112±0.236</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0.64</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员工因素</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0.540±0.476</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0.27</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管理特征</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-0.888±0.998</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0.384</w:t>
            </w:r>
          </w:p>
        </w:tc>
      </w:tr>
    </w:tbl>
    <w:p/>
    <w:p>
      <w:pPr>
        <w:spacing w:before="240" w:after="120" w:line="360" w:lineRule="auto"/>
      </w:pPr>
      <w:r>
        <w:rPr>
          <w:rFonts w:ascii="黑体" w:hAnsi="黑体" w:eastAsia="黑体"/>
          <w:b/>
          <w:sz w:val="26"/>
        </w:rPr>
        <w:t>（三）学习吸收能力</w:t>
      </w:r>
    </w:p>
    <w:p>
      <w:pPr>
        <w:spacing w:line="384" w:lineRule="auto" w:after="60"/>
        <w:ind w:firstLine="480"/>
      </w:pPr>
      <w:r>
        <w:rPr>
          <w:rFonts w:ascii="仿宋" w:hAnsi="仿宋" w:eastAsia="仿宋"/>
          <w:b w:val="0"/>
          <w:sz w:val="24"/>
        </w:rPr>
        <w:t>七类影响因素的影响均未达到统计学显著水平，医院文化（P=0.091）和员工因素（P=0.065）呈正向趋势，提示其潜在作用值得后续更大样本进一步验证。</w:t>
      </w:r>
    </w:p>
    <w:p>
      <w:pPr>
        <w:spacing w:before="120" w:after="60"/>
        <w:jc w:val="center"/>
      </w:pPr>
      <w:r>
        <w:rPr>
          <w:rFonts w:ascii="黑体" w:hAnsi="黑体" w:eastAsia="黑体"/>
          <w:b/>
          <w:sz w:val="22"/>
        </w:rPr>
        <w:t>表33  学习吸收能力影响因素综合调整模型结果</w:t>
      </w:r>
    </w:p>
    <w:tbl>
      <w:tblPr>
        <w:tblW w:type="auto" w:w="0"/>
        <w:jc w:val="center"/>
        <w:tblLayout w:type="fixed"/>
        <w:tblLook w:firstColumn="1" w:firstRow="1" w:lastColumn="0" w:lastRow="0" w:noHBand="0" w:noVBand="1" w:val="04A0"/>
      </w:tblPr>
      <w:tblGrid>
        <w:gridCol w:w="3022"/>
        <w:gridCol w:w="3022"/>
        <w:gridCol w:w="3022"/>
      </w:tblGrid>
      <w:tr>
        <w:tc>
          <w:tcPr>
            <w:tcW w:type="dxa" w:w="3022"/>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影响因素</w:t>
            </w:r>
          </w:p>
        </w:tc>
        <w:tc>
          <w:tcPr>
            <w:tcW w:type="dxa" w:w="3022"/>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回归系数±标准误</w:t>
            </w:r>
          </w:p>
        </w:tc>
        <w:tc>
          <w:tcPr>
            <w:tcW w:type="dxa" w:w="3022"/>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P值</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医院文化</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1.768±0.996</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0.091</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医院资源</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0.111±0.347</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0.752</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医院战略</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-0.965±0.753</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0.214</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路径依赖</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-0.040±0.122</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0.745</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环境因素</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-0.112±0.170</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0.516</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员工因素</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0.589±0.302</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0.065</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管理特征</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-0.265±0.716</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0.715</w:t>
            </w:r>
          </w:p>
        </w:tc>
      </w:tr>
    </w:tbl>
    <w:p/>
    <w:p>
      <w:pPr>
        <w:spacing w:before="240" w:after="120" w:line="360" w:lineRule="auto"/>
      </w:pPr>
      <w:r>
        <w:rPr>
          <w:rFonts w:ascii="黑体" w:hAnsi="黑体" w:eastAsia="黑体"/>
          <w:b/>
          <w:sz w:val="26"/>
        </w:rPr>
        <w:t>（四）协调整合能力</w:t>
      </w:r>
    </w:p>
    <w:p>
      <w:pPr>
        <w:spacing w:line="384" w:lineRule="auto" w:after="60"/>
        <w:ind w:firstLine="480"/>
      </w:pPr>
      <w:r>
        <w:rPr>
          <w:rFonts w:ascii="仿宋" w:hAnsi="仿宋" w:eastAsia="仿宋"/>
          <w:b w:val="0"/>
          <w:sz w:val="24"/>
        </w:rPr>
        <w:t>七类影响因素的影响均未达到统计学显著水平。</w:t>
      </w:r>
    </w:p>
    <w:p>
      <w:pPr>
        <w:spacing w:before="120" w:after="60"/>
        <w:jc w:val="center"/>
      </w:pPr>
      <w:r>
        <w:rPr>
          <w:rFonts w:ascii="黑体" w:hAnsi="黑体" w:eastAsia="黑体"/>
          <w:b/>
          <w:sz w:val="22"/>
        </w:rPr>
        <w:t>表34  协调整合能力影响因素综合调整模型结果</w:t>
      </w:r>
    </w:p>
    <w:tbl>
      <w:tblPr>
        <w:tblW w:type="auto" w:w="0"/>
        <w:jc w:val="center"/>
        <w:tblLayout w:type="fixed"/>
        <w:tblLook w:firstColumn="1" w:firstRow="1" w:lastColumn="0" w:lastRow="0" w:noHBand="0" w:noVBand="1" w:val="04A0"/>
      </w:tblPr>
      <w:tblGrid>
        <w:gridCol w:w="3022"/>
        <w:gridCol w:w="3022"/>
        <w:gridCol w:w="3022"/>
      </w:tblGrid>
      <w:tr>
        <w:tc>
          <w:tcPr>
            <w:tcW w:type="dxa" w:w="3022"/>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影响因素</w:t>
            </w:r>
          </w:p>
        </w:tc>
        <w:tc>
          <w:tcPr>
            <w:tcW w:type="dxa" w:w="3022"/>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回归系数±标准误</w:t>
            </w:r>
          </w:p>
        </w:tc>
        <w:tc>
          <w:tcPr>
            <w:tcW w:type="dxa" w:w="3022"/>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P值</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医院文化</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0.637±0.643</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0.333</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医院资源</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0.130±0.298</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0.666</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医院战略</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0.022±0.567</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0.97</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路径依赖</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-0.082±0.086</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0.352</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环境因素</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0.033±0.141</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0.816</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员工因素</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0.041±0.252</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0.871</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管理特征</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0.157±0.606</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0.798</w:t>
            </w:r>
          </w:p>
        </w:tc>
      </w:tr>
    </w:tbl>
    <w:p/>
    <w:p>
      <w:pPr>
        <w:spacing w:before="240" w:after="120" w:line="360" w:lineRule="auto"/>
      </w:pPr>
      <w:r>
        <w:rPr>
          <w:rFonts w:ascii="黑体" w:hAnsi="黑体" w:eastAsia="黑体"/>
          <w:b/>
          <w:sz w:val="26"/>
        </w:rPr>
        <w:t>（五）创新应用能力</w:t>
      </w:r>
    </w:p>
    <w:p>
      <w:pPr>
        <w:spacing w:line="384" w:lineRule="auto" w:after="60"/>
        <w:ind w:firstLine="480"/>
      </w:pPr>
      <w:r>
        <w:rPr>
          <w:rFonts w:ascii="仿宋" w:hAnsi="仿宋" w:eastAsia="仿宋"/>
          <w:b w:val="0"/>
          <w:sz w:val="24"/>
        </w:rPr>
        <w:t>员工因素对创新应用能力呈显著正向作用（β=0.683，P=0.021），是七类影响因素中唯一达到统计学显著水平的变量。这一发现具有明确的管理含义：创新的"最后一公里"主要依赖于管理者的推动力、医务人员的专业能力以及管理与临床之间的高效协同，因此围绕这三类主体开展能力建设应成为创新驱动的核心抓手。</w:t>
      </w:r>
    </w:p>
    <w:p>
      <w:pPr>
        <w:spacing w:before="120" w:after="60"/>
        <w:jc w:val="center"/>
      </w:pPr>
      <w:r>
        <w:rPr>
          <w:rFonts w:ascii="黑体" w:hAnsi="黑体" w:eastAsia="黑体"/>
          <w:b/>
          <w:sz w:val="22"/>
        </w:rPr>
        <w:t>表35  创新应用能力影响因素综合调整模型结果</w:t>
      </w:r>
    </w:p>
    <w:tbl>
      <w:tblPr>
        <w:tblW w:type="auto" w:w="0"/>
        <w:jc w:val="center"/>
        <w:tblLayout w:type="fixed"/>
        <w:tblLook w:firstColumn="1" w:firstRow="1" w:lastColumn="0" w:lastRow="0" w:noHBand="0" w:noVBand="1" w:val="04A0"/>
      </w:tblPr>
      <w:tblGrid>
        <w:gridCol w:w="3022"/>
        <w:gridCol w:w="3022"/>
        <w:gridCol w:w="3022"/>
      </w:tblGrid>
      <w:tr>
        <w:tc>
          <w:tcPr>
            <w:tcW w:type="dxa" w:w="3022"/>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影响因素</w:t>
            </w:r>
          </w:p>
        </w:tc>
        <w:tc>
          <w:tcPr>
            <w:tcW w:type="dxa" w:w="3022"/>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回归系数±标准误</w:t>
            </w:r>
          </w:p>
        </w:tc>
        <w:tc>
          <w:tcPr>
            <w:tcW w:type="dxa" w:w="3022"/>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P值</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医院文化</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1.192±0.765</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0.134</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医院资源</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0.404±0.403</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0.327</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医院战略</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-0.834±0.697</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0.245</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路径依赖</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-0.115±0.128</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0.377</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环境因素</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0.080±0.150</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0.6</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员工因素</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0.683±0.274</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0.021</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管理特征</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-0.305±0.683</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0.66</w:t>
            </w:r>
          </w:p>
        </w:tc>
      </w:tr>
    </w:tbl>
    <w:p/>
    <w:p>
      <w:pPr>
        <w:spacing w:before="240" w:after="120" w:line="360" w:lineRule="auto"/>
      </w:pPr>
      <w:r>
        <w:rPr>
          <w:rFonts w:ascii="黑体" w:hAnsi="黑体" w:eastAsia="黑体"/>
          <w:b/>
          <w:sz w:val="30"/>
        </w:rPr>
        <w:t>九、公立医院动态能力对医院绩效的影响</w:t>
      </w:r>
    </w:p>
    <w:p>
      <w:pPr>
        <w:spacing w:line="384" w:lineRule="auto" w:after="60"/>
        <w:ind w:firstLine="480"/>
      </w:pPr>
      <w:r>
        <w:rPr>
          <w:rFonts w:ascii="仿宋" w:hAnsi="仿宋" w:eastAsia="仿宋"/>
          <w:b w:val="0"/>
          <w:sz w:val="24"/>
        </w:rPr>
        <w:t>为避免动态能力总分与四个维度同时纳入模型造成的共线性，二者分别建模，仅呈现动态能力指标的结果。模型已控制年龄、性别、教育程度、专业背景、职务、职业类型、职称、工作年限、培训次数及主要工作类型。结果显示，动态能力总分及四个维度与服务量、医疗质量、运营效率、患者满意度、员工满意度、服务公平可及性六项绩效指标均呈显著正向关联，系数和P值稳定，说明"动态能力—医院绩效"的关系具有稳健性。</w:t>
      </w:r>
    </w:p>
    <w:p>
      <w:pPr>
        <w:spacing w:line="384" w:lineRule="auto" w:after="60"/>
        <w:ind w:firstLine="480"/>
      </w:pPr>
      <w:r>
        <w:rPr>
          <w:rFonts w:ascii="仿宋" w:hAnsi="仿宋" w:eastAsia="仿宋"/>
          <w:b w:val="0"/>
          <w:sz w:val="24"/>
        </w:rPr>
        <w:t>从维度层面看，协调整合能力和创新应用能力的回归系数在大多数绩效指标上最高，其次是学习吸收能力，感知识别能力的系数相对最低。这一排序与动态能力的价值链高度一致：感知识别是起点，但真正决定能否转化为绩效的，是后端的资源协同与创新落地。</w:t>
      </w:r>
    </w:p>
    <w:p>
      <w:pPr>
        <w:spacing w:before="240" w:after="120" w:line="360" w:lineRule="auto"/>
      </w:pPr>
      <w:r>
        <w:rPr>
          <w:rFonts w:ascii="黑体" w:hAnsi="黑体" w:eastAsia="黑体"/>
          <w:b/>
          <w:sz w:val="26"/>
        </w:rPr>
        <w:t>（一）服务量</w:t>
      </w:r>
    </w:p>
    <w:p>
      <w:pPr>
        <w:spacing w:line="384" w:lineRule="auto" w:after="60"/>
        <w:ind w:firstLine="480"/>
      </w:pPr>
      <w:r>
        <w:rPr>
          <w:rFonts w:ascii="仿宋" w:hAnsi="仿宋" w:eastAsia="仿宋"/>
          <w:b w:val="0"/>
          <w:sz w:val="24"/>
        </w:rPr>
        <w:t>动态能力总分及四个维度均呈显著正向关联，协调整合能力（0.507）、动态能力总分（0.495）与创新应用能力（0.477）系数相对较高，提示服务量的进一步提升依赖于资源调度与流程衔接的改善。</w:t>
      </w:r>
    </w:p>
    <w:p>
      <w:pPr>
        <w:spacing w:before="120" w:after="60"/>
        <w:jc w:val="center"/>
      </w:pPr>
      <w:r>
        <w:rPr>
          <w:rFonts w:ascii="黑体" w:hAnsi="黑体" w:eastAsia="黑体"/>
          <w:b/>
          <w:sz w:val="22"/>
        </w:rPr>
        <w:t>表36  服务量影响结果</w:t>
      </w:r>
    </w:p>
    <w:tbl>
      <w:tblPr>
        <w:tblW w:type="auto" w:w="0"/>
        <w:jc w:val="center"/>
        <w:tblLayout w:type="fixed"/>
        <w:tblLook w:firstColumn="1" w:firstRow="1" w:lastColumn="0" w:lastRow="0" w:noHBand="0" w:noVBand="1" w:val="04A0"/>
      </w:tblPr>
      <w:tblGrid>
        <w:gridCol w:w="3022"/>
        <w:gridCol w:w="3022"/>
        <w:gridCol w:w="3022"/>
      </w:tblGrid>
      <w:tr>
        <w:tc>
          <w:tcPr>
            <w:tcW w:type="dxa" w:w="3022"/>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动态能力指标</w:t>
            </w:r>
          </w:p>
        </w:tc>
        <w:tc>
          <w:tcPr>
            <w:tcW w:type="dxa" w:w="3022"/>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回归系数±标准误</w:t>
            </w:r>
          </w:p>
        </w:tc>
        <w:tc>
          <w:tcPr>
            <w:tcW w:type="dxa" w:w="3022"/>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P值</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动态能力总分</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0.495±0.119</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&lt;0.001</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感知识别能力</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0.356±0.140</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0.017</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学习吸收能力</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0.447±0.102</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&lt;0.001</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协调整合能力</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0.507±0.123</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&lt;0.001</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创新应用能力</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0.477±0.097</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&lt;0.001</w:t>
            </w:r>
          </w:p>
        </w:tc>
      </w:tr>
    </w:tbl>
    <w:p/>
    <w:p>
      <w:pPr>
        <w:spacing w:before="240" w:after="120" w:line="360" w:lineRule="auto"/>
      </w:pPr>
      <w:r>
        <w:rPr>
          <w:rFonts w:ascii="黑体" w:hAnsi="黑体" w:eastAsia="黑体"/>
          <w:b/>
          <w:sz w:val="26"/>
        </w:rPr>
        <w:t>（二）医疗质量</w:t>
      </w:r>
    </w:p>
    <w:p>
      <w:pPr>
        <w:spacing w:line="384" w:lineRule="auto" w:after="60"/>
        <w:ind w:firstLine="480"/>
      </w:pPr>
      <w:r>
        <w:rPr>
          <w:rFonts w:ascii="仿宋" w:hAnsi="仿宋" w:eastAsia="仿宋"/>
          <w:b w:val="0"/>
          <w:sz w:val="24"/>
        </w:rPr>
        <w:t>协调整合能力（0.489）和创新应用能力（0.461）系数较高，提示医疗质量提升更多来自于资源整合与临床创新的持续推进。</w:t>
      </w:r>
    </w:p>
    <w:p>
      <w:pPr>
        <w:spacing w:before="120" w:after="60"/>
        <w:jc w:val="center"/>
      </w:pPr>
      <w:r>
        <w:rPr>
          <w:rFonts w:ascii="黑体" w:hAnsi="黑体" w:eastAsia="黑体"/>
          <w:b/>
          <w:sz w:val="22"/>
        </w:rPr>
        <w:t>表37  医疗质量影响结果</w:t>
      </w:r>
    </w:p>
    <w:tbl>
      <w:tblPr>
        <w:tblW w:type="auto" w:w="0"/>
        <w:jc w:val="center"/>
        <w:tblLayout w:type="fixed"/>
        <w:tblLook w:firstColumn="1" w:firstRow="1" w:lastColumn="0" w:lastRow="0" w:noHBand="0" w:noVBand="1" w:val="04A0"/>
      </w:tblPr>
      <w:tblGrid>
        <w:gridCol w:w="3022"/>
        <w:gridCol w:w="3022"/>
        <w:gridCol w:w="3022"/>
      </w:tblGrid>
      <w:tr>
        <w:tc>
          <w:tcPr>
            <w:tcW w:type="dxa" w:w="3022"/>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动态能力指标</w:t>
            </w:r>
          </w:p>
        </w:tc>
        <w:tc>
          <w:tcPr>
            <w:tcW w:type="dxa" w:w="3022"/>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回归系数±标准误</w:t>
            </w:r>
          </w:p>
        </w:tc>
        <w:tc>
          <w:tcPr>
            <w:tcW w:type="dxa" w:w="3022"/>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P值</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动态能力总分</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0.476±0.132</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0.001</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感知识别能力</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0.326±0.143</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0.031</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学习吸收能力</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0.438±0.118</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0.001</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协调整合能力</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0.489±0.137</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0.001</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创新应用能力</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0.461±0.116</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&lt;0.001</w:t>
            </w:r>
          </w:p>
        </w:tc>
      </w:tr>
    </w:tbl>
    <w:p/>
    <w:p>
      <w:pPr>
        <w:spacing w:before="240" w:after="120" w:line="360" w:lineRule="auto"/>
      </w:pPr>
      <w:r>
        <w:rPr>
          <w:rFonts w:ascii="黑体" w:hAnsi="黑体" w:eastAsia="黑体"/>
          <w:b/>
          <w:sz w:val="26"/>
        </w:rPr>
        <w:t>（三）运营效率</w:t>
      </w:r>
    </w:p>
    <w:p>
      <w:pPr>
        <w:spacing w:line="384" w:lineRule="auto" w:after="60"/>
        <w:ind w:firstLine="480"/>
      </w:pPr>
      <w:r>
        <w:rPr>
          <w:rFonts w:ascii="仿宋" w:hAnsi="仿宋" w:eastAsia="仿宋"/>
          <w:b w:val="0"/>
          <w:sz w:val="24"/>
        </w:rPr>
        <w:t>协调整合能力（0.448）和动态能力总分（0.435）系数较高，说明运营效率的改善与跨部门协同、流程衔接和资源配置密切相关。</w:t>
      </w:r>
    </w:p>
    <w:p>
      <w:pPr>
        <w:spacing w:before="120" w:after="60"/>
        <w:jc w:val="center"/>
      </w:pPr>
      <w:r>
        <w:rPr>
          <w:rFonts w:ascii="黑体" w:hAnsi="黑体" w:eastAsia="黑体"/>
          <w:b/>
          <w:sz w:val="22"/>
        </w:rPr>
        <w:t>表38  运营效率影响结果</w:t>
      </w:r>
    </w:p>
    <w:tbl>
      <w:tblPr>
        <w:tblW w:type="auto" w:w="0"/>
        <w:jc w:val="center"/>
        <w:tblLayout w:type="fixed"/>
        <w:tblLook w:firstColumn="1" w:firstRow="1" w:lastColumn="0" w:lastRow="0" w:noHBand="0" w:noVBand="1" w:val="04A0"/>
      </w:tblPr>
      <w:tblGrid>
        <w:gridCol w:w="3022"/>
        <w:gridCol w:w="3022"/>
        <w:gridCol w:w="3022"/>
      </w:tblGrid>
      <w:tr>
        <w:tc>
          <w:tcPr>
            <w:tcW w:type="dxa" w:w="3022"/>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动态能力指标</w:t>
            </w:r>
          </w:p>
        </w:tc>
        <w:tc>
          <w:tcPr>
            <w:tcW w:type="dxa" w:w="3022"/>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回归系数±标准误</w:t>
            </w:r>
          </w:p>
        </w:tc>
        <w:tc>
          <w:tcPr>
            <w:tcW w:type="dxa" w:w="3022"/>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P值</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动态能力总分</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0.435±0.118</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0.001</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感知识别能力</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0.306±0.133</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0.029</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学习吸收能力</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0.396±0.104</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0.001</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协调整合能力</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0.448±0.125</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0.001</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创新应用能力</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0.419±0.103</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&lt;0.001</w:t>
            </w:r>
          </w:p>
        </w:tc>
      </w:tr>
    </w:tbl>
    <w:p/>
    <w:p>
      <w:pPr>
        <w:spacing w:before="240" w:after="120" w:line="360" w:lineRule="auto"/>
      </w:pPr>
      <w:r>
        <w:rPr>
          <w:rFonts w:ascii="黑体" w:hAnsi="黑体" w:eastAsia="黑体"/>
          <w:b/>
          <w:sz w:val="26"/>
        </w:rPr>
        <w:t>（四）患者满意度</w:t>
      </w:r>
    </w:p>
    <w:p>
      <w:pPr>
        <w:spacing w:line="384" w:lineRule="auto" w:after="60"/>
        <w:ind w:firstLine="480"/>
      </w:pPr>
      <w:r>
        <w:rPr>
          <w:rFonts w:ascii="仿宋" w:hAnsi="仿宋" w:eastAsia="仿宋"/>
          <w:b w:val="0"/>
          <w:sz w:val="24"/>
        </w:rPr>
        <w:t>协调整合能力（0.637）对患者满意度的影响最为突出，创新应用能力（0.548）次之，提示患者体验的持续改善需要从流程协同、服务创新和资源响应三方面协同发力。</w:t>
      </w:r>
    </w:p>
    <w:p>
      <w:pPr>
        <w:spacing w:before="120" w:after="60"/>
        <w:jc w:val="center"/>
      </w:pPr>
      <w:r>
        <w:rPr>
          <w:rFonts w:ascii="黑体" w:hAnsi="黑体" w:eastAsia="黑体"/>
          <w:b/>
          <w:sz w:val="22"/>
        </w:rPr>
        <w:t>表39  患者满意度影响结果</w:t>
      </w:r>
    </w:p>
    <w:tbl>
      <w:tblPr>
        <w:tblW w:type="auto" w:w="0"/>
        <w:jc w:val="center"/>
        <w:tblLayout w:type="fixed"/>
        <w:tblLook w:firstColumn="1" w:firstRow="1" w:lastColumn="0" w:lastRow="0" w:noHBand="0" w:noVBand="1" w:val="04A0"/>
      </w:tblPr>
      <w:tblGrid>
        <w:gridCol w:w="3022"/>
        <w:gridCol w:w="3022"/>
        <w:gridCol w:w="3022"/>
      </w:tblGrid>
      <w:tr>
        <w:tc>
          <w:tcPr>
            <w:tcW w:type="dxa" w:w="3022"/>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动态能力指标</w:t>
            </w:r>
          </w:p>
        </w:tc>
        <w:tc>
          <w:tcPr>
            <w:tcW w:type="dxa" w:w="3022"/>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回归系数±标准误</w:t>
            </w:r>
          </w:p>
        </w:tc>
        <w:tc>
          <w:tcPr>
            <w:tcW w:type="dxa" w:w="3022"/>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P值</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动态能力总分</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0.577±0.132</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&lt;0.001</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感知识别能力</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0.385±0.151</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0.017</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学习吸收能力</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0.518±0.120</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&lt;0.001</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协调整合能力</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0.637±0.137</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&lt;0.001</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创新应用能力</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0.548±0.114</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&lt;0.001</w:t>
            </w:r>
          </w:p>
        </w:tc>
      </w:tr>
    </w:tbl>
    <w:p/>
    <w:p>
      <w:pPr>
        <w:spacing w:before="240" w:after="120" w:line="360" w:lineRule="auto"/>
      </w:pPr>
      <w:r>
        <w:rPr>
          <w:rFonts w:ascii="黑体" w:hAnsi="黑体" w:eastAsia="黑体"/>
          <w:b/>
          <w:sz w:val="26"/>
        </w:rPr>
        <w:t>（五）员工满意度</w:t>
      </w:r>
    </w:p>
    <w:p>
      <w:pPr>
        <w:spacing w:line="384" w:lineRule="auto" w:after="60"/>
        <w:ind w:firstLine="480"/>
      </w:pPr>
      <w:r>
        <w:rPr>
          <w:rFonts w:ascii="仿宋" w:hAnsi="仿宋" w:eastAsia="仿宋"/>
          <w:b w:val="0"/>
          <w:sz w:val="24"/>
        </w:rPr>
        <w:t>协调整合能力（0.570）、动态能力总分（0.525）与学习吸收能力（0.483）系数较高，说明组织运行顺畅、学习支持到位、资源协同良好的工作环境，对员工感受具有显著积极作用。</w:t>
      </w:r>
    </w:p>
    <w:p>
      <w:pPr>
        <w:spacing w:before="120" w:after="60"/>
        <w:jc w:val="center"/>
      </w:pPr>
      <w:r>
        <w:rPr>
          <w:rFonts w:ascii="黑体" w:hAnsi="黑体" w:eastAsia="黑体"/>
          <w:b/>
          <w:sz w:val="22"/>
        </w:rPr>
        <w:t>表40  员工满意度影响结果</w:t>
      </w:r>
    </w:p>
    <w:tbl>
      <w:tblPr>
        <w:tblW w:type="auto" w:w="0"/>
        <w:jc w:val="center"/>
        <w:tblLayout w:type="fixed"/>
        <w:tblLook w:firstColumn="1" w:firstRow="1" w:lastColumn="0" w:lastRow="0" w:noHBand="0" w:noVBand="1" w:val="04A0"/>
      </w:tblPr>
      <w:tblGrid>
        <w:gridCol w:w="3022"/>
        <w:gridCol w:w="3022"/>
        <w:gridCol w:w="3022"/>
      </w:tblGrid>
      <w:tr>
        <w:tc>
          <w:tcPr>
            <w:tcW w:type="dxa" w:w="3022"/>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动态能力指标</w:t>
            </w:r>
          </w:p>
        </w:tc>
        <w:tc>
          <w:tcPr>
            <w:tcW w:type="dxa" w:w="3022"/>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回归系数±标准误</w:t>
            </w:r>
          </w:p>
        </w:tc>
        <w:tc>
          <w:tcPr>
            <w:tcW w:type="dxa" w:w="3022"/>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P值</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动态能力总分</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0.525±0.132</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&lt;0.001</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感知识别能力</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0.367±0.149</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0.021</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学习吸收能力</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0.483±0.120</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&lt;0.001</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协调整合能力</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0.570±0.138</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&lt;0.001</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创新应用能力</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0.482±0.105</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&lt;0.001</w:t>
            </w:r>
          </w:p>
        </w:tc>
      </w:tr>
    </w:tbl>
    <w:p/>
    <w:p>
      <w:pPr>
        <w:spacing w:before="240" w:after="120" w:line="360" w:lineRule="auto"/>
      </w:pPr>
      <w:r>
        <w:rPr>
          <w:rFonts w:ascii="黑体" w:hAnsi="黑体" w:eastAsia="黑体"/>
          <w:b/>
          <w:sz w:val="26"/>
        </w:rPr>
        <w:t>（六）服务公平可及性</w:t>
      </w:r>
    </w:p>
    <w:p>
      <w:pPr>
        <w:spacing w:line="384" w:lineRule="auto" w:after="60"/>
        <w:ind w:firstLine="480"/>
      </w:pPr>
      <w:r>
        <w:rPr>
          <w:rFonts w:ascii="仿宋" w:hAnsi="仿宋" w:eastAsia="仿宋"/>
          <w:b w:val="0"/>
          <w:sz w:val="24"/>
        </w:rPr>
        <w:t>协调整合能力（0.503）与创新应用能力（0.440）系数较高，提示在服务公平可及性的提升上，优化资源配置、推动流程协同与服务创新是关键路径。</w:t>
      </w:r>
    </w:p>
    <w:p>
      <w:pPr>
        <w:spacing w:before="120" w:after="60"/>
        <w:jc w:val="center"/>
      </w:pPr>
      <w:r>
        <w:rPr>
          <w:rFonts w:ascii="黑体" w:hAnsi="黑体" w:eastAsia="黑体"/>
          <w:b/>
          <w:sz w:val="22"/>
        </w:rPr>
        <w:t>表41  服务公平可及性影响结果</w:t>
      </w:r>
    </w:p>
    <w:tbl>
      <w:tblPr>
        <w:tblW w:type="auto" w:w="0"/>
        <w:jc w:val="center"/>
        <w:tblLayout w:type="fixed"/>
        <w:tblLook w:firstColumn="1" w:firstRow="1" w:lastColumn="0" w:lastRow="0" w:noHBand="0" w:noVBand="1" w:val="04A0"/>
      </w:tblPr>
      <w:tblGrid>
        <w:gridCol w:w="3022"/>
        <w:gridCol w:w="3022"/>
        <w:gridCol w:w="3022"/>
      </w:tblGrid>
      <w:tr>
        <w:tc>
          <w:tcPr>
            <w:tcW w:type="dxa" w:w="3022"/>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动态能力指标</w:t>
            </w:r>
          </w:p>
        </w:tc>
        <w:tc>
          <w:tcPr>
            <w:tcW w:type="dxa" w:w="3022"/>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回归系数±标准误</w:t>
            </w:r>
          </w:p>
        </w:tc>
        <w:tc>
          <w:tcPr>
            <w:tcW w:type="dxa" w:w="3022"/>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P值</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动态能力总分</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0.456±0.108</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&lt;0.001</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感知识别能力</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0.299±0.125</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0.024</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学习吸收能力</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0.406±0.096</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&lt;0.001</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协调整合能力</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0.503±0.117</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&lt;0.001</w:t>
            </w:r>
          </w:p>
        </w:tc>
      </w:tr>
      <w:tr>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创新应用能力</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0.440±0.091</w:t>
            </w:r>
          </w:p>
        </w:tc>
        <w:tc>
          <w:tcPr>
            <w:tcW w:type="dxa" w:w="3022"/>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&lt;0.001</w:t>
            </w:r>
          </w:p>
        </w:tc>
      </w:tr>
    </w:tbl>
    <w:p/>
    <w:p>
      <w:pPr>
        <w:spacing w:before="240" w:after="120" w:line="360" w:lineRule="auto"/>
      </w:pPr>
      <w:r>
        <w:rPr>
          <w:rFonts w:ascii="黑体" w:hAnsi="黑体" w:eastAsia="黑体"/>
          <w:b/>
          <w:sz w:val="30"/>
        </w:rPr>
        <w:t>十、该院与其他上海市公立医院动态能力均值对比</w:t>
      </w:r>
    </w:p>
    <w:p>
      <w:pPr>
        <w:spacing w:line="384" w:lineRule="auto" w:after="60"/>
        <w:ind w:firstLine="480"/>
      </w:pPr>
      <w:r>
        <w:rPr>
          <w:rFonts w:ascii="仿宋" w:hAnsi="仿宋" w:eastAsia="仿宋"/>
          <w:b w:val="0"/>
          <w:sz w:val="24"/>
        </w:rPr>
        <w:t>为更直观地判断本院动态能力建设的外部相对位置，本部分将该院得分与同期调研的其他12家上海市公立医院进行均值对比，该结果为描述性分析，仅用作管理参考。</w:t>
      </w:r>
    </w:p>
    <w:p>
      <w:pPr>
        <w:spacing w:line="384" w:lineRule="auto" w:after="60"/>
        <w:ind w:firstLine="480"/>
      </w:pPr>
      <w:r>
        <w:rPr>
          <w:rFonts w:ascii="仿宋" w:hAnsi="仿宋" w:eastAsia="仿宋"/>
          <w:b w:val="0"/>
          <w:sz w:val="24"/>
        </w:rPr>
        <w:t>总体来看，该院动态能力总分及四个维度均低于其他12家上海市公立医院平均水平。差距从大到小依次为：创新应用能力（-0.538）、感知识别能力（-0.510）、协调整合能力（-0.436）、动态能力总分（-0.457）、学习吸收能力（-0.342）。创新应用能力与感知识别能力成为与市内同类医院最主要的落差来源，也印证了前述内部分析中"外部感知较强但落地较弱"的结构性判断——从横向对比看，本院不仅"落地"有差距，"外部捕捉"环节同样存在明显提升空间；协调整合能力的差距进一步说明跨科室协同与资源统筹仍需系统性优化；学习吸收能力虽有差距但相对较小，可在现有培训和知识转化机制基础上稳步巩固。</w:t>
      </w:r>
    </w:p>
    <w:p>
      <w:pPr>
        <w:spacing w:before="120" w:after="60"/>
        <w:jc w:val="center"/>
      </w:pPr>
      <w:r>
        <w:rPr>
          <w:rFonts w:ascii="黑体" w:hAnsi="黑体" w:eastAsia="黑体"/>
          <w:b/>
          <w:sz w:val="22"/>
        </w:rPr>
        <w:t>表42  该院与其他12家上海市公立医院动态能力均值对比</w:t>
      </w:r>
    </w:p>
    <w:tbl>
      <w:tblPr>
        <w:tblW w:type="auto" w:w="0"/>
        <w:jc w:val="center"/>
        <w:tblLayout w:type="fixed"/>
        <w:tblLook w:firstColumn="1" w:firstRow="1" w:lastColumn="0" w:lastRow="0" w:noHBand="0" w:noVBand="1" w:val="04A0"/>
      </w:tblPr>
      <w:tblGrid>
        <w:gridCol w:w="1813"/>
        <w:gridCol w:w="1813"/>
        <w:gridCol w:w="1813"/>
        <w:gridCol w:w="1813"/>
        <w:gridCol w:w="1813"/>
      </w:tblGrid>
      <w:tr>
        <w:tc>
          <w:tcPr>
            <w:tcW w:type="dxa" w:w="1813"/>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指标</w:t>
            </w:r>
          </w:p>
        </w:tc>
        <w:tc>
          <w:tcPr>
            <w:tcW w:type="dxa" w:w="1813"/>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该院均值</w:t>
            </w:r>
          </w:p>
        </w:tc>
        <w:tc>
          <w:tcPr>
            <w:tcW w:type="dxa" w:w="1813"/>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其他12家医院均值±标准差</w:t>
            </w:r>
          </w:p>
        </w:tc>
        <w:tc>
          <w:tcPr>
            <w:tcW w:type="dxa" w:w="1813"/>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差值（该院-其他医院）</w:t>
            </w:r>
          </w:p>
        </w:tc>
        <w:tc>
          <w:tcPr>
            <w:tcW w:type="dxa" w:w="1813"/>
            <w:vAlign w:val="center"/>
            <w:shd w:val="clear" w:color="auto" w:fill="DCE6F1"/>
            <w:tcBorders>
              <w:top w:val="single" w:sz="6" w:color="000000"/>
              <w:left w:val="single" w:sz="6" w:color="000000"/>
              <w:bottom w:val="single" w:sz="6" w:color="000000"/>
              <w:right w:val="single" w:sz="6" w:color="000000"/>
            </w:tcBorders>
          </w:tcPr>
          <w:p>
            <w:pPr>
              <w:jc w:val="center"/>
            </w:pPr>
            <w:r/>
            <w:r>
              <w:rPr>
                <w:rFonts w:ascii="黑体" w:hAnsi="黑体" w:eastAsia="黑体"/>
                <w:b/>
                <w:sz w:val="21"/>
              </w:rPr>
              <w:t>对比情况</w:t>
            </w:r>
          </w:p>
        </w:tc>
      </w:tr>
      <w:tr>
        <w:tc>
          <w:tcPr>
            <w:tcW w:type="dxa" w:w="1813"/>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动态能力总分</w:t>
            </w:r>
          </w:p>
        </w:tc>
        <w:tc>
          <w:tcPr>
            <w:tcW w:type="dxa" w:w="1813"/>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3.918</w:t>
            </w:r>
          </w:p>
        </w:tc>
        <w:tc>
          <w:tcPr>
            <w:tcW w:type="dxa" w:w="1813"/>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4.375±0.638</w:t>
            </w:r>
          </w:p>
        </w:tc>
        <w:tc>
          <w:tcPr>
            <w:tcW w:type="dxa" w:w="1813"/>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-0.457</w:t>
            </w:r>
          </w:p>
        </w:tc>
        <w:tc>
          <w:tcPr>
            <w:tcW w:type="dxa" w:w="1813"/>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低于其他医院平均水平</w:t>
            </w:r>
          </w:p>
        </w:tc>
      </w:tr>
      <w:tr>
        <w:tc>
          <w:tcPr>
            <w:tcW w:type="dxa" w:w="1813"/>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感知识别能力</w:t>
            </w:r>
          </w:p>
        </w:tc>
        <w:tc>
          <w:tcPr>
            <w:tcW w:type="dxa" w:w="1813"/>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3.981</w:t>
            </w:r>
          </w:p>
        </w:tc>
        <w:tc>
          <w:tcPr>
            <w:tcW w:type="dxa" w:w="1813"/>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4.491±0.639</w:t>
            </w:r>
          </w:p>
        </w:tc>
        <w:tc>
          <w:tcPr>
            <w:tcW w:type="dxa" w:w="1813"/>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-0.510</w:t>
            </w:r>
          </w:p>
        </w:tc>
        <w:tc>
          <w:tcPr>
            <w:tcW w:type="dxa" w:w="1813"/>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低于其他医院平均水平</w:t>
            </w:r>
          </w:p>
        </w:tc>
      </w:tr>
      <w:tr>
        <w:tc>
          <w:tcPr>
            <w:tcW w:type="dxa" w:w="1813"/>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学习吸收能力</w:t>
            </w:r>
          </w:p>
        </w:tc>
        <w:tc>
          <w:tcPr>
            <w:tcW w:type="dxa" w:w="1813"/>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3.898</w:t>
            </w:r>
          </w:p>
        </w:tc>
        <w:tc>
          <w:tcPr>
            <w:tcW w:type="dxa" w:w="1813"/>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4.240±0.785</w:t>
            </w:r>
          </w:p>
        </w:tc>
        <w:tc>
          <w:tcPr>
            <w:tcW w:type="dxa" w:w="1813"/>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-0.342</w:t>
            </w:r>
          </w:p>
        </w:tc>
        <w:tc>
          <w:tcPr>
            <w:tcW w:type="dxa" w:w="1813"/>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低于其他医院平均水平</w:t>
            </w:r>
          </w:p>
        </w:tc>
      </w:tr>
      <w:tr>
        <w:tc>
          <w:tcPr>
            <w:tcW w:type="dxa" w:w="1813"/>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协调整合能力</w:t>
            </w:r>
          </w:p>
        </w:tc>
        <w:tc>
          <w:tcPr>
            <w:tcW w:type="dxa" w:w="1813"/>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3.952</w:t>
            </w:r>
          </w:p>
        </w:tc>
        <w:tc>
          <w:tcPr>
            <w:tcW w:type="dxa" w:w="1813"/>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4.388±0.641</w:t>
            </w:r>
          </w:p>
        </w:tc>
        <w:tc>
          <w:tcPr>
            <w:tcW w:type="dxa" w:w="1813"/>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-0.436</w:t>
            </w:r>
          </w:p>
        </w:tc>
        <w:tc>
          <w:tcPr>
            <w:tcW w:type="dxa" w:w="1813"/>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低于其他医院平均水平</w:t>
            </w:r>
          </w:p>
        </w:tc>
      </w:tr>
      <w:tr>
        <w:tc>
          <w:tcPr>
            <w:tcW w:type="dxa" w:w="1813"/>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创新应用能力</w:t>
            </w:r>
          </w:p>
        </w:tc>
        <w:tc>
          <w:tcPr>
            <w:tcW w:type="dxa" w:w="1813"/>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3.842</w:t>
            </w:r>
          </w:p>
        </w:tc>
        <w:tc>
          <w:tcPr>
            <w:tcW w:type="dxa" w:w="1813"/>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4.380±0.666</w:t>
            </w:r>
          </w:p>
        </w:tc>
        <w:tc>
          <w:tcPr>
            <w:tcW w:type="dxa" w:w="1813"/>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-0.538</w:t>
            </w:r>
          </w:p>
        </w:tc>
        <w:tc>
          <w:tcPr>
            <w:tcW w:type="dxa" w:w="1813"/>
            <w:vAlign w:val="center"/>
            <w:tcBorders>
              <w:top w:val="single" w:sz="6" w:color="000000"/>
              <w:left w:val="single" w:sz="6" w:color="000000"/>
              <w:bottom w:val="single" w:sz="6" w:color="000000"/>
              <w:right w:val="single" w:sz="6" w:color="000000"/>
            </w:tcBorders>
          </w:tcPr>
          <w:p>
            <w:pPr>
              <w:jc w:val="center"/>
            </w:pPr>
            <w:r/>
            <w:r>
              <w:rPr>
                <w:rFonts w:ascii="仿宋" w:hAnsi="仿宋" w:eastAsia="仿宋"/>
                <w:b w:val="0"/>
                <w:sz w:val="21"/>
              </w:rPr>
              <w:t>低于其他医院平均水平</w:t>
            </w:r>
          </w:p>
        </w:tc>
      </w:tr>
    </w:tbl>
    <w:p/>
    <w:p>
      <w:pPr>
        <w:spacing w:before="240" w:after="120" w:line="360" w:lineRule="auto"/>
      </w:pPr>
      <w:r>
        <w:rPr>
          <w:rFonts w:ascii="黑体" w:hAnsi="黑体" w:eastAsia="黑体"/>
          <w:b/>
          <w:sz w:val="30"/>
        </w:rPr>
        <w:t>十一、发展建议</w:t>
      </w:r>
    </w:p>
    <w:p>
      <w:pPr>
        <w:spacing w:line="384" w:lineRule="auto" w:after="60"/>
        <w:ind w:firstLine="480"/>
      </w:pPr>
      <w:r>
        <w:rPr>
          <w:rFonts w:ascii="仿宋" w:hAnsi="仿宋" w:eastAsia="仿宋"/>
          <w:b w:val="0"/>
          <w:sz w:val="24"/>
        </w:rPr>
        <w:t>结合上述分析，本院动态能力建设应把握"以员工因素为核心驱动、以创新应用为突破口、以协调整合为关键支撑、以感知识别为前提条件"的总体方向，形成"战略—机制—人群—项目"四位一体的实施路径。具体建议如下：</w:t>
      </w:r>
    </w:p>
    <w:p>
      <w:pPr>
        <w:spacing w:before="240" w:after="120" w:line="360" w:lineRule="auto"/>
      </w:pPr>
      <w:r>
        <w:rPr>
          <w:rFonts w:ascii="黑体" w:hAnsi="黑体" w:eastAsia="黑体"/>
          <w:b/>
          <w:sz w:val="26"/>
        </w:rPr>
        <w:t>（一）战略方向：将动态能力纳入医院中长期发展规划</w:t>
      </w:r>
    </w:p>
    <w:p>
      <w:pPr>
        <w:spacing w:line="384" w:lineRule="auto" w:after="60"/>
        <w:ind w:firstLine="480"/>
      </w:pPr>
      <w:r>
        <w:rPr>
          <w:rFonts w:ascii="仿宋" w:hAnsi="仿宋" w:eastAsia="仿宋"/>
          <w:b w:val="0"/>
          <w:sz w:val="24"/>
        </w:rPr>
        <w:t>一是将动态能力四个维度作为医院发展规划的能力主线之一，纳入年度重点任务分解和综合目标考核体系；</w:t>
      </w:r>
    </w:p>
    <w:p>
      <w:pPr>
        <w:spacing w:line="384" w:lineRule="auto" w:after="60"/>
        <w:ind w:firstLine="480"/>
      </w:pPr>
      <w:r>
        <w:rPr>
          <w:rFonts w:ascii="仿宋" w:hAnsi="仿宋" w:eastAsia="仿宋"/>
          <w:b w:val="0"/>
          <w:sz w:val="24"/>
        </w:rPr>
        <w:t>二是在分管领导牵头下，由医务、人事、运营管理、信息等部门共同参与，建立"动态能力专项工作机制"，明确牵头部门与配合部门的职责边界；</w:t>
      </w:r>
    </w:p>
    <w:p>
      <w:pPr>
        <w:spacing w:line="384" w:lineRule="auto" w:after="60"/>
        <w:ind w:firstLine="480"/>
      </w:pPr>
      <w:r>
        <w:rPr>
          <w:rFonts w:ascii="仿宋" w:hAnsi="仿宋" w:eastAsia="仿宋"/>
          <w:b w:val="0"/>
          <w:sz w:val="24"/>
        </w:rPr>
        <w:t>三是结合上海市公立医院横向对比结果，设立3年与5年的能力追赶目标，在创新应用、感知识别、协调整合三项落差较大的维度上形成清晰的阶段性指标。</w:t>
      </w:r>
    </w:p>
    <w:p>
      <w:pPr>
        <w:spacing w:before="240" w:after="120" w:line="360" w:lineRule="auto"/>
      </w:pPr>
      <w:r>
        <w:rPr>
          <w:rFonts w:ascii="黑体" w:hAnsi="黑体" w:eastAsia="黑体"/>
          <w:b/>
          <w:sz w:val="26"/>
        </w:rPr>
        <w:t>（二）维度建议：围绕四个维度设计差异化提升路径</w:t>
      </w:r>
    </w:p>
    <w:p>
      <w:pPr>
        <w:spacing w:line="384" w:lineRule="auto" w:after="60"/>
        <w:ind w:firstLine="480"/>
      </w:pPr>
      <w:r>
        <w:rPr>
          <w:rFonts w:ascii="仿宋" w:hAnsi="仿宋" w:eastAsia="仿宋"/>
          <w:b w:val="0"/>
          <w:sz w:val="24"/>
        </w:rPr>
        <w:t>1. 感知识别能力：建立"政策—需求—技术—行业"四线信息常态化跟踪机制。依托医务处、运营管理办和信息部门整合政策研判、患者反馈、同行发展动向、新技术评估四条线索，形成定期简报与月度研讨制度；在急诊相关科室、儿科等感知偏弱的科室设立"信息联络员"岗位。</w:t>
      </w:r>
    </w:p>
    <w:p>
      <w:pPr>
        <w:spacing w:line="384" w:lineRule="auto" w:after="60"/>
        <w:ind w:firstLine="480"/>
      </w:pPr>
      <w:r>
        <w:rPr>
          <w:rFonts w:ascii="仿宋" w:hAnsi="仿宋" w:eastAsia="仿宋"/>
          <w:b w:val="0"/>
          <w:sz w:val="24"/>
        </w:rPr>
        <w:t>2. 学习吸收能力：针对副高和正高职称人员设计"资深骨干能力更新计划"，通过高层次进修、跨医院/跨学科交流、前沿主题工作坊等方式，补足高职称群体的相对短板；同时保留并强化现有面向初中级人员的培训体系，形成梯度互补。</w:t>
      </w:r>
    </w:p>
    <w:p>
      <w:pPr>
        <w:spacing w:line="384" w:lineRule="auto" w:after="60"/>
        <w:ind w:firstLine="480"/>
      </w:pPr>
      <w:r>
        <w:rPr>
          <w:rFonts w:ascii="仿宋" w:hAnsi="仿宋" w:eastAsia="仿宋"/>
          <w:b w:val="0"/>
          <w:sz w:val="24"/>
        </w:rPr>
        <w:t>3. 协调整合能力：以多学科协作（MDT）、临床路径优化、重点病种管理、运营数据共享为抓手，系统推进跨科室协同机制建设；重点打通门急诊—病房—医技—后勤的流程接口，把"协同能力"融入绩效考核与评优评先标准。</w:t>
      </w:r>
    </w:p>
    <w:p>
      <w:pPr>
        <w:spacing w:line="384" w:lineRule="auto" w:after="60"/>
        <w:ind w:firstLine="480"/>
      </w:pPr>
      <w:r>
        <w:rPr>
          <w:rFonts w:ascii="仿宋" w:hAnsi="仿宋" w:eastAsia="仿宋"/>
          <w:b w:val="0"/>
          <w:sz w:val="24"/>
        </w:rPr>
        <w:t>4. 创新应用能力：建立"项目制+揭榜制"相结合的院级创新管理平台，围绕服务流程改进、医疗新技术引入、管理工具应用、跨机构合作四类方向设立创新清单；重点激发外科系、急诊相关科室的创新参与度，在投入产出、激励分配、容错机制上予以倾斜。</w:t>
      </w:r>
    </w:p>
    <w:p>
      <w:pPr>
        <w:spacing w:before="240" w:after="120" w:line="360" w:lineRule="auto"/>
      </w:pPr>
      <w:r>
        <w:rPr>
          <w:rFonts w:ascii="黑体" w:hAnsi="黑体" w:eastAsia="黑体"/>
          <w:b/>
          <w:sz w:val="26"/>
        </w:rPr>
        <w:t>（三）人群分层：强化"中层负责人+高级职称人员+医生群体"三类重点人群</w:t>
      </w:r>
    </w:p>
    <w:p>
      <w:pPr>
        <w:spacing w:line="384" w:lineRule="auto" w:after="60"/>
        <w:ind w:firstLine="480"/>
      </w:pPr>
      <w:r>
        <w:rPr>
          <w:rFonts w:ascii="仿宋" w:hAnsi="仿宋" w:eastAsia="仿宋"/>
          <w:b w:val="0"/>
          <w:sz w:val="24"/>
        </w:rPr>
        <w:t>1. 中层负责人（科室负责人）：作为动态能力自评偏低、且在承上启下中承担关键作用的群体，应加强管理能力培训、变革领导力训练，并通过授权减负、明确考核边界等方式降低其管理摩擦，使其能更积极地投身创新与协同。</w:t>
      </w:r>
    </w:p>
    <w:p>
      <w:pPr>
        <w:spacing w:line="384" w:lineRule="auto" w:after="60"/>
        <w:ind w:firstLine="480"/>
      </w:pPr>
      <w:r>
        <w:rPr>
          <w:rFonts w:ascii="仿宋" w:hAnsi="仿宋" w:eastAsia="仿宋"/>
          <w:b w:val="0"/>
          <w:sz w:val="24"/>
        </w:rPr>
        <w:t>2. 高级职称人员（副高、正高）：以"专业领军+管理参与"双轨并进模式，设立学科带头人培育计划、医院重大改革项目PI制度等，将其资历优势转化为制度内推动动态能力提升的力量。</w:t>
      </w:r>
    </w:p>
    <w:p>
      <w:pPr>
        <w:spacing w:line="384" w:lineRule="auto" w:after="60"/>
        <w:ind w:firstLine="480"/>
      </w:pPr>
      <w:r>
        <w:rPr>
          <w:rFonts w:ascii="仿宋" w:hAnsi="仿宋" w:eastAsia="仿宋"/>
          <w:b w:val="0"/>
          <w:sz w:val="24"/>
        </w:rPr>
        <w:t>3. 医生群体：作为在总分和创新应用上感受相对偏低的核心职业类型，应围绕减负、激励、协同三方面发力，通过优化排班、改善辅助工作流程、完善创新成果转化与激励机制，激发医生在技术创新与服务改进中的主动性。</w:t>
      </w:r>
    </w:p>
    <w:p>
      <w:pPr>
        <w:spacing w:before="240" w:after="120" w:line="360" w:lineRule="auto"/>
      </w:pPr>
      <w:r>
        <w:rPr>
          <w:rFonts w:ascii="黑体" w:hAnsi="黑体" w:eastAsia="黑体"/>
          <w:b/>
          <w:sz w:val="26"/>
        </w:rPr>
        <w:t>（四）机制建设：完善支撑动态能力长效发展的四类机制</w:t>
      </w:r>
    </w:p>
    <w:p>
      <w:pPr>
        <w:spacing w:line="384" w:lineRule="auto" w:after="60"/>
        <w:ind w:firstLine="480"/>
      </w:pPr>
      <w:r>
        <w:rPr>
          <w:rFonts w:ascii="仿宋" w:hAnsi="仿宋" w:eastAsia="仿宋"/>
          <w:b w:val="0"/>
          <w:sz w:val="24"/>
        </w:rPr>
        <w:t>1. 文化机制：持续塑造以患者为中心、鼓励学习与主动变革的医院文化，通过院情宣贯、先进典型选树、优秀创新案例发布等方式强化文化认同。</w:t>
      </w:r>
    </w:p>
    <w:p>
      <w:pPr>
        <w:spacing w:line="384" w:lineRule="auto" w:after="60"/>
        <w:ind w:firstLine="480"/>
      </w:pPr>
      <w:r>
        <w:rPr>
          <w:rFonts w:ascii="仿宋" w:hAnsi="仿宋" w:eastAsia="仿宋"/>
          <w:b w:val="0"/>
          <w:sz w:val="24"/>
        </w:rPr>
        <w:t>2. 资源机制：在人、财、物、空间、声誉与合作网络等资源配置中向动态能力薄弱环节倾斜，为协调整合与创新应用提供更可预期的资源保障。</w:t>
      </w:r>
    </w:p>
    <w:p>
      <w:pPr>
        <w:spacing w:line="384" w:lineRule="auto" w:after="60"/>
        <w:ind w:firstLine="480"/>
      </w:pPr>
      <w:r>
        <w:rPr>
          <w:rFonts w:ascii="仿宋" w:hAnsi="仿宋" w:eastAsia="仿宋"/>
          <w:b w:val="0"/>
          <w:sz w:val="24"/>
        </w:rPr>
        <w:t>3. 协同机制：打破管理与临床之间的"两张皮"，通过联合例会、项目专班、数据共享与联合考核，真正把员工因素（管理者—医务人员—管理与临床协同）这一关键驱动力转化为可持续的组织能力。</w:t>
      </w:r>
    </w:p>
    <w:p>
      <w:pPr>
        <w:spacing w:line="384" w:lineRule="auto" w:after="60"/>
        <w:ind w:firstLine="480"/>
      </w:pPr>
      <w:r>
        <w:rPr>
          <w:rFonts w:ascii="仿宋" w:hAnsi="仿宋" w:eastAsia="仿宋"/>
          <w:b w:val="0"/>
          <w:sz w:val="24"/>
        </w:rPr>
        <w:t>4. 评估机制：将动态能力问卷纳入年度或两年一次的常态化评估，结合绩效数据形成"能力—行为—绩效"的闭环监测，为下一阶段改进提供证据支撑。</w:t>
      </w:r>
    </w:p>
    <w:p>
      <w:pPr>
        <w:spacing w:before="240" w:after="120" w:line="360" w:lineRule="auto"/>
      </w:pPr>
      <w:r>
        <w:rPr>
          <w:rFonts w:ascii="黑体" w:hAnsi="黑体" w:eastAsia="黑体"/>
          <w:b/>
          <w:sz w:val="26"/>
        </w:rPr>
        <w:t>（五）实施路径：形成"看得见、抓得住、评得出"的动态能力提升闭环</w:t>
      </w:r>
    </w:p>
    <w:p>
      <w:pPr>
        <w:spacing w:line="384" w:lineRule="auto" w:after="60"/>
        <w:ind w:firstLine="480"/>
      </w:pPr>
      <w:r>
        <w:rPr>
          <w:rFonts w:ascii="仿宋" w:hAnsi="仿宋" w:eastAsia="仿宋"/>
          <w:b w:val="0"/>
          <w:sz w:val="24"/>
        </w:rPr>
        <w:t>建议在一年内完成三项启动性工作：一是发布《医院动态能力提升专项行动方案》，将本报告主要建议转化为部门任务清单；二是确定3—5项跨部门示范项目，覆盖流程优化、医疗新技术应用、跨机构合作等创新应用重点方向；三是建立年度动态能力评估与对比机制，将本院表现持续与上海市公立医院整体水平对齐监测，在下一轮调查中验证改进成效，逐步形成"诊断—干预—评估—再诊断"的能力建设良性循环。</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仿宋" w:hAnsi="仿宋" w:eastAsia="仿宋"/>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