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方正小标宋简体" w:hAnsi="方正小标宋简体" w:eastAsia="方正小标宋简体"/>
          <w:b/>
          <w:sz w:val="44"/>
        </w:rPr>
        <w:t>公立医院动态能力发展报告</w:t>
      </w:r>
    </w:p>
    <w:p>
      <w:pPr>
        <w:spacing w:after="360"/>
        <w:jc w:val="center"/>
      </w:pPr>
      <w:r>
        <w:rPr>
          <w:rFonts w:ascii="楷体" w:hAnsi="楷体" w:eastAsia="楷体"/>
          <w:b w:val="0"/>
          <w:sz w:val="28"/>
        </w:rPr>
        <w:t>——基于院内问卷调查与上海市12家公立医院横向对比</w:t>
      </w:r>
    </w:p>
    <w:p>
      <w:pPr>
        <w:spacing w:before="240" w:after="120" w:line="360" w:lineRule="auto"/>
      </w:pPr>
      <w:r>
        <w:rPr>
          <w:rFonts w:ascii="黑体" w:hAnsi="黑体" w:eastAsia="黑体"/>
          <w:b/>
          <w:sz w:val="30"/>
        </w:rPr>
        <w:t>结果总结</w:t>
      </w:r>
    </w:p>
    <w:p>
      <w:pPr>
        <w:spacing w:line="384" w:lineRule="auto" w:after="60"/>
        <w:ind w:firstLine="480"/>
      </w:pPr>
      <w:r>
        <w:rPr>
          <w:rFonts w:ascii="仿宋" w:hAnsi="仿宋" w:eastAsia="仿宋"/>
          <w:b w:val="0"/>
          <w:sz w:val="24"/>
        </w:rPr>
        <w:t>本报告基于本院面向一线及管理岗位人员开展的动态能力问卷调查，围绕感知识别、学习吸收、协调整合、创新应用四个维度，分别从科室、职务、职业类型、职称、本院工作年限、主要工作内容等人群特征出发，刻画全院动态能力的水平与结构；在此基础上，进一步考察七类组织内部条件对动态能力的作用，以及动态能力对六项医院绩效指标的影响，并将该院与同期调研的其他12家上海市公立医院进行横向对比。主要结论如下：</w:t>
      </w:r>
    </w:p>
    <w:p>
      <w:pPr>
        <w:spacing w:line="384" w:lineRule="auto" w:after="60"/>
        <w:ind w:firstLine="480"/>
      </w:pPr>
      <w:r>
        <w:rPr>
          <w:rFonts w:ascii="仿宋" w:hAnsi="仿宋" w:eastAsia="仿宋"/>
          <w:b w:val="0"/>
          <w:sz w:val="24"/>
        </w:rPr>
        <w:t>第一，全院动态能力总分均值为3.918分，四个维度中感知识别能力（3.981）相对最高，创新应用能力（3.842）相对最低。与同期调研的其他12家上海市公立医院相比，本院动态能力总分及四个维度的均值均低于其他医院平均水平，其中创新应用能力差值为-0.538，感知识别能力-0.510，动态能力总分-0.457，协调整合能力-0.436，学习吸收能力-0.342；差距在创新应用能力和感知识别能力上相对较大，在学习吸收能力上相对较小（详见表1）。</w:t>
      </w:r>
    </w:p>
    <w:p>
      <w:pPr>
        <w:spacing w:before="120" w:after="60"/>
        <w:jc w:val="center"/>
      </w:pPr>
      <w:r>
        <w:rPr>
          <w:rFonts w:ascii="黑体" w:hAnsi="黑体" w:eastAsia="黑体"/>
          <w:b/>
          <w:sz w:val="22"/>
        </w:rPr>
        <w:t>表1  该院与其他12家上海市公立医院动态能力均值对比</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指标</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该院均值</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其他12家医院均值±标准差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差值（该院-其他医院）</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动态能力总分</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3.918</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4.375±0.638</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-0.457</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感知识别能力</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3.981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4.491±0.639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-0.510</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学习吸收能力</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3.898</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4.240±0.785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-0.342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协调整合能力</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3.952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4.388±0.641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-0.436</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创新应用能力</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3.842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4.380±0.666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-0.538</w:t>
            </w:r>
          </w:p>
        </w:tc>
      </w:tr>
    </w:tbl>
    <w:p/>
    <w:p>
      <w:pPr>
        <w:spacing w:line="384" w:lineRule="auto" w:after="60"/>
        <w:ind w:firstLine="480"/>
      </w:pPr>
      <w:r>
        <w:rPr>
          <w:rFonts w:ascii="仿宋" w:hAnsi="仿宋" w:eastAsia="仿宋"/>
          <w:b w:val="0"/>
          <w:sz w:val="24"/>
        </w:rPr>
        <w:t>第二，科室间差异具有统计学意义。中医科、门诊、医技科室在总分及各维度上得分相对较高；急诊相关科室、儿科、预防保健科得分相对较低；行政管理办公室、内科系病房接近全院均值，外科系略低于均值。其中中医科、门诊、儿科、预防保健科样本量较小，相关结果适合作为参考。</w:t>
      </w:r>
    </w:p>
    <w:p>
      <w:pPr>
        <w:spacing w:line="384" w:lineRule="auto" w:after="60"/>
        <w:ind w:firstLine="480"/>
      </w:pPr>
      <w:r>
        <w:rPr>
          <w:rFonts w:ascii="仿宋" w:hAnsi="仿宋" w:eastAsia="仿宋"/>
          <w:b w:val="0"/>
          <w:sz w:val="24"/>
        </w:rPr>
        <w:t>第三，分人群特征看，科室工作人员、医技人员和护士在多项指标上得分相对较高，科室负责人、副高级及正高级职称人员、工作年限20年以上人员得分相对较低。除职业类型在感知识别能力和协调整合能力上差异达到统计学显著外，其他分组比较多数未达到统计学显著水平。</w:t>
      </w:r>
    </w:p>
    <w:p>
      <w:pPr>
        <w:spacing w:line="384" w:lineRule="auto" w:after="60"/>
        <w:ind w:firstLine="480"/>
      </w:pPr>
      <w:r>
        <w:rPr>
          <w:rFonts w:ascii="仿宋" w:hAnsi="仿宋" w:eastAsia="仿宋"/>
          <w:b w:val="0"/>
          <w:sz w:val="24"/>
        </w:rPr>
        <w:t>第四，在综合控制个体和岗位背景变量后，七类组织内部条件中，员工因素（管理者能力、医务人员业务水平、管理与临床协同）是唯一对创新应用能力呈显著正向影响的因素（β=0.683，P=0.021）。医院文化和员工因素对动态能力总分、学习吸收能力呈正向趋势，但均未达到统计学显著水平。</w:t>
      </w:r>
    </w:p>
    <w:p>
      <w:pPr>
        <w:spacing w:line="384" w:lineRule="auto" w:after="60"/>
        <w:ind w:firstLine="480"/>
      </w:pPr>
      <w:r>
        <w:rPr>
          <w:rFonts w:ascii="仿宋" w:hAnsi="仿宋" w:eastAsia="仿宋"/>
          <w:b w:val="0"/>
          <w:sz w:val="24"/>
        </w:rPr>
        <w:t>第五，动态能力总分及四个维度与服务量、医疗质量、运营效率、患者满意度、员工满意度、服务公平可及性六项绩效指标均呈显著正向关联，其中协调整合能力与创新应用能力在多数绩效指标上的回归系数相对较高。</w:t>
      </w:r>
    </w:p>
    <w:p>
      <w:pPr>
        <w:spacing w:line="384" w:lineRule="auto" w:after="60"/>
        <w:ind w:firstLine="480"/>
      </w:pPr>
      <w:r>
        <w:rPr>
          <w:rFonts w:ascii="仿宋" w:hAnsi="仿宋" w:eastAsia="仿宋"/>
          <w:b w:val="0"/>
          <w:sz w:val="24"/>
        </w:rPr>
        <w:t>综合以上结果，后续动态能力建设可重点关注创新应用能力、感知识别能力和协调整合能力三个维度，并结合员工因素的支持作用，围绕管理者能力建设、医务人员业务水平提升和管理与临床协同开展工作。</w:t>
      </w:r>
    </w:p>
    <w:p>
      <w:pPr>
        <w:spacing w:before="240" w:after="120" w:line="360" w:lineRule="auto"/>
      </w:pPr>
      <w:r>
        <w:rPr>
          <w:rFonts w:ascii="黑体" w:hAnsi="黑体" w:eastAsia="黑体"/>
          <w:b/>
          <w:sz w:val="30"/>
        </w:rPr>
        <w:t>一、研究背景与分析框架</w:t>
      </w:r>
    </w:p>
    <w:p>
      <w:pPr>
        <w:spacing w:line="384" w:lineRule="auto" w:after="60"/>
        <w:ind w:firstLine="480"/>
      </w:pPr>
      <w:r>
        <w:rPr>
          <w:rFonts w:ascii="仿宋" w:hAnsi="仿宋" w:eastAsia="仿宋"/>
          <w:b w:val="0"/>
          <w:sz w:val="24"/>
        </w:rPr>
        <w:t>动态能力指医院在外部环境变化条件下，整合、构建和重新配置内外部资源，以识别机会、应对挑战、实现持续发展的综合能力。本研究将其分为四个维度：感知识别能力（对政策变化、服务需求变化、新技术新方法等变化信息的识别与捕捉）、学习吸收能力（对外部知识、经验与信息的获取、理解和内部转化）、协调整合能力（资源协调、人员协同和流程整合）、创新应用能力（服务创新、管理创新和新技术应用）。</w:t>
      </w:r>
    </w:p>
    <w:p>
      <w:pPr>
        <w:spacing w:line="384" w:lineRule="auto" w:after="60"/>
        <w:ind w:firstLine="480"/>
      </w:pPr>
      <w:r>
        <w:rPr>
          <w:rFonts w:ascii="仿宋" w:hAnsi="仿宋" w:eastAsia="仿宋"/>
          <w:b w:val="0"/>
          <w:sz w:val="24"/>
        </w:rPr>
        <w:t>本报告基于院内问卷数据，依次从科室、职务、职业类型、职称、本院工作年限、主要工作内容六个维度进行分组比较；在此基础上，分析医院文化、医院资源、医院战略、路径依赖、环境因素、员工因素和管理特征七类影响因素与动态能力的关系，以及动态能力对六项医院绩效指标的影响。此外，将本院得分与同期调研的其他12家上海市公立医院平均水平进行横向对比，结果已在前文"结果总结"中一并呈现。</w:t>
      </w:r>
    </w:p>
    <w:p>
      <w:pPr>
        <w:spacing w:before="240" w:after="120" w:line="360" w:lineRule="auto"/>
      </w:pPr>
      <w:r>
        <w:rPr>
          <w:rFonts w:ascii="黑体" w:hAnsi="黑体" w:eastAsia="黑体"/>
          <w:b/>
          <w:sz w:val="30"/>
        </w:rPr>
        <w:t>二、不同科室动态能力情况</w:t>
      </w:r>
    </w:p>
    <w:p>
      <w:pPr>
        <w:spacing w:line="384" w:lineRule="auto" w:after="60"/>
        <w:ind w:firstLine="480"/>
      </w:pPr>
      <w:r>
        <w:rPr>
          <w:rFonts w:ascii="仿宋" w:hAnsi="仿宋" w:eastAsia="仿宋"/>
          <w:b w:val="0"/>
          <w:sz w:val="24"/>
        </w:rPr>
        <w:t>本部分以问卷A5中受访者填写的具体科室名称为基础，将31个原始科室按业务属性和管理属性归并为9类：行政管理（办公室、院部、财务科、院感科、综合保障科、医教科）、医技科室（影像科、检验科、病理科、药剂科、供应室）、急诊相关科室（急诊、急诊科、急诊内科等）、内科系病房、外科系、门诊、儿科、中医科、预防保健科。鉴于中医科、门诊、儿科、预防保健科样本量较小，相关结果适合作为参考。</w:t>
      </w:r>
    </w:p>
    <w:p>
      <w:pPr>
        <w:spacing w:line="384" w:lineRule="auto" w:after="60"/>
        <w:ind w:firstLine="480"/>
      </w:pPr>
      <w:r>
        <w:rPr>
          <w:rFonts w:ascii="仿宋" w:hAnsi="仿宋" w:eastAsia="仿宋"/>
          <w:b w:val="0"/>
          <w:sz w:val="24"/>
        </w:rPr>
        <w:t>总体来看，中医科、门诊和医技科室在多项指标上得分相对较高；急诊相关科室、儿科和预防保健科得分相对较低；行政管理办公室、内科系病房接近全院均值，外科系略低于全院均值。</w:t>
      </w:r>
    </w:p>
    <w:p>
      <w:pPr>
        <w:spacing w:before="240" w:after="120" w:line="360" w:lineRule="auto"/>
      </w:pPr>
      <w:r>
        <w:rPr>
          <w:rFonts w:ascii="黑体" w:hAnsi="黑体" w:eastAsia="黑体"/>
          <w:b/>
          <w:sz w:val="26"/>
        </w:rPr>
        <w:t>（一）动态能力总分</w:t>
      </w:r>
    </w:p>
    <w:p>
      <w:pPr>
        <w:spacing w:line="384" w:lineRule="auto" w:after="60"/>
        <w:ind w:firstLine="480"/>
      </w:pPr>
      <w:r>
        <w:rPr>
          <w:rFonts w:ascii="仿宋" w:hAnsi="仿宋" w:eastAsia="仿宋"/>
          <w:b w:val="0"/>
          <w:sz w:val="24"/>
        </w:rPr>
        <w:t>全院动态能力总分均值3.918分，科室间差异具有统计学意义（F=4.48，P=0.0003；Kruskal-Wallis P=0.0005）。中医科、门诊、医技科室得分相对较高，行政管理办公室和内科系病房接近均值，外科系略低于均值，急诊相关科室、儿科和预防保健科得分相对较低。事后比较显示，门诊和中医科均显著高于急诊相关科室和儿科。</w:t>
      </w:r>
    </w:p>
    <w:p>
      <w:pPr>
        <w:spacing w:before="120" w:after="60"/>
        <w:jc w:val="center"/>
      </w:pPr>
      <w:r>
        <w:rPr>
          <w:rFonts w:ascii="黑体" w:hAnsi="黑体" w:eastAsia="黑体"/>
          <w:b/>
          <w:sz w:val="22"/>
        </w:rPr>
        <w:t>表1  动态能力总分分科室结果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科室</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5.000±0.000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4.844±0.313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医技科室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4.305±0.536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行政管理办公室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3.953±0.616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内科系病房</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3.944±0.985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外科系</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3.651±0.720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6</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预防保健科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3.156±0.000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7</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急诊相关科室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3.146±0.339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8</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儿科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2.594±0.840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9</w:t>
            </w:r>
          </w:p>
        </w:tc>
      </w:tr>
    </w:tbl>
    <w:p/>
    <w:p>
      <w:pPr>
        <w:spacing w:before="120" w:after="60"/>
        <w:jc w:val="center"/>
      </w:pPr>
      <w:r>
        <w:rPr>
          <w:rFonts w:ascii="黑体" w:hAnsi="黑体" w:eastAsia="黑体"/>
          <w:b/>
          <w:sz w:val="22"/>
        </w:rPr>
        <w:t>表1-附  动态能力总分主要显著差异</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比较科室</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差异方向</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 vs 急诊相关科室</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门诊更高</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0.017</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 vs 儿科</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门诊更高</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0.013</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 vs 急诊相关科室</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中医科更高</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0.017</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 vs 儿科</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中医科更高</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0.011</w:t>
            </w:r>
          </w:p>
        </w:tc>
      </w:tr>
    </w:tbl>
    <w:p/>
    <w:p>
      <w:pPr>
        <w:spacing w:before="240" w:after="120" w:line="360" w:lineRule="auto"/>
      </w:pPr>
      <w:r>
        <w:rPr>
          <w:rFonts w:ascii="黑体" w:hAnsi="黑体" w:eastAsia="黑体"/>
          <w:b/>
          <w:sz w:val="26"/>
        </w:rPr>
        <w:t>（二）感知识别能力</w:t>
      </w:r>
    </w:p>
    <w:p>
      <w:pPr>
        <w:spacing w:line="384" w:lineRule="auto" w:after="60"/>
        <w:ind w:firstLine="480"/>
      </w:pPr>
      <w:r>
        <w:rPr>
          <w:rFonts w:ascii="仿宋" w:hAnsi="仿宋" w:eastAsia="仿宋"/>
          <w:b w:val="0"/>
          <w:sz w:val="24"/>
        </w:rPr>
        <w:t>感知识别能力全院均值3.981分，是四个维度中得分相对较高的维度，科室间差异具有统计学意义（F=4.85，P=0.0001；Kruskal-Wallis P=0.0007）。中医科、门诊、医技科室和行政管理办公室得分相对较高，儿科和急诊相关科室得分相对较低。事后比较显示，儿科显著低于行政管理办公室、门诊、医技科室和中医科；门诊、中医科也显著高于急诊相关科室。</w:t>
      </w:r>
    </w:p>
    <w:p>
      <w:pPr>
        <w:spacing w:before="120" w:after="60"/>
        <w:jc w:val="center"/>
      </w:pPr>
      <w:r>
        <w:rPr>
          <w:rFonts w:ascii="黑体" w:hAnsi="黑体" w:eastAsia="黑体"/>
          <w:b/>
          <w:sz w:val="22"/>
        </w:rPr>
        <w:t>表2  感知识别能力分科室结果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科室</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5.000±0.000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4.750±0.500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医技科室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4.300±0.417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行政管理办公室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4.125±0.518</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内科系病房</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3.977±0.938</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外科系</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3.727±0.657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6</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预防保健科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3.625±0.000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7</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急诊相关科室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3.250±0.492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8</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儿科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2.438±0.619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9</w:t>
            </w:r>
          </w:p>
        </w:tc>
      </w:tr>
    </w:tbl>
    <w:p/>
    <w:p>
      <w:pPr>
        <w:spacing w:before="120" w:after="60"/>
        <w:jc w:val="center"/>
      </w:pPr>
      <w:r>
        <w:rPr>
          <w:rFonts w:ascii="黑体" w:hAnsi="黑体" w:eastAsia="黑体"/>
          <w:b/>
          <w:sz w:val="22"/>
        </w:rPr>
        <w:t>表2-附  感知识别能力主要显著差异</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比较科室</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差异方向</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 vs 急诊相关科室</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门诊更高</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0.028</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儿科 vs 行政管理办公室</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儿科更低</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0.03</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儿科 vs 门诊</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儿科更低</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0.003</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儿科 vs 医技科室</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儿科更低</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0.012</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 vs 急诊相关科室</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中医科更高</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0.013</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 vs 儿科</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中医科更高</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0.001</w:t>
            </w:r>
          </w:p>
        </w:tc>
      </w:tr>
    </w:tbl>
    <w:p/>
    <w:p>
      <w:pPr>
        <w:spacing w:before="240" w:after="120" w:line="360" w:lineRule="auto"/>
      </w:pPr>
      <w:r>
        <w:rPr>
          <w:rFonts w:ascii="黑体" w:hAnsi="黑体" w:eastAsia="黑体"/>
          <w:b/>
          <w:sz w:val="26"/>
        </w:rPr>
        <w:t>（三）学习吸收能力</w:t>
      </w:r>
    </w:p>
    <w:p>
      <w:pPr>
        <w:spacing w:line="384" w:lineRule="auto" w:after="60"/>
        <w:ind w:firstLine="480"/>
      </w:pPr>
      <w:r>
        <w:rPr>
          <w:rFonts w:ascii="仿宋" w:hAnsi="仿宋" w:eastAsia="仿宋"/>
          <w:b w:val="0"/>
          <w:sz w:val="24"/>
        </w:rPr>
        <w:t>学习吸收能力全院均值3.898分，科室间差异具有统计学意义（F=4.52，P=0.0003；Kruskal-Wallis P=0.0011）。门诊和中医科得分最高，医技科室高于均值；行政管理办公室和内科系病房接近均值；外科系略低于均值；急诊相关科室、儿科和预防保健科得分相对较低。事后比较显示，门诊和中医科均显著高于急诊相关科室和儿科。</w:t>
      </w:r>
    </w:p>
    <w:p>
      <w:pPr>
        <w:spacing w:before="120" w:after="60"/>
        <w:jc w:val="center"/>
      </w:pPr>
      <w:r>
        <w:rPr>
          <w:rFonts w:ascii="黑体" w:hAnsi="黑体" w:eastAsia="黑体"/>
          <w:b/>
          <w:sz w:val="22"/>
        </w:rPr>
        <w:t>表3  学习吸收能力分科室结果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科室</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5.000±0.000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5.000±0.000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医技科室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4.320±0.668</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内科系病房</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3.945±1.016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行政管理办公室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3.938±0.732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外科系</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3.613±0.844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6</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预防保健科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3.000±0.000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7</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急诊相关科室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2.960±0.219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8</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儿科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2.500±0.707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9</w:t>
            </w:r>
          </w:p>
        </w:tc>
      </w:tr>
    </w:tbl>
    <w:p/>
    <w:p>
      <w:pPr>
        <w:spacing w:before="120" w:after="60"/>
        <w:jc w:val="center"/>
      </w:pPr>
      <w:r>
        <w:rPr>
          <w:rFonts w:ascii="黑体" w:hAnsi="黑体" w:eastAsia="黑体"/>
          <w:b/>
          <w:sz w:val="22"/>
        </w:rPr>
        <w:t>表3-附  学习吸收能力主要显著差异</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比较科室</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差异方向</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 vs 急诊相关科室</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门诊更高</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0.006</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 vs 儿科</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门诊更高</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0.013</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 vs 急诊相关科室</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中医科更高</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0.019</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 vs 儿科</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中医科更高</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0.023</w:t>
            </w:r>
          </w:p>
        </w:tc>
      </w:tr>
    </w:tbl>
    <w:p/>
    <w:p>
      <w:pPr>
        <w:spacing w:before="240" w:after="120" w:line="360" w:lineRule="auto"/>
      </w:pPr>
      <w:r>
        <w:rPr>
          <w:rFonts w:ascii="黑体" w:hAnsi="黑体" w:eastAsia="黑体"/>
          <w:b/>
          <w:sz w:val="26"/>
        </w:rPr>
        <w:t>（四）协调整合能力</w:t>
      </w:r>
    </w:p>
    <w:p>
      <w:pPr>
        <w:spacing w:line="384" w:lineRule="auto" w:after="60"/>
        <w:ind w:firstLine="480"/>
      </w:pPr>
      <w:r>
        <w:rPr>
          <w:rFonts w:ascii="仿宋" w:hAnsi="仿宋" w:eastAsia="仿宋"/>
          <w:b w:val="0"/>
          <w:sz w:val="24"/>
        </w:rPr>
        <w:t>协调整合能力全院均值3.952分，科室间整体分布存在差异（F=3.37，P=0.0032；Kruskal-Wallis P=0.0051），经Bonferroni校正后两两比较未达到统计学显著水平。中医科、门诊、医技科室得分较高，内科系病房和行政管理办公室接近均值，外科系略低，急诊相关科室、儿科和预防保健科得分相对较低。</w:t>
      </w:r>
    </w:p>
    <w:p>
      <w:pPr>
        <w:spacing w:before="120" w:after="60"/>
        <w:jc w:val="center"/>
      </w:pPr>
      <w:r>
        <w:rPr>
          <w:rFonts w:ascii="黑体" w:hAnsi="黑体" w:eastAsia="黑体"/>
          <w:b/>
          <w:sz w:val="22"/>
        </w:rPr>
        <w:t>表4  协调整合能力分科室结果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科室</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5.000±0.000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4.875±0.250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医技科室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4.325±0.537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内科系病房</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3.977±1.003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行政管理办公室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3.885±0.590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外科系</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3.719±0.796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6</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预防保健科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3.375±0.000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7</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急诊相关科室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3.250±0.580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8</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儿科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2.875±1.237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9</w:t>
            </w:r>
          </w:p>
        </w:tc>
      </w:tr>
    </w:tbl>
    <w:p/>
    <w:p>
      <w:pPr>
        <w:spacing w:before="240" w:after="120" w:line="360" w:lineRule="auto"/>
      </w:pPr>
      <w:r>
        <w:rPr>
          <w:rFonts w:ascii="黑体" w:hAnsi="黑体" w:eastAsia="黑体"/>
          <w:b/>
          <w:sz w:val="26"/>
        </w:rPr>
        <w:t>（五）创新应用能力</w:t>
      </w:r>
    </w:p>
    <w:p>
      <w:pPr>
        <w:spacing w:line="384" w:lineRule="auto" w:after="60"/>
        <w:ind w:firstLine="480"/>
      </w:pPr>
      <w:r>
        <w:rPr>
          <w:rFonts w:ascii="仿宋" w:hAnsi="仿宋" w:eastAsia="仿宋"/>
          <w:b w:val="0"/>
          <w:sz w:val="24"/>
        </w:rPr>
        <w:t>创新应用能力全院均值3.842分，是四个维度中得分相对较低的维度，科室间差异具有统计学意义（F=3.82，P=0.0012；Kruskal-Wallis P=0.0050）。中医科、门诊和医技科室得分较高，行政管理办公室和内科系病房接近或略高于均值，外科系、急诊相关科室、儿科和预防保健科得分较低。事后比较显示，中医科显著高于儿科；门诊与儿科、中医科与急诊相关科室的差异接近显著。</w:t>
      </w:r>
    </w:p>
    <w:p>
      <w:pPr>
        <w:spacing w:before="120" w:after="60"/>
        <w:jc w:val="center"/>
      </w:pPr>
      <w:r>
        <w:rPr>
          <w:rFonts w:ascii="黑体" w:hAnsi="黑体" w:eastAsia="黑体"/>
          <w:b/>
          <w:sz w:val="22"/>
        </w:rPr>
        <w:t>表5  创新应用能力分科室结果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科室</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5.000±0.000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门诊</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4.750±0.500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医技科室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4.275±0.606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内科系病房</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3.875±1.011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行政管理办公室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3.865±0.753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外科系</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3.547±0.861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6</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急诊相关科室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3.125±0.125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7</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预防保健科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2.625±0.000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8</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儿科</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2.563±0.795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9</w:t>
            </w:r>
          </w:p>
        </w:tc>
      </w:tr>
    </w:tbl>
    <w:p/>
    <w:p>
      <w:pPr>
        <w:spacing w:before="120" w:after="60"/>
        <w:jc w:val="center"/>
      </w:pPr>
      <w:r>
        <w:rPr>
          <w:rFonts w:ascii="黑体" w:hAnsi="黑体" w:eastAsia="黑体"/>
          <w:b/>
          <w:sz w:val="22"/>
        </w:rPr>
        <w:t>表5-附  创新应用能力主要显著差异</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比较科室</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差异方向</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 vs 儿科</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中医科更高</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0.035</w:t>
            </w:r>
          </w:p>
        </w:tc>
      </w:tr>
    </w:tbl>
    <w:p/>
    <w:p>
      <w:pPr>
        <w:spacing w:before="240" w:after="120" w:line="360" w:lineRule="auto"/>
      </w:pPr>
      <w:r>
        <w:rPr>
          <w:rFonts w:ascii="黑体" w:hAnsi="黑体" w:eastAsia="黑体"/>
          <w:b/>
          <w:sz w:val="30"/>
        </w:rPr>
        <w:t>三、不同职务动态能力情况</w:t>
      </w:r>
    </w:p>
    <w:p>
      <w:pPr>
        <w:spacing w:line="384" w:lineRule="auto" w:after="60"/>
        <w:ind w:firstLine="480"/>
      </w:pPr>
      <w:r>
        <w:rPr>
          <w:rFonts w:ascii="仿宋" w:hAnsi="仿宋" w:eastAsia="仿宋"/>
          <w:b w:val="0"/>
          <w:sz w:val="24"/>
        </w:rPr>
        <w:t>不同职务类型之间，动态能力总分及四个维度差异均未达到统计学显著水平。从均值看，科室工作人员在总分及四个维度上均居首位，职能部门工作人员和职能部门负责人多接近全院均值，科室负责人整体略低于全院均值。院级领导样本量仅1人，结果仅作描述性参考。</w:t>
      </w:r>
    </w:p>
    <w:p>
      <w:pPr>
        <w:spacing w:before="240" w:after="120" w:line="360" w:lineRule="auto"/>
      </w:pPr>
      <w:r>
        <w:rPr>
          <w:rFonts w:ascii="黑体" w:hAnsi="黑体" w:eastAsia="黑体"/>
          <w:b/>
          <w:sz w:val="26"/>
        </w:rPr>
        <w:t>（一）动态能力总分</w:t>
      </w:r>
    </w:p>
    <w:p>
      <w:pPr>
        <w:spacing w:line="384" w:lineRule="auto" w:after="60"/>
        <w:ind w:firstLine="480"/>
      </w:pPr>
      <w:r>
        <w:rPr>
          <w:rFonts w:ascii="仿宋" w:hAnsi="仿宋" w:eastAsia="仿宋"/>
          <w:b w:val="0"/>
          <w:sz w:val="24"/>
        </w:rPr>
        <w:t>总体差异未达到统计学显著水平（F=1.06，P=0.3836；Kruskal-Wallis P=0.3437）。得分由高到低依次为科室工作人员、职能部门工作人员、职能部门负责人、科室负责人、院级领导。</w:t>
      </w:r>
    </w:p>
    <w:p>
      <w:pPr>
        <w:spacing w:before="120" w:after="60"/>
        <w:jc w:val="center"/>
      </w:pPr>
      <w:r>
        <w:rPr>
          <w:rFonts w:ascii="黑体" w:hAnsi="黑体" w:eastAsia="黑体"/>
          <w:b/>
          <w:sz w:val="22"/>
        </w:rPr>
        <w:t>表6  动态能力总分分职务结果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职务类型</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科室工作人员</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4.102±0.827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职能部门工作人员</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3.927±0.794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职能部门负责人</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3.753±0.842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科室负责人</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3.656±0.795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院级领导</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3.625±0.000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（二）感知识别能力</w:t>
      </w:r>
    </w:p>
    <w:p>
      <w:pPr>
        <w:spacing w:line="384" w:lineRule="auto" w:after="60"/>
        <w:ind w:firstLine="480"/>
      </w:pPr>
      <w:r>
        <w:rPr>
          <w:rFonts w:ascii="仿宋" w:hAnsi="仿宋" w:eastAsia="仿宋"/>
          <w:b w:val="0"/>
          <w:sz w:val="24"/>
        </w:rPr>
        <w:t>总体差异未达到统计学显著水平（F=1.55，P=0.1996；Kruskal-Wallis P=0.1491）。科室工作人员、职能部门负责人和职能部门工作人员得分均高于全院均值，科室负责人和院级领导相对较低。</w:t>
      </w:r>
    </w:p>
    <w:p>
      <w:pPr>
        <w:spacing w:before="120" w:after="60"/>
        <w:jc w:val="center"/>
      </w:pPr>
      <w:r>
        <w:rPr>
          <w:rFonts w:ascii="黑体" w:hAnsi="黑体" w:eastAsia="黑体"/>
          <w:b/>
          <w:sz w:val="22"/>
        </w:rPr>
        <w:t>表7  感知识别能力分职务结果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职务类型</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科室工作人员</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4.161±0.745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职能部门负责人</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4.094±0.624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职能部门工作人员</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4.063±0.650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科室负责人</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3.667±0.798</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院级领导</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（三）学习吸收能力</w:t>
      </w:r>
    </w:p>
    <w:p>
      <w:pPr>
        <w:spacing w:line="384" w:lineRule="auto" w:after="60"/>
        <w:ind w:firstLine="480"/>
      </w:pPr>
      <w:r>
        <w:rPr>
          <w:rFonts w:ascii="仿宋" w:hAnsi="仿宋" w:eastAsia="仿宋"/>
          <w:b w:val="0"/>
          <w:sz w:val="24"/>
        </w:rPr>
        <w:t>总体差异未达到统计学显著水平（F=1.10，P=0.3636；Kruskal-Wallis P=0.3146）。科室工作人员得分最高，职能部门工作人员和院级领导接近均值，职能部门负责人和科室负责人相对较低。</w:t>
      </w:r>
    </w:p>
    <w:p>
      <w:pPr>
        <w:spacing w:before="120" w:after="60"/>
        <w:jc w:val="center"/>
      </w:pPr>
      <w:r>
        <w:rPr>
          <w:rFonts w:ascii="黑体" w:hAnsi="黑体" w:eastAsia="黑体"/>
          <w:b/>
          <w:sz w:val="22"/>
        </w:rPr>
        <w:t>表8  学习吸收能力分职务结果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职务类型</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科室工作人员</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4.109±0.930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院级领导</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4.000±0.000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职能部门工作人员</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3.800±0.909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职能部门负责人</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3.700±0.902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科室负责人</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3.600±0.865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（四）协调整合能力</w:t>
      </w:r>
    </w:p>
    <w:p>
      <w:pPr>
        <w:spacing w:line="384" w:lineRule="auto" w:after="60"/>
        <w:ind w:firstLine="480"/>
      </w:pPr>
      <w:r>
        <w:rPr>
          <w:rFonts w:ascii="仿宋" w:hAnsi="仿宋" w:eastAsia="仿宋"/>
          <w:b w:val="0"/>
          <w:sz w:val="24"/>
        </w:rPr>
        <w:t>总体差异未达到统计学显著水平（F=0.78，P=0.5435；Kruskal-Wallis P=0.3964）。科室工作人员和职能部门工作人员得分相对较高，院级领导和科室负责人接近均值，职能部门负责人相对较低。</w:t>
      </w:r>
    </w:p>
    <w:p>
      <w:pPr>
        <w:spacing w:before="120" w:after="60"/>
        <w:jc w:val="center"/>
      </w:pPr>
      <w:r>
        <w:rPr>
          <w:rFonts w:ascii="黑体" w:hAnsi="黑体" w:eastAsia="黑体"/>
          <w:b/>
          <w:sz w:val="22"/>
        </w:rPr>
        <w:t>表9  协调整合能力分职务结果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职务类型</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科室工作人员</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4.107±0.853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职能部门工作人员</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4.031±0.695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院级领导</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3.750±0.000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科室负责人</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3.738±0.799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职能部门负责人</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3.688±0.898</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（五）创新应用能力</w:t>
      </w:r>
    </w:p>
    <w:p>
      <w:pPr>
        <w:spacing w:line="384" w:lineRule="auto" w:after="60"/>
        <w:ind w:firstLine="480"/>
      </w:pPr>
      <w:r>
        <w:rPr>
          <w:rFonts w:ascii="仿宋" w:hAnsi="仿宋" w:eastAsia="仿宋"/>
          <w:b w:val="0"/>
          <w:sz w:val="24"/>
        </w:rPr>
        <w:t>总体差异未达到统计学显著水平（F=0.96，P=0.4375；Kruskal-Wallis P=0.3427）。科室工作人员得分最高，职能部门工作人员高于均值，科室负责人、职能部门负责人和院级领导相对较低。</w:t>
      </w:r>
    </w:p>
    <w:p>
      <w:pPr>
        <w:spacing w:before="120" w:after="60"/>
        <w:jc w:val="center"/>
      </w:pPr>
      <w:r>
        <w:rPr>
          <w:rFonts w:ascii="黑体" w:hAnsi="黑体" w:eastAsia="黑体"/>
          <w:b/>
          <w:sz w:val="22"/>
        </w:rPr>
        <w:t>表10  创新应用能力分职务结果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职务类型</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科室工作人员</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4.032±0.919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职能部门工作人员</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3.813±0.982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科室负责人</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3.619±0.815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职能部门负责人</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3.531±0.981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院级领导</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3.250±0.000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30"/>
        </w:rPr>
        <w:t>四、不同职业类型动态能力情况</w:t>
      </w:r>
    </w:p>
    <w:p>
      <w:pPr>
        <w:spacing w:line="384" w:lineRule="auto" w:after="60"/>
        <w:ind w:firstLine="480"/>
      </w:pPr>
      <w:r>
        <w:rPr>
          <w:rFonts w:ascii="仿宋" w:hAnsi="仿宋" w:eastAsia="仿宋"/>
          <w:b w:val="0"/>
          <w:sz w:val="24"/>
        </w:rPr>
        <w:t>本部分比较医生、护士、医技、管理和后勤五类人员的动态能力，"其他"类别样本量较少，未纳入比较。医技人员在动态能力总分及四个维度上得分均相对较高，护士整体也处于较高水平，医生在多项指标上得分相对较低，管理和后勤人员多处于中间水平。统计检验显示，感知识别能力和协调整合能力在职业类型间的差异达到统计学显著水平，动态能力总分和创新应用能力存在一定差异趋势，学习吸收能力差异未达到统计学显著水平。管理和后勤人员样本量相对较小，相关结果适合作为参考。</w:t>
      </w:r>
    </w:p>
    <w:p>
      <w:pPr>
        <w:spacing w:before="240" w:after="120" w:line="360" w:lineRule="auto"/>
      </w:pPr>
      <w:r>
        <w:rPr>
          <w:rFonts w:ascii="黑体" w:hAnsi="黑体" w:eastAsia="黑体"/>
          <w:b/>
          <w:sz w:val="26"/>
        </w:rPr>
        <w:t>（一）动态能力总分</w:t>
      </w:r>
    </w:p>
    <w:p>
      <w:pPr>
        <w:spacing w:line="384" w:lineRule="auto" w:after="60"/>
        <w:ind w:firstLine="480"/>
      </w:pPr>
      <w:r>
        <w:rPr>
          <w:rFonts w:ascii="仿宋" w:hAnsi="仿宋" w:eastAsia="仿宋"/>
          <w:b w:val="0"/>
          <w:sz w:val="24"/>
        </w:rPr>
        <w:t>纳入分析的五类职业类型人员动态能力总分均值为3.901分。方差分析接近统计学显著（F=2.44，P=0.0570），Kruskal-Wallis检验显示差异具有统计学意义（P=0.0425）。经Bonferroni校正后，具体两两比较未达到统计学显著水平。医技人员得分最高，护士高于均值，后勤和管理人员接近或略低于均值，医生相对较低。</w:t>
      </w:r>
    </w:p>
    <w:p>
      <w:pPr>
        <w:spacing w:before="120" w:after="60"/>
        <w:jc w:val="center"/>
      </w:pPr>
      <w:r>
        <w:rPr>
          <w:rFonts w:ascii="黑体" w:hAnsi="黑体" w:eastAsia="黑体"/>
          <w:b/>
          <w:sz w:val="22"/>
        </w:rPr>
        <w:t>表11  动态能力总分分职业类型结果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职业类型</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医技</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4.401±0.671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护士</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4.127±0.830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后勤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3.856±0.608</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3.723±0.321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医生</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3.596±0.815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（二）感知识别能力</w:t>
      </w:r>
    </w:p>
    <w:p>
      <w:pPr>
        <w:spacing w:line="384" w:lineRule="auto" w:after="60"/>
        <w:ind w:firstLine="480"/>
      </w:pPr>
      <w:r>
        <w:rPr>
          <w:rFonts w:ascii="仿宋" w:hAnsi="仿宋" w:eastAsia="仿宋"/>
          <w:b w:val="0"/>
          <w:sz w:val="24"/>
        </w:rPr>
        <w:t>感知识别能力五类职业类型人员均值为3.965分，职业类型间差异具有统计学意义（F=2.69，P=0.0399；Kruskal-Wallis P=0.0388）。经Bonferroni校正后，两两比较未达到统计学显著水平。医技人员得分最高，护士和后勤人员高于均值，管理人员接近均值，医生相对较低。</w:t>
      </w:r>
    </w:p>
    <w:p>
      <w:pPr>
        <w:spacing w:before="120" w:after="60"/>
        <w:jc w:val="center"/>
      </w:pPr>
      <w:r>
        <w:rPr>
          <w:rFonts w:ascii="黑体" w:hAnsi="黑体" w:eastAsia="黑体"/>
          <w:b/>
          <w:sz w:val="22"/>
        </w:rPr>
        <w:t>表12  感知识别能力分职业类型结果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职业类型</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医技</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4.431±0.545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护士</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4.162±0.796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后勤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4.100±0.463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3.917±0.382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医生</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3.644±0.767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（三）学习吸收能力</w:t>
      </w:r>
    </w:p>
    <w:p>
      <w:pPr>
        <w:spacing w:line="384" w:lineRule="auto" w:after="60"/>
        <w:ind w:firstLine="480"/>
      </w:pPr>
      <w:r>
        <w:rPr>
          <w:rFonts w:ascii="仿宋" w:hAnsi="仿宋" w:eastAsia="仿宋"/>
          <w:b w:val="0"/>
          <w:sz w:val="24"/>
        </w:rPr>
        <w:t>学习吸收能力五类职业类型人员均值为3.881分，职业类型间差异未达到统计学显著水平（F=1.96，P=0.1118；Kruskal-Wallis P=0.1322）。医技人员和护士得分较高，管理和后勤人员接近均值，医生相对较低。</w:t>
      </w:r>
    </w:p>
    <w:p>
      <w:pPr>
        <w:spacing w:before="120" w:after="60"/>
        <w:jc w:val="center"/>
      </w:pPr>
      <w:r>
        <w:rPr>
          <w:rFonts w:ascii="黑体" w:hAnsi="黑体" w:eastAsia="黑体"/>
          <w:b/>
          <w:sz w:val="22"/>
        </w:rPr>
        <w:t>表13  学习吸收能力分职业类型结果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职业类型</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医技</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4.356±0.829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护士</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4.120±0.921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3.933±0.306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后勤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3.800±0.837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医生</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3.556±0.898</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（四）协调整合能力</w:t>
      </w:r>
    </w:p>
    <w:p>
      <w:pPr>
        <w:spacing w:line="384" w:lineRule="auto" w:after="60"/>
        <w:ind w:firstLine="480"/>
      </w:pPr>
      <w:r>
        <w:rPr>
          <w:rFonts w:ascii="仿宋" w:hAnsi="仿宋" w:eastAsia="仿宋"/>
          <w:b w:val="0"/>
          <w:sz w:val="24"/>
        </w:rPr>
        <w:t>协调整合能力五类职业类型人员均值为3.936分，职业类型间差异具有统计学意义（F=2.55，P=0.0486；Kruskal-Wallis P=0.0322）。经Bonferroni校正后，两两比较未达到统计学显著水平。医技人员得分最高，护士高于均值，后勤、医生和管理人员得分相对较低且较为接近。</w:t>
      </w:r>
    </w:p>
    <w:p>
      <w:pPr>
        <w:spacing w:before="120" w:after="60"/>
        <w:jc w:val="center"/>
      </w:pPr>
      <w:r>
        <w:rPr>
          <w:rFonts w:ascii="黑体" w:hAnsi="黑体" w:eastAsia="黑体"/>
          <w:b/>
          <w:sz w:val="22"/>
        </w:rPr>
        <w:t>表14  协调整合能力分职业类型结果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职业类型</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医技</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4.444±0.622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护士</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4.188±0.810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后勤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3.675±0.464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医生</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3.662±0.867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3.625±0.331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（五）创新应用能力</w:t>
      </w:r>
    </w:p>
    <w:p>
      <w:pPr>
        <w:spacing w:line="384" w:lineRule="auto" w:after="60"/>
        <w:ind w:firstLine="480"/>
      </w:pPr>
      <w:r>
        <w:rPr>
          <w:rFonts w:ascii="仿宋" w:hAnsi="仿宋" w:eastAsia="仿宋"/>
          <w:b w:val="0"/>
          <w:sz w:val="24"/>
        </w:rPr>
        <w:t>创新应用能力五类职业类型人员均值为3.824分，是四个维度中得分相对较低的维度。职业类型间差异未达到统计学显著水平，但呈现一定差异趋势（F=2.27，P=0.0726；Kruskal-Wallis P=0.0723）。医技人员得分最高，护士高于均值，后勤人员接近均值，医生和管理人员相对较低。</w:t>
      </w:r>
    </w:p>
    <w:p>
      <w:pPr>
        <w:spacing w:before="120" w:after="60"/>
        <w:jc w:val="center"/>
      </w:pPr>
      <w:r>
        <w:rPr>
          <w:rFonts w:ascii="黑体" w:hAnsi="黑体" w:eastAsia="黑体"/>
          <w:b/>
          <w:sz w:val="22"/>
        </w:rPr>
        <w:t>表15  创新应用能力分职业类型结果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职业类型</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医技</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4.375±0.745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护士</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4.037±0.870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后勤</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3.850±0.783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医生</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3.523±0.900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3.417±0.520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30"/>
        </w:rPr>
        <w:t>五、不同职称动态能力情况</w:t>
      </w:r>
    </w:p>
    <w:p>
      <w:pPr>
        <w:spacing w:line="384" w:lineRule="auto" w:after="60"/>
        <w:ind w:firstLine="480"/>
      </w:pPr>
      <w:r>
        <w:rPr>
          <w:rFonts w:ascii="仿宋" w:hAnsi="仿宋" w:eastAsia="仿宋"/>
          <w:b w:val="0"/>
          <w:sz w:val="24"/>
        </w:rPr>
        <w:t>不同职称人员在动态能力总分及四个维度上的差异总体未达到统计学显著水平，但得分排序呈现一定梯度特征：初级职称人员得分最高，无职称和中级人员接近或高于全院均值，副高级和正高级人员相对较低。无职称人员样本量较小，相关结果适合作为参考。</w:t>
      </w:r>
    </w:p>
    <w:p>
      <w:pPr>
        <w:spacing w:before="240" w:after="120" w:line="360" w:lineRule="auto"/>
      </w:pPr>
      <w:r>
        <w:rPr>
          <w:rFonts w:ascii="黑体" w:hAnsi="黑体" w:eastAsia="黑体"/>
          <w:b/>
          <w:sz w:val="26"/>
        </w:rPr>
        <w:t>（一）动态能力总分</w:t>
      </w:r>
    </w:p>
    <w:p>
      <w:pPr>
        <w:spacing w:line="384" w:lineRule="auto" w:after="60"/>
        <w:ind w:firstLine="480"/>
      </w:pPr>
      <w:r>
        <w:rPr>
          <w:rFonts w:ascii="仿宋" w:hAnsi="仿宋" w:eastAsia="仿宋"/>
          <w:b w:val="0"/>
          <w:sz w:val="24"/>
        </w:rPr>
        <w:t>全院动态能力总分均值3.918分，职称间差异未达到统计学显著水平（F=1.97，P=0.1113；Kruskal-Wallis P=0.0607）。初级职称人员得分最高，无职称和中级人员接近或高于均值，副高级和正高级人员相对较低。</w:t>
      </w:r>
    </w:p>
    <w:p>
      <w:pPr>
        <w:spacing w:before="120" w:after="60"/>
        <w:jc w:val="center"/>
      </w:pPr>
      <w:r>
        <w:rPr>
          <w:rFonts w:ascii="黑体" w:hAnsi="黑体" w:eastAsia="黑体"/>
          <w:b/>
          <w:sz w:val="22"/>
        </w:rPr>
        <w:t>表16  动态能力总分分职称结果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初级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4.310±0.673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无职称</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4.115±0.556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3.917±0.904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副高级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3.685±0.778</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正高级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3.333±0.527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（二）感知识别能力</w:t>
      </w:r>
    </w:p>
    <w:p>
      <w:pPr>
        <w:spacing w:line="384" w:lineRule="auto" w:after="60"/>
        <w:ind w:firstLine="480"/>
      </w:pPr>
      <w:r>
        <w:rPr>
          <w:rFonts w:ascii="仿宋" w:hAnsi="仿宋" w:eastAsia="仿宋"/>
          <w:b w:val="0"/>
          <w:sz w:val="24"/>
        </w:rPr>
        <w:t>全院均值3.981分，职称间差异未达到统计学显著水平（F=2.14，P=0.0874；Kruskal-Wallis P=0.0500）。初级职称人员得分最高，中级和无职称人员接近均值，副高级和正高级人员相对较低。</w:t>
      </w:r>
    </w:p>
    <w:p>
      <w:pPr>
        <w:spacing w:before="120" w:after="60"/>
        <w:jc w:val="center"/>
      </w:pPr>
      <w:r>
        <w:rPr>
          <w:rFonts w:ascii="黑体" w:hAnsi="黑体" w:eastAsia="黑体"/>
          <w:b/>
          <w:sz w:val="22"/>
        </w:rPr>
        <w:t>表17  感知识别能力分职称结果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初级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4.358±0.616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4.005±0.830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无职称</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3.958±0.439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副高级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3.767±0.782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正高级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3.375±0.424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（三）学习吸收能力</w:t>
      </w:r>
    </w:p>
    <w:p>
      <w:pPr>
        <w:spacing w:line="384" w:lineRule="auto" w:after="60"/>
        <w:ind w:firstLine="480"/>
      </w:pPr>
      <w:r>
        <w:rPr>
          <w:rFonts w:ascii="仿宋" w:hAnsi="仿宋" w:eastAsia="仿宋"/>
          <w:b w:val="0"/>
          <w:sz w:val="24"/>
        </w:rPr>
        <w:t>全院均值3.898分，职称间差异未达到统计学显著水平（F=2.16，P=0.0845；Kruskal-Wallis P=0.0796）。初级和无职称人员得分最高，中级人员接近均值，副高级和正高级人员相对较低。</w:t>
      </w:r>
    </w:p>
    <w:p>
      <w:pPr>
        <w:spacing w:before="120" w:after="60"/>
        <w:jc w:val="center"/>
      </w:pPr>
      <w:r>
        <w:rPr>
          <w:rFonts w:ascii="黑体" w:hAnsi="黑体" w:eastAsia="黑体"/>
          <w:b/>
          <w:sz w:val="22"/>
        </w:rPr>
        <w:t>表18  学习吸收能力分职称结果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初级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4.333±0.820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无职称</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4.333±0.577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3.889±0.977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副高级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3.600±0.855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正高级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3.280±0.522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（四）协调整合能力</w:t>
      </w:r>
    </w:p>
    <w:p>
      <w:pPr>
        <w:spacing w:line="384" w:lineRule="auto" w:after="60"/>
        <w:ind w:firstLine="480"/>
      </w:pPr>
      <w:r>
        <w:rPr>
          <w:rFonts w:ascii="仿宋" w:hAnsi="仿宋" w:eastAsia="仿宋"/>
          <w:b w:val="0"/>
          <w:sz w:val="24"/>
        </w:rPr>
        <w:t>全院均值3.952分，职称间差异未达到统计学显著水平（F=1.81，P=0.1388；Kruskal-Wallis P=0.0996）。初级人员得分最高，无职称和中级人员高于均值，副高级和正高级人员相对较低。</w:t>
      </w:r>
    </w:p>
    <w:p>
      <w:pPr>
        <w:spacing w:before="120" w:after="60"/>
        <w:jc w:val="center"/>
      </w:pPr>
      <w:r>
        <w:rPr>
          <w:rFonts w:ascii="黑体" w:hAnsi="黑体" w:eastAsia="黑体"/>
          <w:b/>
          <w:sz w:val="22"/>
        </w:rPr>
        <w:t>表19  协调整合能力分职称结果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初级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4.342±0.664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无职称</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4.167±0.520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3.917±0.935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副高级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3.783±0.767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正高级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3.350±0.548</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（五）创新应用能力</w:t>
      </w:r>
    </w:p>
    <w:p>
      <w:pPr>
        <w:spacing w:line="384" w:lineRule="auto" w:after="60"/>
        <w:ind w:firstLine="480"/>
      </w:pPr>
      <w:r>
        <w:rPr>
          <w:rFonts w:ascii="仿宋" w:hAnsi="仿宋" w:eastAsia="仿宋"/>
          <w:b w:val="0"/>
          <w:sz w:val="24"/>
        </w:rPr>
        <w:t>全院均值3.842分，是四个维度中得分相对较低的维度。职称间差异未达到统计学显著水平（F=1.41，P=0.2412；Kruskal-Wallis P=0.1197）。初级人员得分最高，无职称和中级人员接近或略高于均值，副高级和正高级人员相对较低。</w:t>
      </w:r>
    </w:p>
    <w:p>
      <w:pPr>
        <w:spacing w:before="120" w:after="60"/>
        <w:jc w:val="center"/>
      </w:pPr>
      <w:r>
        <w:rPr>
          <w:rFonts w:ascii="黑体" w:hAnsi="黑体" w:eastAsia="黑体"/>
          <w:b/>
          <w:sz w:val="22"/>
        </w:rPr>
        <w:t>表20  创新应用能力分职称结果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初级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4.208±0.700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无职称</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4.000±0.750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中级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3.856±1.015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副高级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3.592±0.842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正高级</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3.325±0.659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30"/>
        </w:rPr>
        <w:t>六、不同本院工作年限动态能力情况</w:t>
      </w:r>
    </w:p>
    <w:p>
      <w:pPr>
        <w:spacing w:line="384" w:lineRule="auto" w:after="60"/>
        <w:ind w:firstLine="480"/>
      </w:pPr>
      <w:r>
        <w:rPr>
          <w:rFonts w:ascii="仿宋" w:hAnsi="仿宋" w:eastAsia="仿宋"/>
          <w:b w:val="0"/>
          <w:sz w:val="24"/>
        </w:rPr>
        <w:t>不同本院工作年限组在动态能力总分及四个维度上的差异均未达到统计学显著水平。从均值看，3–5年组在多数指标上得分相对较高，11–20年组多接近全院均值，3年以下组和6–10年组围绕均值分布，20年以上组在多项指标上相对较低。20年以上组样本量仅2人，相关结果适合作为参考。</w:t>
      </w:r>
    </w:p>
    <w:p>
      <w:pPr>
        <w:spacing w:before="240" w:after="120" w:line="360" w:lineRule="auto"/>
      </w:pPr>
      <w:r>
        <w:rPr>
          <w:rFonts w:ascii="黑体" w:hAnsi="黑体" w:eastAsia="黑体"/>
          <w:b/>
          <w:sz w:val="26"/>
        </w:rPr>
        <w:t>（一）动态能力总分</w:t>
      </w:r>
    </w:p>
    <w:p>
      <w:pPr>
        <w:spacing w:line="384" w:lineRule="auto" w:after="60"/>
        <w:ind w:firstLine="480"/>
      </w:pPr>
      <w:r>
        <w:rPr>
          <w:rFonts w:ascii="仿宋" w:hAnsi="仿宋" w:eastAsia="仿宋"/>
          <w:b w:val="0"/>
          <w:sz w:val="24"/>
        </w:rPr>
        <w:t>总体差异未达到统计学显著水平（F=1.14，P=0.3485；Kruskal-Wallis P=0.2963）。</w:t>
      </w:r>
    </w:p>
    <w:p>
      <w:pPr>
        <w:spacing w:before="120" w:after="60"/>
        <w:jc w:val="center"/>
      </w:pPr>
      <w:r>
        <w:rPr>
          <w:rFonts w:ascii="黑体" w:hAnsi="黑体" w:eastAsia="黑体"/>
          <w:b/>
          <w:sz w:val="22"/>
        </w:rPr>
        <w:t>表21  动态能力总分分工作年限结果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4.213±0.905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11-20年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3.966±0.860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3年以下</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3.935±0.683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6-10年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3.827±0.637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20年以上</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2.809±0.270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（二）感知识别能力</w:t>
      </w:r>
    </w:p>
    <w:p>
      <w:pPr>
        <w:spacing w:line="384" w:lineRule="auto" w:after="60"/>
        <w:ind w:firstLine="480"/>
      </w:pPr>
      <w:r>
        <w:rPr>
          <w:rFonts w:ascii="仿宋" w:hAnsi="仿宋" w:eastAsia="仿宋"/>
          <w:b w:val="0"/>
          <w:sz w:val="24"/>
        </w:rPr>
        <w:t>总体差异未达到统计学显著水平（F=1.52，P=0.2076；Kruskal-Wallis P=0.2528）。</w:t>
      </w:r>
    </w:p>
    <w:p>
      <w:pPr>
        <w:spacing w:before="120" w:after="60"/>
        <w:jc w:val="center"/>
      </w:pPr>
      <w:r>
        <w:rPr>
          <w:rFonts w:ascii="黑体" w:hAnsi="黑体" w:eastAsia="黑体"/>
          <w:b/>
          <w:sz w:val="22"/>
        </w:rPr>
        <w:t>表22  感知识别能力分工作年限结果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4.250±0.872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11-20年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4.028±0.804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3年以下</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3.958±0.439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6-10年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3.927±0.565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20年以上</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2.750±0.354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（三）学习吸收能力</w:t>
      </w:r>
    </w:p>
    <w:p>
      <w:pPr>
        <w:spacing w:line="384" w:lineRule="auto" w:after="60"/>
        <w:ind w:firstLine="480"/>
      </w:pPr>
      <w:r>
        <w:rPr>
          <w:rFonts w:ascii="仿宋" w:hAnsi="仿宋" w:eastAsia="仿宋"/>
          <w:b w:val="0"/>
          <w:sz w:val="24"/>
        </w:rPr>
        <w:t>总体差异未达到统计学显著水平（F=1.00，P=0.4133；Kruskal-Wallis P=0.3404）。3年以下和3–5年组得分较高，11–20年组接近均值，6–10年组略低，20年以上组相对较低。</w:t>
      </w:r>
    </w:p>
    <w:p>
      <w:pPr>
        <w:spacing w:before="120" w:after="60"/>
        <w:jc w:val="center"/>
      </w:pPr>
      <w:r>
        <w:rPr>
          <w:rFonts w:ascii="黑体" w:hAnsi="黑体" w:eastAsia="黑体"/>
          <w:b/>
          <w:sz w:val="22"/>
        </w:rPr>
        <w:t>表23  学习吸收能力分工作年限结果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3年以下</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4.200±0.721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4.100±1.052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11-20年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3.955±0.948</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6-10年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3.733±0.769</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20年以上</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2.800±0.283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（四）协调整合能力</w:t>
      </w:r>
    </w:p>
    <w:p>
      <w:pPr>
        <w:spacing w:line="384" w:lineRule="auto" w:after="60"/>
        <w:ind w:firstLine="480"/>
      </w:pPr>
      <w:r>
        <w:rPr>
          <w:rFonts w:ascii="仿宋" w:hAnsi="仿宋" w:eastAsia="仿宋"/>
          <w:b w:val="0"/>
          <w:sz w:val="24"/>
        </w:rPr>
        <w:t>总体差异未达到统计学显著水平（F=1.42，P=0.2399；Kruskal-Wallis P=0.2130）。</w:t>
      </w:r>
    </w:p>
    <w:p>
      <w:pPr>
        <w:spacing w:before="120" w:after="60"/>
        <w:jc w:val="center"/>
      </w:pPr>
      <w:r>
        <w:rPr>
          <w:rFonts w:ascii="黑体" w:hAnsi="黑体" w:eastAsia="黑体"/>
          <w:b/>
          <w:sz w:val="22"/>
        </w:rPr>
        <w:t>表24  协调整合能力分工作年限结果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4.250±0.957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11-20年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4.006±0.853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3年以下</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3.917±0.764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6-10年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3.875±0.631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20年以上</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2.688±0.442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26"/>
        </w:rPr>
        <w:t>（五）创新应用能力</w:t>
      </w:r>
    </w:p>
    <w:p>
      <w:pPr>
        <w:spacing w:line="384" w:lineRule="auto" w:after="60"/>
        <w:ind w:firstLine="480"/>
      </w:pPr>
      <w:r>
        <w:rPr>
          <w:rFonts w:ascii="仿宋" w:hAnsi="仿宋" w:eastAsia="仿宋"/>
          <w:b w:val="0"/>
          <w:sz w:val="24"/>
        </w:rPr>
        <w:t>总体差异未达到统计学显著水平（F=0.71，P=0.5909；Kruskal-Wallis P=0.4344）。</w:t>
      </w:r>
    </w:p>
    <w:p>
      <w:pPr>
        <w:spacing w:before="120" w:after="60"/>
        <w:jc w:val="center"/>
      </w:pPr>
      <w:r>
        <w:rPr>
          <w:rFonts w:ascii="黑体" w:hAnsi="黑体" w:eastAsia="黑体"/>
          <w:b/>
          <w:sz w:val="22"/>
        </w:rPr>
        <w:t>表25  创新应用能力分工作年限结果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3-5年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4.250±0.957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11-20年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3.875±0.953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6-10年</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3.771±0.667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3年以下</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3.667±0.946</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20年以上</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3.000±0.000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w:t>
            </w:r>
          </w:p>
        </w:tc>
      </w:tr>
    </w:tbl>
    <w:p/>
    <w:p>
      <w:pPr>
        <w:spacing w:before="240" w:after="120" w:line="360" w:lineRule="auto"/>
      </w:pPr>
      <w:r>
        <w:rPr>
          <w:rFonts w:ascii="黑体" w:hAnsi="黑体" w:eastAsia="黑体"/>
          <w:b/>
          <w:sz w:val="30"/>
        </w:rPr>
        <w:t>七、不同主要工作内容动态能力情况</w:t>
      </w:r>
    </w:p>
    <w:p>
      <w:pPr>
        <w:spacing w:line="384" w:lineRule="auto" w:after="60"/>
        <w:ind w:firstLine="480"/>
      </w:pPr>
      <w:r>
        <w:rPr>
          <w:rFonts w:ascii="仿宋" w:hAnsi="仿宋" w:eastAsia="仿宋"/>
          <w:b w:val="0"/>
          <w:sz w:val="24"/>
        </w:rPr>
        <w:t>本次样本中主要工作内容包括管理、医疗和教学三类，教学类样本量仅1人，未观察到科研类别样本，教学结果仅作描述性参考。从均值看，管理与医疗人员在动态能力总分及四个维度上得分较为接近，均接近全院均值，差异均未达到统计学显著水平。</w:t>
      </w:r>
    </w:p>
    <w:p>
      <w:pPr>
        <w:spacing w:before="240" w:after="120" w:line="360" w:lineRule="auto"/>
      </w:pPr>
      <w:r>
        <w:rPr>
          <w:rFonts w:ascii="黑体" w:hAnsi="黑体" w:eastAsia="黑体"/>
          <w:b/>
          <w:sz w:val="26"/>
        </w:rPr>
        <w:t>（一）动态能力总分</w:t>
      </w:r>
    </w:p>
    <w:p>
      <w:pPr>
        <w:spacing w:line="384" w:lineRule="auto" w:after="60"/>
        <w:ind w:firstLine="480"/>
      </w:pPr>
      <w:r>
        <w:rPr>
          <w:rFonts w:ascii="仿宋" w:hAnsi="仿宋" w:eastAsia="仿宋"/>
          <w:b w:val="0"/>
          <w:sz w:val="24"/>
        </w:rPr>
        <w:t>总体差异未达到统计学显著水平（F=0.93，P=0.3985；Kruskal-Wallis P=0.3214）。</w:t>
      </w:r>
    </w:p>
    <w:p>
      <w:pPr>
        <w:spacing w:before="120" w:after="60"/>
        <w:jc w:val="center"/>
      </w:pPr>
      <w:r>
        <w:rPr>
          <w:rFonts w:ascii="黑体" w:hAnsi="黑体" w:eastAsia="黑体"/>
          <w:b/>
          <w:sz w:val="22"/>
        </w:rPr>
        <w:t>表26  动态能力总分分主要工作内容结果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教学</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5.000±0.000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3.944±0.774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医疗</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3.879±0.840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bl>
    <w:p/>
    <w:p>
      <w:pPr>
        <w:spacing w:before="240" w:after="120" w:line="360" w:lineRule="auto"/>
      </w:pPr>
      <w:r>
        <w:rPr>
          <w:rFonts w:ascii="黑体" w:hAnsi="黑体" w:eastAsia="黑体"/>
          <w:b/>
          <w:sz w:val="26"/>
        </w:rPr>
        <w:t>（二）感知识别能力</w:t>
      </w:r>
    </w:p>
    <w:p>
      <w:pPr>
        <w:spacing w:line="384" w:lineRule="auto" w:after="60"/>
        <w:ind w:firstLine="480"/>
      </w:pPr>
      <w:r>
        <w:rPr>
          <w:rFonts w:ascii="仿宋" w:hAnsi="仿宋" w:eastAsia="仿宋"/>
          <w:b w:val="0"/>
          <w:sz w:val="24"/>
        </w:rPr>
        <w:t>总体差异未达到统计学显著水平（F=0.98，P=0.3823；Kruskal-Wallis P=0.3480）。</w:t>
      </w:r>
    </w:p>
    <w:p>
      <w:pPr>
        <w:spacing w:before="120" w:after="60"/>
        <w:jc w:val="center"/>
      </w:pPr>
      <w:r>
        <w:rPr>
          <w:rFonts w:ascii="黑体" w:hAnsi="黑体" w:eastAsia="黑体"/>
          <w:b/>
          <w:sz w:val="22"/>
        </w:rPr>
        <w:t>表27  感知识别能力分主要工作内容结果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教学</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5.000±0.000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4.017±0.727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医疗</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3.938±0.785</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bl>
    <w:p/>
    <w:p>
      <w:pPr>
        <w:spacing w:before="240" w:after="120" w:line="360" w:lineRule="auto"/>
      </w:pPr>
      <w:r>
        <w:rPr>
          <w:rFonts w:ascii="黑体" w:hAnsi="黑体" w:eastAsia="黑体"/>
          <w:b/>
          <w:sz w:val="26"/>
        </w:rPr>
        <w:t>（三）学习吸收能力</w:t>
      </w:r>
    </w:p>
    <w:p>
      <w:pPr>
        <w:spacing w:line="384" w:lineRule="auto" w:after="60"/>
        <w:ind w:firstLine="480"/>
      </w:pPr>
      <w:r>
        <w:rPr>
          <w:rFonts w:ascii="仿宋" w:hAnsi="仿宋" w:eastAsia="仿宋"/>
          <w:b w:val="0"/>
          <w:sz w:val="24"/>
        </w:rPr>
        <w:t>总体差异未达到统计学显著水平（F=0.80，P=0.4529；Kruskal-Wallis P=0.4390）。</w:t>
      </w:r>
    </w:p>
    <w:p>
      <w:pPr>
        <w:spacing w:before="120" w:after="60"/>
        <w:jc w:val="center"/>
      </w:pPr>
      <w:r>
        <w:rPr>
          <w:rFonts w:ascii="黑体" w:hAnsi="黑体" w:eastAsia="黑体"/>
          <w:b/>
          <w:sz w:val="22"/>
        </w:rPr>
        <w:t>表28  学习吸收能力分主要工作内容结果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教学</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5.000±0.000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3.936±0.867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医疗</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3.852±0.934</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bl>
    <w:p/>
    <w:p>
      <w:pPr>
        <w:spacing w:before="240" w:after="120" w:line="360" w:lineRule="auto"/>
      </w:pPr>
      <w:r>
        <w:rPr>
          <w:rFonts w:ascii="黑体" w:hAnsi="黑体" w:eastAsia="黑体"/>
          <w:b/>
          <w:sz w:val="26"/>
        </w:rPr>
        <w:t>（四）协调整合能力</w:t>
      </w:r>
    </w:p>
    <w:p>
      <w:pPr>
        <w:spacing w:line="384" w:lineRule="auto" w:after="60"/>
        <w:ind w:firstLine="480"/>
      </w:pPr>
      <w:r>
        <w:rPr>
          <w:rFonts w:ascii="仿宋" w:hAnsi="仿宋" w:eastAsia="仿宋"/>
          <w:b w:val="0"/>
          <w:sz w:val="24"/>
        </w:rPr>
        <w:t>总体差异未达到统计学显著水平（F=0.82，P=0.4434；Kruskal-Wallis P=0.4139）。</w:t>
      </w:r>
    </w:p>
    <w:p>
      <w:pPr>
        <w:spacing w:before="120" w:after="60"/>
        <w:jc w:val="center"/>
      </w:pPr>
      <w:r>
        <w:rPr>
          <w:rFonts w:ascii="黑体" w:hAnsi="黑体" w:eastAsia="黑体"/>
          <w:b/>
          <w:sz w:val="22"/>
        </w:rPr>
        <w:t>表29  协调整合能力分主要工作内容结果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教学</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5.000±0.000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3.955±0.757</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医疗</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3.926±0.861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bl>
    <w:p/>
    <w:p>
      <w:pPr>
        <w:spacing w:before="240" w:after="120" w:line="360" w:lineRule="auto"/>
      </w:pPr>
      <w:r>
        <w:rPr>
          <w:rFonts w:ascii="黑体" w:hAnsi="黑体" w:eastAsia="黑体"/>
          <w:b/>
          <w:sz w:val="26"/>
        </w:rPr>
        <w:t>（五）创新应用能力</w:t>
      </w:r>
    </w:p>
    <w:p>
      <w:pPr>
        <w:spacing w:line="384" w:lineRule="auto" w:after="60"/>
        <w:ind w:firstLine="480"/>
      </w:pPr>
      <w:r>
        <w:rPr>
          <w:rFonts w:ascii="仿宋" w:hAnsi="仿宋" w:eastAsia="仿宋"/>
          <w:b w:val="0"/>
          <w:sz w:val="24"/>
        </w:rPr>
        <w:t>总体差异未达到统计学显著水平（F=0.90，P=0.4130；Kruskal-Wallis P=0.3377）。</w:t>
      </w:r>
    </w:p>
    <w:p>
      <w:pPr>
        <w:spacing w:before="120" w:after="60"/>
        <w:jc w:val="center"/>
      </w:pPr>
      <w:r>
        <w:rPr>
          <w:rFonts w:ascii="黑体" w:hAnsi="黑体" w:eastAsia="黑体"/>
          <w:b/>
          <w:sz w:val="22"/>
        </w:rPr>
        <w:t>表30  创新应用能力分主要工作内容结果</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类别</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样本量</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均值±标准差</w:t>
            </w:r>
          </w:p>
        </w:tc>
        <w:tc>
          <w:tcPr>
            <w:tcW w:type="dxa" w:w="2266"/>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排序</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教学</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5.000±0.000</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3.869±0.862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2</w:t>
            </w:r>
          </w:p>
        </w:tc>
      </w:tr>
      <w:tr>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医疗</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42</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3.801±0.908</w:t>
            </w:r>
          </w:p>
        </w:tc>
        <w:tc>
          <w:tcPr>
            <w:tcW w:type="dxa" w:w="2266"/>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3</w:t>
            </w:r>
          </w:p>
        </w:tc>
      </w:tr>
    </w:tbl>
    <w:p/>
    <w:p>
      <w:pPr>
        <w:spacing w:before="240" w:after="120" w:line="360" w:lineRule="auto"/>
      </w:pPr>
      <w:r>
        <w:rPr>
          <w:rFonts w:ascii="黑体" w:hAnsi="黑体" w:eastAsia="黑体"/>
          <w:b/>
          <w:sz w:val="30"/>
        </w:rPr>
        <w:t>八、公立医院动态能力及其不同维度的影响因素</w:t>
      </w:r>
    </w:p>
    <w:p>
      <w:pPr>
        <w:spacing w:line="384" w:lineRule="auto" w:after="60"/>
        <w:ind w:firstLine="480"/>
      </w:pPr>
      <w:r>
        <w:rPr>
          <w:rFonts w:ascii="仿宋" w:hAnsi="仿宋" w:eastAsia="仿宋"/>
          <w:b w:val="0"/>
          <w:sz w:val="24"/>
        </w:rPr>
        <w:t>本部分在前述分组比较基础上，引入医院文化、医院资源、医院战略、路径依赖、环境因素、员工因素和管理特征七类组织内部条件，在综合控制年龄、科室、职务、职业类型、职称、工作年限、培训次数、主要工作内容等个体与岗位变量后，分析其对动态能力总分及四个维度的作用。总体来看，七类影响因素中，员工因素对创新应用能力呈显著正向作用；其他结果在控制背景变量后均未达到统计学显著水平。后续推动创新应用能力建设，可重点关注管理者能力、医务人员业务水平以及管理与临床协同。</w:t>
      </w:r>
    </w:p>
    <w:p>
      <w:pPr>
        <w:spacing w:before="240" w:after="120" w:line="360" w:lineRule="auto"/>
      </w:pPr>
      <w:r>
        <w:rPr>
          <w:rFonts w:ascii="黑体" w:hAnsi="黑体" w:eastAsia="黑体"/>
          <w:b/>
          <w:sz w:val="26"/>
        </w:rPr>
        <w:t>（一）动态能力总分</w:t>
      </w:r>
    </w:p>
    <w:p>
      <w:pPr>
        <w:spacing w:line="384" w:lineRule="auto" w:after="60"/>
        <w:ind w:firstLine="480"/>
      </w:pPr>
      <w:r>
        <w:rPr>
          <w:rFonts w:ascii="仿宋" w:hAnsi="仿宋" w:eastAsia="仿宋"/>
          <w:b w:val="0"/>
          <w:sz w:val="24"/>
        </w:rPr>
        <w:t>七类影响因素对动态能力总分的影响均未达到统计学显著水平。</w:t>
      </w:r>
    </w:p>
    <w:p>
      <w:pPr>
        <w:spacing w:before="120" w:after="60"/>
        <w:jc w:val="center"/>
      </w:pPr>
      <w:r>
        <w:rPr>
          <w:rFonts w:ascii="黑体" w:hAnsi="黑体" w:eastAsia="黑体"/>
          <w:b/>
          <w:sz w:val="22"/>
        </w:rPr>
        <w:t>表31  动态能力总分影响因素综合调整模型结果</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影响因素</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回归系数±标准误</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医院文化</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1.288±0.745</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0.099</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医院资源</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0.179±0.340</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0.604</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医院战略</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-0.553±0.665</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0.415</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路径依赖</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-0.071±0.102</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0.492</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环境因素</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-0.028±0.153</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0.857</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员工因素</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0.463±0.262</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0.091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管理特征</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-0.325±0.655</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0.625</w:t>
            </w:r>
          </w:p>
        </w:tc>
      </w:tr>
    </w:tbl>
    <w:p/>
    <w:p>
      <w:pPr>
        <w:spacing w:before="240" w:after="120" w:line="360" w:lineRule="auto"/>
      </w:pPr>
      <w:r>
        <w:rPr>
          <w:rFonts w:ascii="黑体" w:hAnsi="黑体" w:eastAsia="黑体"/>
          <w:b/>
          <w:sz w:val="26"/>
        </w:rPr>
        <w:t>（二）感知识别能力</w:t>
      </w:r>
    </w:p>
    <w:p>
      <w:pPr>
        <w:spacing w:line="384" w:lineRule="auto" w:after="60"/>
        <w:ind w:firstLine="480"/>
      </w:pPr>
      <w:r>
        <w:rPr>
          <w:rFonts w:ascii="仿宋" w:hAnsi="仿宋" w:eastAsia="仿宋"/>
          <w:b w:val="0"/>
          <w:sz w:val="24"/>
        </w:rPr>
        <w:t>七类影响因素的影响均未达到统计学显著水平。</w:t>
      </w:r>
    </w:p>
    <w:p>
      <w:pPr>
        <w:spacing w:before="120" w:after="60"/>
        <w:jc w:val="center"/>
      </w:pPr>
      <w:r>
        <w:rPr>
          <w:rFonts w:ascii="黑体" w:hAnsi="黑体" w:eastAsia="黑体"/>
          <w:b/>
          <w:sz w:val="22"/>
        </w:rPr>
        <w:t>表32  感知识别能力影响因素综合调整模型结果</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影响因素</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回归系数±标准误</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医院文化</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1.557±1.077</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0.163</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医院资源</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0.071±0.480</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0.884</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医院战略</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-0.434±1.004</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0.67</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路径依赖</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-0.048±0.153</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0.757</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环境因素</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-0.112±0.236</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0.64</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员工因素</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0.540±0.476</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0.27</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管理特征</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-0.888±0.998</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0.384</w:t>
            </w:r>
          </w:p>
        </w:tc>
      </w:tr>
    </w:tbl>
    <w:p/>
    <w:p>
      <w:pPr>
        <w:spacing w:before="240" w:after="120" w:line="360" w:lineRule="auto"/>
      </w:pPr>
      <w:r>
        <w:rPr>
          <w:rFonts w:ascii="黑体" w:hAnsi="黑体" w:eastAsia="黑体"/>
          <w:b/>
          <w:sz w:val="26"/>
        </w:rPr>
        <w:t>（三）学习吸收能力</w:t>
      </w:r>
    </w:p>
    <w:p>
      <w:pPr>
        <w:spacing w:line="384" w:lineRule="auto" w:after="60"/>
        <w:ind w:firstLine="480"/>
      </w:pPr>
      <w:r>
        <w:rPr>
          <w:rFonts w:ascii="仿宋" w:hAnsi="仿宋" w:eastAsia="仿宋"/>
          <w:b w:val="0"/>
          <w:sz w:val="24"/>
        </w:rPr>
        <w:t>综合调整模型显示，七类影响因素对学习吸收能力的影响均未达到统计学显著水平。</w:t>
      </w:r>
    </w:p>
    <w:p>
      <w:pPr>
        <w:spacing w:before="120" w:after="60"/>
        <w:jc w:val="center"/>
      </w:pPr>
      <w:r>
        <w:rPr>
          <w:rFonts w:ascii="黑体" w:hAnsi="黑体" w:eastAsia="黑体"/>
          <w:b/>
          <w:sz w:val="22"/>
        </w:rPr>
        <w:t>表33  学习吸收能力影响因素综合调整模型结果</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影响因素</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回归系数±标准误</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医院文化</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1.768±0.996</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0.091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医院资源</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0.111±0.347</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0.752</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医院战略</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-0.965±0.753</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0.214</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路径依赖</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-0.040±0.122</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0.745</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环境因素</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-0.112±0.170</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0.516</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员工因素</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0.589±0.302</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0.065</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管理特征</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-0.265±0.716</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0.715</w:t>
            </w:r>
          </w:p>
        </w:tc>
      </w:tr>
    </w:tbl>
    <w:p/>
    <w:p>
      <w:pPr>
        <w:spacing w:before="240" w:after="120" w:line="360" w:lineRule="auto"/>
      </w:pPr>
      <w:r>
        <w:rPr>
          <w:rFonts w:ascii="黑体" w:hAnsi="黑体" w:eastAsia="黑体"/>
          <w:b/>
          <w:sz w:val="26"/>
        </w:rPr>
        <w:t>（四）协调整合能力</w:t>
      </w:r>
    </w:p>
    <w:p>
      <w:pPr>
        <w:spacing w:line="384" w:lineRule="auto" w:after="60"/>
        <w:ind w:firstLine="480"/>
      </w:pPr>
      <w:r>
        <w:rPr>
          <w:rFonts w:ascii="仿宋" w:hAnsi="仿宋" w:eastAsia="仿宋"/>
          <w:b w:val="0"/>
          <w:sz w:val="24"/>
        </w:rPr>
        <w:t>七类影响因素的影响均未达到统计学显著水平。</w:t>
      </w:r>
    </w:p>
    <w:p>
      <w:pPr>
        <w:spacing w:before="120" w:after="60"/>
        <w:jc w:val="center"/>
      </w:pPr>
      <w:r>
        <w:rPr>
          <w:rFonts w:ascii="黑体" w:hAnsi="黑体" w:eastAsia="黑体"/>
          <w:b/>
          <w:sz w:val="22"/>
        </w:rPr>
        <w:t>表34  协调整合能力影响因素综合调整模型结果</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影响因素</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回归系数±标准误</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医院文化</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0.637±0.643</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0.333</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医院资源</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0.130±0.298</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0.666</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医院战略</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0.022±0.567</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0.97</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路径依赖</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-0.082±0.086</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0.352</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环境因素</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0.033±0.141</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0.816</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员工因素</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0.041±0.252</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0.871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管理特征</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0.157±0.606</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0.798</w:t>
            </w:r>
          </w:p>
        </w:tc>
      </w:tr>
    </w:tbl>
    <w:p/>
    <w:p>
      <w:pPr>
        <w:spacing w:before="240" w:after="120" w:line="360" w:lineRule="auto"/>
      </w:pPr>
      <w:r>
        <w:rPr>
          <w:rFonts w:ascii="黑体" w:hAnsi="黑体" w:eastAsia="黑体"/>
          <w:b/>
          <w:sz w:val="26"/>
        </w:rPr>
        <w:t>（五）创新应用能力</w:t>
      </w:r>
    </w:p>
    <w:p>
      <w:pPr>
        <w:spacing w:line="384" w:lineRule="auto" w:after="60"/>
        <w:ind w:firstLine="480"/>
      </w:pPr>
      <w:r>
        <w:rPr>
          <w:rFonts w:ascii="仿宋" w:hAnsi="仿宋" w:eastAsia="仿宋"/>
          <w:b w:val="0"/>
          <w:sz w:val="24"/>
        </w:rPr>
        <w:t>综合调整模型显示，员工因素与创新应用能力呈显著正向关联（回归系数=0.683，P=0.021）。结果提示，管理者能力、医务人员业务水平以及管理与临床协同，对医院推进技术应用、服务改进和管理创新具有重要支撑作用。其余影响因素对创新应用能力的影响均未达到统计学显著水平。</w:t>
      </w:r>
    </w:p>
    <w:p>
      <w:pPr>
        <w:spacing w:before="120" w:after="60"/>
        <w:jc w:val="center"/>
      </w:pPr>
      <w:r>
        <w:rPr>
          <w:rFonts w:ascii="黑体" w:hAnsi="黑体" w:eastAsia="黑体"/>
          <w:b/>
          <w:sz w:val="22"/>
        </w:rPr>
        <w:t>表35  创新应用能力影响因素综合调整模型结果</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影响因素</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回归系数±标准误</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医院文化</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1.192±0.765</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0.134</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医院资源</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0.404±0.403</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0.327</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医院战略</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-0.834±0.697</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0.245</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路径依赖</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-0.115±0.128</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0.377</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环境因素</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0.080±0.150</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0.6</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员工因素</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0.683±0.274</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0.021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管理特征</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-0.305±0.683</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0.66</w:t>
            </w:r>
          </w:p>
        </w:tc>
      </w:tr>
    </w:tbl>
    <w:p/>
    <w:p>
      <w:pPr>
        <w:spacing w:before="240" w:after="120" w:line="360" w:lineRule="auto"/>
      </w:pPr>
      <w:r>
        <w:rPr>
          <w:rFonts w:ascii="黑体" w:hAnsi="黑体" w:eastAsia="黑体"/>
          <w:b/>
          <w:sz w:val="30"/>
        </w:rPr>
        <w:t>九、公立医院动态能力对医院绩效的影响</w:t>
      </w:r>
    </w:p>
    <w:p>
      <w:pPr>
        <w:spacing w:line="384" w:lineRule="auto" w:after="60"/>
        <w:ind w:firstLine="480"/>
      </w:pPr>
      <w:r>
        <w:rPr>
          <w:rFonts w:ascii="仿宋" w:hAnsi="仿宋" w:eastAsia="仿宋"/>
          <w:b w:val="0"/>
          <w:sz w:val="24"/>
        </w:rPr>
        <w:t>本部分分析公立医院动态能力与医院绩效表现之间的关系。绩效指标包括服务量、医疗质量、运营效率、患者满意度、员工满意度和服务公平可及性。分析中已控制年龄、性别、教育程度、专业背景、职务、职业类型、职称、工作年限、培训次数和主要工作类型等差异。为避免动态能力总分与四个维度同时纳入模型造成的共线性问题，动态能力总分和四个维度分别进入模型，表中仅呈现动态能力指标的结果。</w:t>
      </w:r>
    </w:p>
    <w:p>
      <w:pPr>
        <w:spacing w:line="384" w:lineRule="auto" w:after="60"/>
        <w:ind w:firstLine="480"/>
      </w:pPr>
      <w:r>
        <w:rPr>
          <w:rFonts w:ascii="仿宋" w:hAnsi="仿宋" w:eastAsia="仿宋"/>
          <w:b w:val="0"/>
          <w:sz w:val="24"/>
        </w:rPr>
        <w:t>总体来看，动态能力总分及四个维度与六项绩效指标均呈显著正向关联，动态能力水平越高，受访者对医院服务量、医疗质量、运营效率、患者满意度、员工满意度和服务公平可及性的评价也越高。分维度看，协调整合能力、创新应用能力和学习吸收能力在多项绩效指标中的回归系数相对较高。</w:t>
      </w:r>
    </w:p>
    <w:p>
      <w:pPr>
        <w:spacing w:before="240" w:after="120" w:line="360" w:lineRule="auto"/>
      </w:pPr>
      <w:r>
        <w:rPr>
          <w:rFonts w:ascii="黑体" w:hAnsi="黑体" w:eastAsia="黑体"/>
          <w:b/>
          <w:sz w:val="26"/>
        </w:rPr>
        <w:t>（一）服务量</w:t>
      </w:r>
    </w:p>
    <w:p>
      <w:pPr>
        <w:spacing w:line="384" w:lineRule="auto" w:after="60"/>
        <w:ind w:firstLine="480"/>
      </w:pPr>
      <w:r>
        <w:rPr>
          <w:rFonts w:ascii="仿宋" w:hAnsi="仿宋" w:eastAsia="仿宋"/>
          <w:b w:val="0"/>
          <w:sz w:val="24"/>
        </w:rPr>
        <w:t>服务量方面，动态能力总分及四个维度均呈显著正向关联。其中协调整合能力（0.507）、动态能力总分（0.495）和创新应用能力（0.477）的回归系数相对较高，提示服务量提升与资源统筹、流程衔接和创新应用能力关系较为密切。</w:t>
      </w:r>
    </w:p>
    <w:p>
      <w:pPr>
        <w:spacing w:before="120" w:after="60"/>
        <w:jc w:val="center"/>
      </w:pPr>
      <w:r>
        <w:rPr>
          <w:rFonts w:ascii="黑体" w:hAnsi="黑体" w:eastAsia="黑体"/>
          <w:b/>
          <w:sz w:val="22"/>
        </w:rPr>
        <w:t>表36  服务量影响结果</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动态能力指标</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回归系数±标准误</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动态能力总分</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0.495±0.119</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感知识别能力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0.356±0.140</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0.017</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学习吸收能力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0.447±0.102</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协调整合能力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0.507±0.123</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创新应用能力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0.477±0.097</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bl>
    <w:p/>
    <w:p>
      <w:pPr>
        <w:spacing w:before="240" w:after="120" w:line="360" w:lineRule="auto"/>
      </w:pPr>
      <w:r>
        <w:rPr>
          <w:rFonts w:ascii="黑体" w:hAnsi="黑体" w:eastAsia="黑体"/>
          <w:b/>
          <w:sz w:val="26"/>
        </w:rPr>
        <w:t>（二）医疗质量</w:t>
      </w:r>
    </w:p>
    <w:p>
      <w:pPr>
        <w:spacing w:line="384" w:lineRule="auto" w:after="60"/>
        <w:ind w:firstLine="480"/>
      </w:pPr>
      <w:r>
        <w:rPr>
          <w:rFonts w:ascii="仿宋" w:hAnsi="仿宋" w:eastAsia="仿宋"/>
          <w:b w:val="0"/>
          <w:sz w:val="24"/>
        </w:rPr>
        <w:t>医疗质量方面，动态能力总分及四个维度均呈显著正向关联。其中协调整合能力（0.489）、动态能力总分（0.476）和创新应用能力（0.461）的回归系数相对较高，提示医疗质量提升与资源整合、知识转化和创新实践能力密切相关。</w:t>
      </w:r>
    </w:p>
    <w:p>
      <w:pPr>
        <w:spacing w:before="120" w:after="60"/>
        <w:jc w:val="center"/>
      </w:pPr>
      <w:r>
        <w:rPr>
          <w:rFonts w:ascii="黑体" w:hAnsi="黑体" w:eastAsia="黑体"/>
          <w:b/>
          <w:sz w:val="22"/>
        </w:rPr>
        <w:t>表37  医疗质量影响结果</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动态能力指标</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回归系数±标准误</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动态能力总分</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0.476±0.132</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感知识别能力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0.326±0.143</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0.031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学习吸收能力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0.438±0.118</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协调整合能力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0.489±0.137</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创新应用能力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0.461±0.116</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bl>
    <w:p/>
    <w:p>
      <w:pPr>
        <w:spacing w:before="240" w:after="120" w:line="360" w:lineRule="auto"/>
      </w:pPr>
      <w:r>
        <w:rPr>
          <w:rFonts w:ascii="黑体" w:hAnsi="黑体" w:eastAsia="黑体"/>
          <w:b/>
          <w:sz w:val="26"/>
        </w:rPr>
        <w:t>（三）运营效率</w:t>
      </w:r>
    </w:p>
    <w:p>
      <w:pPr>
        <w:spacing w:line="384" w:lineRule="auto" w:after="60"/>
        <w:ind w:firstLine="480"/>
      </w:pPr>
      <w:r>
        <w:rPr>
          <w:rFonts w:ascii="仿宋" w:hAnsi="仿宋" w:eastAsia="仿宋"/>
          <w:b w:val="0"/>
          <w:sz w:val="24"/>
        </w:rPr>
        <w:t>运营效率方面，动态能力总分及四个维度均呈显著正向关联。其中协调整合能力（0.448）和动态能力总分（0.435）的回归系数相对较高，提示提高运营效率需要持续加强资源配置、流程衔接和跨部门协同。</w:t>
      </w:r>
    </w:p>
    <w:p>
      <w:pPr>
        <w:spacing w:before="120" w:after="60"/>
        <w:jc w:val="center"/>
      </w:pPr>
      <w:r>
        <w:rPr>
          <w:rFonts w:ascii="黑体" w:hAnsi="黑体" w:eastAsia="黑体"/>
          <w:b/>
          <w:sz w:val="22"/>
        </w:rPr>
        <w:t>表38  运营效率影响结果</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动态能力指标</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回归系数±标准误</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动态能力总分</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0.435±0.118</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感知识别能力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0.306±0.133</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0.029</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学习吸收能力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0.396±0.104</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协调整合能力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0.448±0.125</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创新应用能力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0.419±0.103</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bl>
    <w:p/>
    <w:p>
      <w:pPr>
        <w:spacing w:before="240" w:after="120" w:line="360" w:lineRule="auto"/>
      </w:pPr>
      <w:r>
        <w:rPr>
          <w:rFonts w:ascii="黑体" w:hAnsi="黑体" w:eastAsia="黑体"/>
          <w:b/>
          <w:sz w:val="26"/>
        </w:rPr>
        <w:t>（四）患者满意度</w:t>
      </w:r>
    </w:p>
    <w:p>
      <w:pPr>
        <w:spacing w:line="384" w:lineRule="auto" w:after="60"/>
        <w:ind w:firstLine="480"/>
      </w:pPr>
      <w:r>
        <w:rPr>
          <w:rFonts w:ascii="仿宋" w:hAnsi="仿宋" w:eastAsia="仿宋"/>
          <w:b w:val="0"/>
          <w:sz w:val="24"/>
        </w:rPr>
        <w:t>患者满意度方面，动态能力总分及四个维度均呈显著正向关联。其中协调整合能力（0.637）、动态能力总分（0.577）和创新应用能力（0.548）的回归系数相对较高，提示患者体验改善与流程协同、服务创新和资源响应能力关系较为紧密。</w:t>
      </w:r>
    </w:p>
    <w:p>
      <w:pPr>
        <w:spacing w:before="120" w:after="60"/>
        <w:jc w:val="center"/>
      </w:pPr>
      <w:r>
        <w:rPr>
          <w:rFonts w:ascii="黑体" w:hAnsi="黑体" w:eastAsia="黑体"/>
          <w:b/>
          <w:sz w:val="22"/>
        </w:rPr>
        <w:t>表39  患者满意度影响结果</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动态能力指标</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回归系数±标准误</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动态能力总分</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0.577±0.132</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感知识别能力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0.385±0.151</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0.017</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学习吸收能力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0.518±0.120</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协调整合能力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0.637±0.137</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创新应用能力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0.548±0.114</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bl>
    <w:p/>
    <w:p>
      <w:pPr>
        <w:spacing w:before="240" w:after="120" w:line="360" w:lineRule="auto"/>
      </w:pPr>
      <w:r>
        <w:rPr>
          <w:rFonts w:ascii="黑体" w:hAnsi="黑体" w:eastAsia="黑体"/>
          <w:b/>
          <w:sz w:val="26"/>
        </w:rPr>
        <w:t>（五）员工满意度</w:t>
      </w:r>
    </w:p>
    <w:p>
      <w:pPr>
        <w:spacing w:line="384" w:lineRule="auto" w:after="60"/>
        <w:ind w:firstLine="480"/>
      </w:pPr>
      <w:r>
        <w:rPr>
          <w:rFonts w:ascii="仿宋" w:hAnsi="仿宋" w:eastAsia="仿宋"/>
          <w:b w:val="0"/>
          <w:sz w:val="24"/>
        </w:rPr>
        <w:t>员工满意度方面，动态能力总分及四个维度均呈显著正向关联。其中协调整合能力（0.570）、动态能力总分（0.525）和学习吸收能力（0.483）的回归系数相对较高，提示组织运行顺畅、内部学习支持和资源协同对员工评价具有积极意义。</w:t>
      </w:r>
    </w:p>
    <w:p>
      <w:pPr>
        <w:spacing w:before="120" w:after="60"/>
        <w:jc w:val="center"/>
      </w:pPr>
      <w:r>
        <w:rPr>
          <w:rFonts w:ascii="黑体" w:hAnsi="黑体" w:eastAsia="黑体"/>
          <w:b/>
          <w:sz w:val="22"/>
        </w:rPr>
        <w:t>表40  员工满意度影响结果</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动态能力指标</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回归系数±标准误</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动态能力总分</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0.525±0.132</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感知识别能力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0.367±0.149</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0.021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学习吸收能力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0.483±0.120</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协调整合能力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0.570±0.138</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创新应用能力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0.482±0.105</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bl>
    <w:p/>
    <w:p>
      <w:pPr>
        <w:spacing w:before="240" w:after="120" w:line="360" w:lineRule="auto"/>
      </w:pPr>
      <w:r>
        <w:rPr>
          <w:rFonts w:ascii="黑体" w:hAnsi="黑体" w:eastAsia="黑体"/>
          <w:b/>
          <w:sz w:val="26"/>
        </w:rPr>
        <w:t>（六）服务公平可及性</w:t>
      </w:r>
    </w:p>
    <w:p>
      <w:pPr>
        <w:spacing w:line="384" w:lineRule="auto" w:after="60"/>
        <w:ind w:firstLine="480"/>
      </w:pPr>
      <w:r>
        <w:rPr>
          <w:rFonts w:ascii="仿宋" w:hAnsi="仿宋" w:eastAsia="仿宋"/>
          <w:b w:val="0"/>
          <w:sz w:val="24"/>
        </w:rPr>
        <w:t>服务公平可及性方面，动态能力总分及四个维度均呈显著正向关联。其中协调整合能力（0.503）、动态能力总分（0.456）和创新应用能力（0.440）的回归系数相对较高，提示优化资源配置、提升协同效率和推进服务创新，有助于改善服务公平可及性评价。</w:t>
      </w:r>
    </w:p>
    <w:p>
      <w:pPr>
        <w:spacing w:before="120" w:after="60"/>
        <w:jc w:val="center"/>
      </w:pPr>
      <w:r>
        <w:rPr>
          <w:rFonts w:ascii="黑体" w:hAnsi="黑体" w:eastAsia="黑体"/>
          <w:b/>
          <w:sz w:val="22"/>
        </w:rPr>
        <w:t>表41  服务公平可及性影响结果</w:t>
      </w:r>
    </w:p>
    <w:tbl>
      <w:tblPr>
        <w:tblW w:type="auto" w:w="0"/>
        <w:jc w:val="center"/>
        <w:tblLayout w:type="fixed"/>
        <w:tblLook w:firstColumn="1" w:firstRow="1" w:lastColumn="0" w:lastRow="0" w:noHBand="0" w:noVBand="1" w:val="04A0"/>
      </w:tblPr>
      <w:tblGrid>
        <w:gridCol w:w="3022"/>
        <w:gridCol w:w="3022"/>
        <w:gridCol w:w="3022"/>
      </w:tblGrid>
      <w:tr>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动态能力指标</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回归系数±标准误</w:t>
            </w:r>
          </w:p>
        </w:tc>
        <w:tc>
          <w:tcPr>
            <w:tcW w:type="dxa" w:w="3022"/>
            <w:vAlign w:val="center"/>
            <w:shd w:val="clear" w:color="auto" w:fill="DCE6F1"/>
            <w:tcBorders>
              <w:top w:val="single" w:sz="6" w:color="000000"/>
              <w:left w:val="single" w:sz="6" w:color="000000"/>
              <w:bottom w:val="single" w:sz="6" w:color="000000"/>
              <w:right w:val="single" w:sz="6" w:color="000000"/>
            </w:tcBorders>
          </w:tcPr>
          <w:p>
            <w:pPr>
              <w:jc w:val="center"/>
            </w:pPr>
            <w:r/>
            <w:r>
              <w:rPr>
                <w:rFonts w:ascii="黑体" w:hAnsi="黑体" w:eastAsia="黑体"/>
                <w:b/>
                <w:sz w:val="21"/>
              </w:rPr>
              <w:t>P值</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动态能力总分</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0.456±0.108</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感知识别能力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0.299±0.125</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0.024</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学习吸收能力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0.406±0.096</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协调整合能力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0.503±0.117</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r>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创新应用能力</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0.440±0.091</w:t>
            </w:r>
          </w:p>
        </w:tc>
        <w:tc>
          <w:tcPr>
            <w:tcW w:type="dxa" w:w="3022"/>
            <w:vAlign w:val="center"/>
            <w:tcBorders>
              <w:top w:val="single" w:sz="6" w:color="000000"/>
              <w:left w:val="single" w:sz="6" w:color="000000"/>
              <w:bottom w:val="single" w:sz="6" w:color="000000"/>
              <w:right w:val="single" w:sz="6" w:color="000000"/>
            </w:tcBorders>
          </w:tcPr>
          <w:p>
            <w:pPr>
              <w:jc w:val="center"/>
            </w:pPr>
            <w:r/>
            <w:r>
              <w:rPr>
                <w:rFonts w:ascii="仿宋" w:hAnsi="仿宋" w:eastAsia="仿宋"/>
                <w:b w:val="0"/>
                <w:sz w:val="21"/>
              </w:rPr>
              <w:t>&lt;0.001</w:t>
            </w:r>
          </w:p>
        </w:tc>
      </w:tr>
    </w:tbl>
    <w:p/>
    <w:p>
      <w:pPr>
        <w:spacing w:before="240" w:after="120" w:line="360" w:lineRule="auto"/>
      </w:pPr>
      <w:r>
        <w:rPr>
          <w:rFonts w:ascii="黑体" w:hAnsi="黑体" w:eastAsia="黑体"/>
          <w:b/>
          <w:sz w:val="30"/>
        </w:rPr>
        <w:t>十、发展建议</w:t>
      </w:r>
    </w:p>
    <w:p>
      <w:pPr>
        <w:spacing w:line="384" w:lineRule="auto" w:after="60"/>
        <w:ind w:firstLine="480"/>
      </w:pPr>
      <w:r>
        <w:rPr>
          <w:rFonts w:ascii="仿宋" w:hAnsi="仿宋" w:eastAsia="仿宋"/>
          <w:b w:val="0"/>
          <w:sz w:val="24"/>
        </w:rPr>
        <w:t>结合前述分析，后续动态能力建设可重点围绕以下三个方面开展工作。</w:t>
      </w:r>
    </w:p>
    <w:p>
      <w:pPr>
        <w:spacing w:before="240" w:after="120" w:line="360" w:lineRule="auto"/>
      </w:pPr>
      <w:r>
        <w:rPr>
          <w:rFonts w:ascii="黑体" w:hAnsi="黑体" w:eastAsia="黑体"/>
          <w:b/>
          <w:sz w:val="26"/>
        </w:rPr>
        <w:t>（一）突出创新应用和感知识别两个相对薄弱的维度</w:t>
      </w:r>
    </w:p>
    <w:p>
      <w:pPr>
        <w:spacing w:line="384" w:lineRule="auto" w:after="60"/>
        <w:ind w:firstLine="480"/>
      </w:pPr>
      <w:r>
        <w:rPr>
          <w:rFonts w:ascii="仿宋" w:hAnsi="仿宋" w:eastAsia="仿宋"/>
          <w:b w:val="0"/>
          <w:sz w:val="24"/>
        </w:rPr>
        <w:t>创新应用能力是本院四个维度中得分相对最低的维度，感知识别能力与其他12家医院均值的差距在四个维度中相对较大。后续可在两个方面持续加强：一是建立政策变化、患者需求变化、同行发展动向和新技术新方法等信息的常态化跟踪与研讨机制，加强感知识别能力建设；二是在服务流程优化、医疗技术应用、管理改进项目和跨机构合作等方面形成创新任务清单，推动创新应用能力提升。</w:t>
      </w:r>
    </w:p>
    <w:p>
      <w:pPr>
        <w:spacing w:before="240" w:after="120" w:line="360" w:lineRule="auto"/>
      </w:pPr>
      <w:r>
        <w:rPr>
          <w:rFonts w:ascii="黑体" w:hAnsi="黑体" w:eastAsia="黑体"/>
          <w:b/>
          <w:sz w:val="26"/>
        </w:rPr>
        <w:t>（二）加强协调整合能力，支撑医院整体绩效提升</w:t>
      </w:r>
    </w:p>
    <w:p>
      <w:pPr>
        <w:spacing w:line="384" w:lineRule="auto" w:after="60"/>
        <w:ind w:firstLine="480"/>
      </w:pPr>
      <w:r>
        <w:rPr>
          <w:rFonts w:ascii="仿宋" w:hAnsi="仿宋" w:eastAsia="仿宋"/>
          <w:b w:val="0"/>
          <w:sz w:val="24"/>
        </w:rPr>
        <w:t>动态能力与医院绩效的分析结果显示，协调整合能力在服务量、医疗质量、运营效率、患者满意度、员工满意度和服务公平可及性六项绩效指标中的回归系数多处于相对较高水平。后续可通过跨部门协作、资源统筹和流程再造，进一步加强协调整合能力，支撑医院整体绩效表现。</w:t>
      </w:r>
    </w:p>
    <w:p>
      <w:pPr>
        <w:spacing w:before="240" w:after="120" w:line="360" w:lineRule="auto"/>
      </w:pPr>
      <w:r>
        <w:rPr>
          <w:rFonts w:ascii="黑体" w:hAnsi="黑体" w:eastAsia="黑体"/>
          <w:b/>
          <w:sz w:val="26"/>
        </w:rPr>
        <w:t>（三）以员工因素为支点推进动态能力建设</w:t>
      </w:r>
    </w:p>
    <w:p>
      <w:pPr>
        <w:spacing w:line="384" w:lineRule="auto" w:after="60"/>
        <w:ind w:firstLine="480"/>
      </w:pPr>
      <w:r>
        <w:rPr>
          <w:rFonts w:ascii="仿宋" w:hAnsi="仿宋" w:eastAsia="仿宋"/>
          <w:b w:val="0"/>
          <w:sz w:val="24"/>
        </w:rPr>
        <w:t>影响因素分析结果显示，员工因素（管理者能力、医务人员业务水平以及管理与临床协同）对创新应用能力呈显著正向作用。后续可围绕管理者能力建设、医务人员业务水平提升和管理与临床协同机制三个方面开展工作，同时将医院文化、资源配置、战略推进和流程协作等作为配套工作持续完善。</w:t>
      </w:r>
    </w:p>
    <w:p>
      <w:pPr>
        <w:spacing w:before="240" w:after="120" w:line="360" w:lineRule="auto"/>
      </w:pPr>
      <w:r>
        <w:rPr>
          <w:rFonts w:ascii="黑体" w:hAnsi="黑体" w:eastAsia="黑体"/>
          <w:b/>
          <w:sz w:val="26"/>
        </w:rPr>
        <w:t>（四）关注分组比较中得分相对较低的科室和人群</w:t>
      </w:r>
    </w:p>
    <w:p>
      <w:pPr>
        <w:spacing w:line="384" w:lineRule="auto" w:after="60"/>
        <w:ind w:firstLine="480"/>
      </w:pPr>
      <w:r>
        <w:rPr>
          <w:rFonts w:ascii="仿宋" w:hAnsi="仿宋" w:eastAsia="仿宋"/>
          <w:b w:val="0"/>
          <w:sz w:val="24"/>
        </w:rPr>
        <w:t>在尊重样本量限制的前提下，分组比较结果显示，急诊相关科室、儿科和外科系在多项指标上得分相对较低，副高级及正高级职称人员、科室负责人和工作年限20年以上人员得分相对较低。后续能力建设可结合上述群体的岗位特点和实际工作情况，开展有针对性的支持与改进工作。</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