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真实 API 三方测试 | 技术评估报告</w:t>
      </w:r>
    </w:p>
    <w:p>
      <w:pPr>
        <w:pStyle w:val="Title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50"/>
        </w:rPr>
        <w:t>决策模型与基础模型</w:t>
      </w:r>
      <w:r>
        <w:br/>
      </w:r>
      <w:r>
        <w:rPr>
          <w:rFonts w:ascii="Microsoft YaHei" w:hAnsi="Microsoft YaHei" w:eastAsia="Microsoft YaHei"/>
          <w:b/>
          <w:color w:val="000000"/>
          <w:sz w:val="50"/>
        </w:rPr>
        <w:t>准确率和响应速度对比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阿里云百炼 · Microsoft Decision-1 · Qwen3.5-9B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2026-10-11 19:23:37 - 19:25:11（北京时间）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本次结果 微软准确率最高 阿里云百炼响应最快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/>
          <w:color w:val="000000"/>
          <w:sz w:val="19"/>
        </w:rPr>
        <w:t>准确率：</w:t>
      </w:r>
      <w:r>
        <w:rPr>
          <w:rFonts w:ascii="Microsoft YaHei" w:hAnsi="Microsoft YaHei" w:eastAsia="Microsoft YaHei"/>
          <w:b w:val="0"/>
          <w:color w:val="000000"/>
          <w:sz w:val="19"/>
        </w:rPr>
        <w:t xml:space="preserve">微软 12/12（100%），另外两家均 11/12（91.67%）；微软分别领先 </w:t>
      </w:r>
      <w:r>
        <w:rPr>
          <w:rFonts w:ascii="Microsoft YaHei" w:hAnsi="Microsoft YaHei" w:eastAsia="Microsoft YaHei"/>
          <w:b/>
          <w:color w:val="000000"/>
          <w:sz w:val="19"/>
        </w:rPr>
        <w:t>8.33 个百分点</w:t>
      </w:r>
      <w:r>
        <w:rPr>
          <w:rFonts w:ascii="Microsoft YaHei" w:hAnsi="Microsoft YaHei" w:eastAsia="Microsoft YaHei"/>
          <w:b w:val="0"/>
          <w:color w:val="000000"/>
          <w:sz w:val="19"/>
        </w:rPr>
        <w:t>，多答对 1 题。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相较 Qwen3.5-9B：</w:t>
      </w:r>
      <w:r>
        <w:rPr>
          <w:rFonts w:ascii="Microsoft YaHei" w:hAnsi="Microsoft YaHei" w:eastAsia="Microsoft YaHei"/>
          <w:b w:val="0"/>
          <w:color w:val="000000"/>
          <w:sz w:val="19"/>
        </w:rPr>
        <w:t xml:space="preserve">微软 P50 耗时降低 </w:t>
      </w:r>
      <w:r>
        <w:rPr>
          <w:rFonts w:ascii="Microsoft YaHei" w:hAnsi="Microsoft YaHei" w:eastAsia="Microsoft YaHei"/>
          <w:b/>
          <w:color w:val="000000"/>
          <w:sz w:val="19"/>
        </w:rPr>
        <w:t>52.64%</w:t>
      </w:r>
      <w:r>
        <w:rPr>
          <w:rFonts w:ascii="Microsoft YaHei" w:hAnsi="Microsoft YaHei" w:eastAsia="Microsoft YaHei"/>
          <w:b w:val="0"/>
          <w:color w:val="000000"/>
          <w:sz w:val="19"/>
        </w:rPr>
        <w:t xml:space="preserve">，P95 降低 </w:t>
      </w:r>
      <w:r>
        <w:rPr>
          <w:rFonts w:ascii="Microsoft YaHei" w:hAnsi="Microsoft YaHei" w:eastAsia="Microsoft YaHei"/>
          <w:b/>
          <w:color w:val="000000"/>
          <w:sz w:val="19"/>
        </w:rPr>
        <w:t>50.91%</w:t>
      </w:r>
      <w:r>
        <w:rPr>
          <w:rFonts w:ascii="Microsoft YaHei" w:hAnsi="Microsoft YaHei" w:eastAsia="Microsoft YaHei"/>
          <w:b w:val="0"/>
          <w:color w:val="000000"/>
          <w:sz w:val="19"/>
        </w:rPr>
        <w:t>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速度最快：</w:t>
      </w:r>
      <w:r>
        <w:rPr>
          <w:rFonts w:ascii="Microsoft YaHei" w:hAnsi="Microsoft YaHei" w:eastAsia="Microsoft YaHei"/>
          <w:b w:val="0"/>
          <w:color w:val="000000"/>
          <w:sz w:val="19"/>
        </w:rPr>
        <w:t>阿里云百炼 P50 为 93.6 ms，比微软低 82.62%，比 Qwen 低 91.77%。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0"/>
        <w:gridCol w:w="2240"/>
        <w:gridCol w:w="2240"/>
        <w:gridCol w:w="2240"/>
      </w:tblGrid>
      <w:tr>
        <w:trPr>
          <w:cantSplit/>
          <w:tblHeader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核心指标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阿里云百炼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微软 Decision-1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Qwen3.5-9B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首轮正确数 / 独立题数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 / 12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shd w:fill="DCF2D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12 / 12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 / 12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准确率（越高越好）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91.67%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  <w:shd w:fill="DCF2D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100.00%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91.67%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P50 ms（越低越好）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shd w:fill="DCF2D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93.6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538.6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1137.2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P95 ms（越低越好）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  <w:shd w:fill="DCF2D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207.8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925.4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1885.1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正式请求成功数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 / 36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 / 36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 / 36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重复分类一致率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100%（24 / 24）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100%（24 / 24）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100%（24 / 24）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浅绿色 = 本次指标最优；三家持平项不着色。准确率按独立题计算，延迟按正式请求计算。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/>
          <w:color w:val="000000"/>
          <w:sz w:val="19"/>
        </w:rPr>
        <w:t>如何使用：</w:t>
      </w:r>
      <w:r>
        <w:rPr>
          <w:rFonts w:ascii="Microsoft YaHei" w:hAnsi="Microsoft YaHei" w:eastAsia="Microsoft YaHei"/>
          <w:b w:val="0"/>
          <w:color w:val="000000"/>
          <w:sz w:val="19"/>
        </w:rPr>
        <w:t>本次微软相较 Qwen 既少错一题、又响应更快；阿里云百炼具有最短等待时间。重视准确性可进一步验证微软，重视时延可进一步验证阿里云百炼。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结论边界：仅 12 道人工示例；两两配对区间均包含零，不能证明总体准确率高低。Qwen 是公开托管基础模型参照，三家部署和接口不同，不能将差距全部归因于微软后训练。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阅读导航：第 2-3 页模型与设计；第 4-5 页准确率；第 6-7 页延迟；第 8 页错误案例；第 9 页概率；第 10-11 页逐题审计；第 12-13 页限制与复现。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01 / 为什么引入 Qwen3.5-9B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42400" cy="3753066"/>
            <wp:docPr id="1" name="Picture 1" descr="architecture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3753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1. 上部为微软公开披露的模型关系，下部为本次实际调用链路。图示不表示两家托管运行环境相同。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微软官方发布说明称 Microsoft-Decision-1 基于 Qwen3.5-9B 进行后训练，用于预定义选项的决策评分。因此，第三个模型采用公开托管的 Qwen3.5-9B，比引入无关通用模型更贴近“专门决策训练带来什么变化”的研究问题。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00"/>
        <w:gridCol w:w="7240"/>
      </w:tblGrid>
      <w:tr>
        <w:trPr>
          <w:cantSplit/>
          <w:tblHeader/>
        </w:trPr>
        <w:tc>
          <w:tcPr>
            <w:tcW w:type="dxa" w:w="29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模型</w:t>
            </w:r>
          </w:p>
        </w:tc>
        <w:tc>
          <w:tcPr>
            <w:tcW w:type="dxa" w:w="7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本次角色 / 接口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</w:t>
            </w:r>
          </w:p>
        </w:tc>
        <w:tc>
          <w:tcPr>
            <w:tcW w:type="dxa" w:w="7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外部决策服务参照；systemone 接口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Microsoft Decision-1</w:t>
            </w:r>
          </w:p>
        </w:tc>
        <w:tc>
          <w:tcPr>
            <w:tcW w:type="dxa" w:w="7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微软决策模型；OpenRouter alpha/decisions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Qwen3.5-9B</w:t>
            </w:r>
          </w:p>
        </w:tc>
        <w:tc>
          <w:tcPr>
            <w:tcW w:type="dxa" w:w="7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公开基础模型参照；OpenRouter chat/completions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关系确认 不等于因果隔离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 w:val="0"/>
          <w:color w:val="000000"/>
          <w:sz w:val="19"/>
        </w:rPr>
        <w:t>微软没有在本次材料中提供可复现的训练前检查点、训练数据与同硬件对照。我们测量的是三个实际可用服务的表现，不能从这些结果计算“后训练本身贡献了多少准确率或速度”。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来源：微软官方 2026-10-09 发布文章；OpenRouter Qwen3.5-9B 模型页。链接见第 13 页。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02 / 同次运行 保持可比的输入与评分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58926" cy="3365500"/>
            <wp:docPr id="2" name="Picture 2" descr="flow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8926" cy="33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2. 三家每题随机先后调用。正式记录之外，每家暖机 2 次，共 6 次；总记录 114 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0"/>
        <w:gridCol w:w="8000"/>
      </w:tblGrid>
      <w:tr>
        <w:trPr>
          <w:cantSplit/>
          <w:tblHeader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设置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本次实际配置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条中文人工示例；物理、化学、生物各 4 条；三标签各 4 条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运行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轮、并发 1、种子 42；每家长连接 Session；无自动重试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计时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发出 HTTP 前至完整响应体接收；不含 JSON 解析、本地评分及 0.1 秒停顿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 参数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 DeepInfra / BF16；temperature=0；max_tokens=256；reasoning.enabled=false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输出适配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 使用 strict JSON schema 只输出类别键；三家采用相同 state/questions</w:t>
            </w:r>
          </w:p>
        </w:tc>
      </w:tr>
      <w:tr>
        <w:trPr>
          <w:cantSplit/>
        </w:trPr>
        <w:tc>
          <w:tcPr>
            <w:tcW w:type="dxa" w:w="2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耗时总计</w:t>
            </w:r>
          </w:p>
        </w:tc>
        <w:tc>
          <w:tcPr>
            <w:tcW w:type="dxa" w:w="8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93.68 秒（包含暖机和停顿）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准确率仅使用首轮 12 个独立输入；后两轮用于延迟与重复稳定性。Qwen 的固定系统提示和 JSON schema 用于输出适配；它与决策 API 的提示封装和计算方式仍不同。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连通性检查不纳入正式记录。原始业务 JSON 为 262-284 字符；Qwen 额外携带格式提示，实际 Token 不强行对齐。Qwen 全部 38 次调用的 reasoning_tokens 均为 0。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03 / 准确率 微软多对一题 仍需更多样本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088624" cy="4254500"/>
            <wp:docPr id="3" name="Picture 3" descr="accuracy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8624" cy="425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3. 上图每点代表一题，下图展示首轮准确率的不确定性。阿里云百炼与 Qwen 错误发生在不同样本上。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00"/>
        <w:gridCol w:w="2300"/>
        <w:gridCol w:w="3040"/>
      </w:tblGrid>
      <w:tr>
        <w:trPr>
          <w:cantSplit/>
          <w:tblHeader/>
        </w:trPr>
        <w:tc>
          <w:tcPr>
            <w:tcW w:type="dxa" w:w="4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配对差（左减右）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观察差 / 百分点</w:t>
            </w:r>
          </w:p>
        </w:tc>
        <w:tc>
          <w:tcPr>
            <w:tcW w:type="dxa" w:w="3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95% bootstrap 区间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 - 微软 Decision-1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-8.33</w:t>
            </w:r>
          </w:p>
        </w:tc>
        <w:tc>
          <w:tcPr>
            <w:tcW w:type="dxa" w:w="3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[-25.00, +0.00]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 - Qwen3.5-9B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+0.00</w:t>
            </w:r>
          </w:p>
        </w:tc>
        <w:tc>
          <w:tcPr>
            <w:tcW w:type="dxa" w:w="3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[-25.00, +25.00]</w:t>
            </w:r>
          </w:p>
        </w:tc>
      </w:tr>
      <w:tr>
        <w:trPr>
          <w:cantSplit/>
        </w:trPr>
        <w:tc>
          <w:tcPr>
            <w:tcW w:type="dxa" w:w="4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 Decision-1 - Qwen3.5-9B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+8.33</w:t>
            </w:r>
          </w:p>
        </w:tc>
        <w:tc>
          <w:tcPr>
            <w:tcW w:type="dxa" w:w="3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[+0.00, +25.00]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微软相对另外两家均多对 1 道题，差 8.33 个百分点。阿里云百炼与 Qwen 得分相同，但并不代表行为相同：两家各有一道对方答对的错题。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2,000 次 bootstrap 按输入 ID 配对重采样；区间均包含零。三个区间为探索性比较，未做多重比较校正。12 道人工选题不能代表真实科研总体分布，区间无法修正选题偏差。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04 / 三类错误与学科表现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42400" cy="2227745"/>
            <wp:docPr id="4" name="Picture 4" descr="confusion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227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4. 每家首轮 12 题。行表示标准答案，列表示模型预测；非对角线格子是误分类。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0"/>
        <w:gridCol w:w="2240"/>
        <w:gridCol w:w="2240"/>
        <w:gridCol w:w="2240"/>
      </w:tblGrid>
      <w:tr>
        <w:trPr>
          <w:cantSplit/>
          <w:tblHeader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阿里云百炼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微软 Decision-1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Qwen3.5-9B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合并 Macro-F1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0.9153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  <w:shd w:fill="DCF2D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1.0000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0.9153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物理正确数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化学正确数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生物正确数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/ 4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/ 4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阿里云百炼 把数值反驳判为支持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demo-002 的 A 电阻为 2 Ω、B 为 7 Ω，结论“A 大于 B”应被反驳；阿里云百炼返回支持。其反驳类召回率为 3/4，支持类精确率为 4/5。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Qwen3.5-9B 把缺少证据判为反驳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demo-012 没有测量目标基因表达，只有 pH 记录，标准答案为信息不足；Qwen 返回反驳。其信息不足类召回率为 3/4，反驳类精确率为 4/5。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不要把 4 道题当成专业能力排名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 w:val="0"/>
          <w:color w:val="000000"/>
          <w:sz w:val="19"/>
        </w:rPr>
        <w:t>每个学科仅 4 条短记录，主要考察给定证据与结论的关系。这不是对物理建模、化学机制或生物研究能力的完整测试。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05 / 响应速度 三个服务的等待差距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398264" cy="2705100"/>
            <wp:docPr id="5" name="Picture 5" descr="latency_bars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b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8264" cy="270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5. 两图横轴从零开始、刻度一致；每家 36 次正式请求，越短越快。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540"/>
        <w:gridCol w:w="2300"/>
        <w:gridCol w:w="2300"/>
      </w:tblGrid>
      <w:tr>
        <w:trPr>
          <w:cantSplit/>
          <w:tblHeader/>
        </w:trPr>
        <w:tc>
          <w:tcPr>
            <w:tcW w:type="dxa" w:w="5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更快服务 / 对照服务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P50 降低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P95 降低</w:t>
            </w:r>
          </w:p>
        </w:tc>
      </w:tr>
      <w:tr>
        <w:trPr>
          <w:cantSplit/>
        </w:trPr>
        <w:tc>
          <w:tcPr>
            <w:tcW w:type="dxa" w:w="5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 / 微软 Decision-1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82.62%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77.55%</w:t>
            </w:r>
          </w:p>
        </w:tc>
      </w:tr>
      <w:tr>
        <w:trPr>
          <w:cantSplit/>
        </w:trPr>
        <w:tc>
          <w:tcPr>
            <w:tcW w:type="dxa" w:w="5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 / Qwen3.5-9B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91.77%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88.98%</w:t>
            </w:r>
          </w:p>
        </w:tc>
      </w:tr>
      <w:tr>
        <w:trPr>
          <w:cantSplit/>
        </w:trPr>
        <w:tc>
          <w:tcPr>
            <w:tcW w:type="dxa" w:w="5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 Decision-1 / Qwen3.5-9B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52.64%</w:t>
            </w:r>
          </w:p>
        </w:tc>
        <w:tc>
          <w:tcPr>
            <w:tcW w:type="dxa" w:w="23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50.91%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42400" cy="2545965"/>
            <wp:docPr id="6" name="Picture 6" descr="latency_scatter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545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6. 左图为全部正式请求；右图为经验累积分布。请求失败率三家均为 0%，因此成功子集与全部尝试一致。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百分比均以对照服务耗时为分母。P95 为线性插值分位数，不是最大耗时或 SLA。网络、网关、服务排队及生成过程均包含在客户端耗时内。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06 / 同题延迟、轮次变化与暖机</w:t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42400" cy="2734480"/>
            <wp:docPr id="7" name="Picture 7" descr="sameinput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in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73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7. 同一题三轮的耗时中位数；每组展示三家，便于观察速度差异是否只来自单一道题。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2380"/>
        <w:gridCol w:w="2380"/>
        <w:gridCol w:w="2380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轮次 / P50-P95 ms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阿里云百炼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微软 Decision-1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Qwen3.5-9B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93.8 / 106.2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536.0 / 955.6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1230.9 / 2075.0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92.6 / 287.3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544.1 / 763.8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1068.3 / 1877.3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94.9 / 353.1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534.0 / 857.2</w:t>
            </w:r>
          </w:p>
        </w:tc>
        <w:tc>
          <w:tcPr>
            <w:tcW w:type="dxa" w:w="238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962.4 / 1367.9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40"/>
        <w:gridCol w:w="2800"/>
        <w:gridCol w:w="2800"/>
      </w:tblGrid>
      <w:tr>
        <w:trPr>
          <w:cantSplit/>
          <w:tblHeader/>
        </w:trPr>
        <w:tc>
          <w:tcPr>
            <w:tcW w:type="dxa" w:w="4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暖机 / ms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第 1 次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第 2 次</w:t>
            </w:r>
          </w:p>
        </w:tc>
      </w:tr>
      <w:tr>
        <w:trPr>
          <w:cantSplit/>
        </w:trPr>
        <w:tc>
          <w:tcPr>
            <w:tcW w:type="dxa" w:w="4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634.8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87.2</w:t>
            </w:r>
          </w:p>
        </w:tc>
      </w:tr>
      <w:tr>
        <w:trPr>
          <w:cantSplit/>
        </w:trPr>
        <w:tc>
          <w:tcPr>
            <w:tcW w:type="dxa" w:w="4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 Decision-1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6968.5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865.1</w:t>
            </w:r>
          </w:p>
        </w:tc>
      </w:tr>
      <w:tr>
        <w:trPr>
          <w:cantSplit/>
        </w:trPr>
        <w:tc>
          <w:tcPr>
            <w:tcW w:type="dxa" w:w="45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Qwen3.5-9B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3234.9</w:t>
            </w:r>
          </w:p>
        </w:tc>
        <w:tc>
          <w:tcPr>
            <w:tcW w:type="dxa" w:w="28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1545.7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暖机全部排除主要延迟统计。微软首个暖机调用明显较慢，提醒我们连接或首次调用状态可能影响用户体验；仅凭这一条不能定位为模型加载、网络还是排队。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Qwen 采用固定上游且禁止回退；微软本次实际为 Azure。重复完全相同输入可能受云端缓存影响；客户端无缓存，但本次未隔离服务端缓存。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07 / 两个稳定错误 错在不同环节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demo-002 数值冲突 2 Ω 小于 7 Ω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/>
          <w:color w:val="000000"/>
          <w:sz w:val="19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9"/>
        </w:rPr>
        <w:t>样品 A 的电阻大于样品 B。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9"/>
        </w:rPr>
        <w:t>同温度下，A 电阻 2 Ω，B 电阻 7 Ω。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标准答案：</w:t>
      </w:r>
      <w:r>
        <w:rPr>
          <w:rFonts w:ascii="Microsoft YaHei" w:hAnsi="Microsoft YaHei" w:eastAsia="Microsoft YaHei"/>
          <w:b w:val="0"/>
          <w:color w:val="000000"/>
          <w:sz w:val="19"/>
        </w:rPr>
        <w:t>反驳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0"/>
        <w:gridCol w:w="4820"/>
        <w:gridCol w:w="2400"/>
      </w:tblGrid>
      <w:tr>
        <w:trPr>
          <w:cantSplit/>
          <w:tblHeader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三轮分类输出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首轮所选概率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支持 / 支持 / 支持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1.000000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 Decision-1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反驳 / 反驳 / 反驳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0.998859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Qwen3.5-9B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反驳 / 反驳 / 反驳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不可用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demo-012 证据缺失 未测量基因表达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/>
          <w:color w:val="000000"/>
          <w:sz w:val="19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9"/>
        </w:rPr>
        <w:t>处理会改变基因表达量。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9"/>
        </w:rPr>
        <w:t>本实验只测量了培养液 pH，没有测量基因表达。</w:t>
      </w:r>
      <w:r>
        <w:br/>
      </w:r>
      <w:r>
        <w:rPr>
          <w:rFonts w:ascii="Microsoft YaHei" w:hAnsi="Microsoft YaHei" w:eastAsia="Microsoft YaHei"/>
          <w:b/>
          <w:color w:val="000000"/>
          <w:sz w:val="19"/>
        </w:rPr>
        <w:t>标准答案：</w:t>
      </w:r>
      <w:r>
        <w:rPr>
          <w:rFonts w:ascii="Microsoft YaHei" w:hAnsi="Microsoft YaHei" w:eastAsia="Microsoft YaHei"/>
          <w:b w:val="0"/>
          <w:color w:val="000000"/>
          <w:sz w:val="19"/>
        </w:rPr>
        <w:t>信息不足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20"/>
        <w:gridCol w:w="4820"/>
        <w:gridCol w:w="2400"/>
      </w:tblGrid>
      <w:tr>
        <w:trPr>
          <w:cantSplit/>
          <w:tblHeader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服务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三轮分类输出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首轮所选概率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信息不足 / 信息不足 / 信息不足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0.990000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 Decision-1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信息不足 / 信息不足 / 信息不足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0.914653</w:t>
            </w:r>
          </w:p>
        </w:tc>
      </w:tr>
      <w:tr>
        <w:trPr>
          <w:cantSplit/>
        </w:trPr>
        <w:tc>
          <w:tcPr>
            <w:tcW w:type="dxa" w:w="29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Qwen3.5-9B</w:t>
            </w:r>
          </w:p>
        </w:tc>
        <w:tc>
          <w:tcPr>
            <w:tcW w:type="dxa" w:w="48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反驳 / 反驳 / 反驳</w:t>
            </w:r>
          </w:p>
        </w:tc>
        <w:tc>
          <w:tcPr>
            <w:tcW w:type="dxa" w:w="24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不可用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三家重复分类一致率均为 24/24。阿里云百炼在 demo-002、Qwen 在 demo-012 上三轮都错，说明“输出稳定”不能替代“输出正确”。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没有证据不等于结论被反驳。科学应用中应为缺失测量保留“信息不足”类别；可计算数值关系应配合确定性规则校验。原始接口输出不能用于反推出模型内部错误原因。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08 / 概率质量 只比较实际返回的概率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0"/>
        <w:gridCol w:w="2240"/>
        <w:gridCol w:w="2240"/>
        <w:gridCol w:w="2240"/>
      </w:tblGrid>
      <w:tr>
        <w:trPr>
          <w:cantSplit/>
          <w:tblHeader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指标 / 首轮 n=12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阿里云百炼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微软 Decision-1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Qwen3.5-9B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Brier（越低越好）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0.176367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0.001280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ECE（越低越好）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0.100000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0.009176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342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有效概率分布数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/ 12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 / 12</w:t>
            </w:r>
          </w:p>
        </w:tc>
        <w:tc>
          <w:tcPr>
            <w:tcW w:type="dxa" w:w="22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 / 12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keepNext/>
        <w:spacing w:after="80" w:line="240" w:lineRule="auto"/>
        <w:jc w:val="center"/>
      </w:pPr>
      <w:r>
        <w:rPr>
          <w:sz w:val="2"/>
        </w:rPr>
        <w:drawing>
          <wp:inline xmlns:a="http://schemas.openxmlformats.org/drawingml/2006/main" xmlns:pic="http://schemas.openxmlformats.org/drawingml/2006/picture">
            <wp:extent cx="6442400" cy="2448554"/>
            <wp:docPr id="8" name="Picture 8" descr="calibration 三方测试数据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2400" cy="2448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图 8. 左图为非空概率分箱，右图按所选类别概率排序展示覆盖率；Qwen 没有分布，因此不画概率曲线。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为什么 Qwen 不显示 Brier 和 ECE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本次 Chat 基线只请求类别键。模型自报的“我有 90% 把握”不等于原生类别概率；将输出类别转换成 0/1 分布也会制造不存在的确定性。因此 Qwen 的相关指标应留空，而不是填零或按错误计分。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怎样理解另外两家的概率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 w:val="0"/>
          <w:color w:val="000000"/>
          <w:sz w:val="19"/>
        </w:rPr>
        <w:t>Brier 使用完整类别分布与标准标签计算平方误差；ECE 使用所选类别的概率与分箱实际正确率对比。两家接口 confidence 未用于跨厂商校准比较。阿里云百炼的高概率错题仍会进入高置信自动处理子集。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只有 12 题，概率分箱和覆盖率曲线十分不稳定。阈值必须在独立开发集选择，再在独立测试集验证，不能据此确定科研自动审核规则。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09 / 逐题审计 001-006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以下为原始输入、本地标准答案和三家首轮输出。P 表示所选类别概率；Qwen 未请求概率，记为 N/A。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demo-001 | 标准：支持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样品 A 的电阻大于样品 B。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同温度下，A 电阻 8 Ω，B 电阻 3 Ω。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阿里云百炼：支持；P=1.0000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Decision-1：支持；P=0.9998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Qwen3.5-9B：支持；P=N/A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demo-002 | 标准：反驳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样品 A 的电阻大于样品 B。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同温度下，A 电阻 2 Ω，B 电阻 7 Ω。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阿里云百炼：支持；P=1.0000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Decision-1：反驳；P=0.9989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Qwen3.5-9B：反驳；P=N/A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demo-003 | 标准：信息不足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样品 A 的电阻大于样品 B。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测得样品 A 电阻 8 Ω，未测量 B。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阿里云百炼：信息不足；P=0.7600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Decision-1：信息不足；P=0.9998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Qwen3.5-9B：信息不足；P=N/A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demo-004 | 标准：支持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本次模拟已满足残差收敛标准。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残差收敛标准为低于 1e-6；最终残差为 2e-8。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阿里云百炼：支持；P=1.0000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Decision-1：支持；P=0.9992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Qwen3.5-9B：支持；P=N/A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demo-005 | 标准：支持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在记录的条件下，催化剂 X 的产率高于 Y。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相同反应条件下，X 的产率 80%，Y 的产率 60%。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阿里云百炼：支持；P=1.0000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Decision-1：支持；P=0.9998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Qwen3.5-9B：支持；P=N/A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demo-006 | 标准：反驳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样品中检测到氯离子。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检测报告明确记录：氯离子检测结果阴性。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阿里云百炼：反驳；P=0.9900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Decision-1：反驳；P=0.9994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Qwen3.5-9B：反驳；P=N/A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10 / 逐题审计 007-012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以下为原始输入、本地标准答案和三家首轮输出。P 表示所选类别概率；Qwen 未请求概率，记为 N/A。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demo-007 | 标准：信息不足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催化剂 X 比 Y 更耐长期使用。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只记录了 X 与 Y 的首次反应产率，没有长期测试。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阿里云百炼：信息不足；P=1.0000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Decision-1：信息不足；P=0.9998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Qwen3.5-9B：信息不足；P=N/A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demo-008 | 标准：反驳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反应在 25 摄氏度完成。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实验日志：恒温 60 摄氏度，反应结束；未进行 25 摄氏度实验。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阿里云百炼：反驳；P=0.9800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Decision-1：反驳；P=0.9796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Qwen3.5-9B：反驳；P=N/A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demo-009 | 标准：支持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处理组平均细胞数高于对照组。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处理组平均细胞数 120，对照组平均细胞数 80。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阿里云百炼：支持；P=1.0000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Decision-1：支持；P=0.9997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Qwen3.5-9B：支持；P=N/A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demo-010 | 标准：反驳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实验使用了小鼠。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实验记录明确说明仅使用酵母，未使用动物。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阿里云百炼：反驳；P=1.0000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Decision-1：反驳；P=0.9994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Qwen3.5-9B：反驳；P=N/A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demo-011 | 标准：信息不足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处理可提高细胞存活率。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记录只给出了处理组的荧光强度，没有存活率数据或对照。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阿里云百炼：信息不足；P=1.0000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Decision-1：信息不足；P=0.9998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Qwen3.5-9B：信息不足；P=N/A</w:t>
      </w:r>
    </w:p>
    <w:p>
      <w:pPr>
        <w:keepNext/>
        <w:spacing w:before="0" w:after="14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demo-012 | 标准：信息不足</w:t>
      </w:r>
    </w:p>
    <w:p>
      <w:pPr>
        <w:keepNext w:val="0"/>
        <w:spacing w:before="0" w:after="180" w:line="246" w:lineRule="exact"/>
      </w:pPr>
      <w:r>
        <w:rPr>
          <w:rFonts w:ascii="Microsoft YaHei" w:hAnsi="Microsoft YaHei" w:eastAsia="Microsoft YaHei"/>
          <w:b/>
          <w:color w:val="000000"/>
          <w:sz w:val="16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16"/>
        </w:rPr>
        <w:t>处理会改变基因表达量。</w:t>
      </w:r>
      <w:r>
        <w:br/>
      </w:r>
      <w:r>
        <w:rPr>
          <w:rFonts w:ascii="Microsoft YaHei" w:hAnsi="Microsoft YaHei" w:eastAsia="Microsoft YaHei"/>
          <w:b/>
          <w:color w:val="000000"/>
          <w:sz w:val="16"/>
        </w:rPr>
        <w:t>记录：</w:t>
      </w:r>
      <w:r>
        <w:rPr>
          <w:rFonts w:ascii="Microsoft YaHei" w:hAnsi="Microsoft YaHei" w:eastAsia="Microsoft YaHei"/>
          <w:b w:val="0"/>
          <w:color w:val="000000"/>
          <w:sz w:val="16"/>
        </w:rPr>
        <w:t>本实验只测量了培养液 pH，没有测量基因表达。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阿里云百炼：信息不足；P=0.9900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微软 Decision-1：信息不足；P=0.9147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Qwen3.5-9B：反驳；P=N/A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11 / 结论边界与下一轮实验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00"/>
        <w:gridCol w:w="5140"/>
      </w:tblGrid>
      <w:tr>
        <w:trPr>
          <w:cantSplit/>
          <w:tblHeader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已经观察到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还不能据此推断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微软本次准确率最高；阿里云百炼最快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整体科学能力排名，或任何专业场景下的稳定胜出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微软比 Qwen 少错一题且响应更快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训练数据、模型改造、接口、硬件分别贡献了多少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 请求 BF16 与关闭思考；返回 reasoning_tokens=0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所有未观测的服务端执行细节完全一致或可控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三家本次 108 次正式请求均成功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长期可用性、高并发吞吐量、SLA 或异常恢复能力</w:t>
            </w:r>
          </w:p>
        </w:tc>
      </w:tr>
      <w:tr>
        <w:trPr>
          <w:cantSplit/>
        </w:trPr>
        <w:tc>
          <w:tcPr>
            <w:tcW w:type="dxa" w:w="50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三家三轮输出均稳定</w:t>
            </w:r>
          </w:p>
        </w:tc>
        <w:tc>
          <w:tcPr>
            <w:tcW w:type="dxa" w:w="51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预测正确、概率已校准或可以无人复核上线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面向科学项目的正式评测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/>
          <w:color w:val="000000"/>
          <w:sz w:val="19"/>
        </w:rPr>
        <w:t>数据：</w:t>
      </w:r>
      <w:r>
        <w:rPr>
          <w:rFonts w:ascii="Microsoft YaHei" w:hAnsi="Microsoft YaHei" w:eastAsia="Microsoft YaHei"/>
          <w:b w:val="0"/>
          <w:color w:val="000000"/>
          <w:sz w:val="19"/>
        </w:rPr>
        <w:t>至少从数百条独立、专业标注样本开始；加入数值与单位、反事实对照、证据缺失、长文献摘要。按论文或实验对象分组划分开发集和测试集，避免同源样本泄漏。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/>
          <w:color w:val="000000"/>
          <w:sz w:val="19"/>
        </w:rPr>
        <w:t>对照：</w:t>
      </w:r>
      <w:r>
        <w:rPr>
          <w:rFonts w:ascii="Microsoft YaHei" w:hAnsi="Microsoft YaHei" w:eastAsia="Microsoft YaHei"/>
          <w:b w:val="0"/>
          <w:color w:val="000000"/>
          <w:sz w:val="19"/>
        </w:rPr>
        <w:t>保留三家真实服务测试，并增加规则基线。若要研究后训练的因果效果，需要同一硬件、精度、推理引擎和受控提示条件，以及可访问的对应权重或检查点。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/>
          <w:color w:val="000000"/>
          <w:sz w:val="19"/>
        </w:rPr>
        <w:t>运行：</w:t>
      </w:r>
      <w:r>
        <w:rPr>
          <w:rFonts w:ascii="Microsoft YaHei" w:hAnsi="Microsoft YaHei" w:eastAsia="Microsoft YaHei"/>
          <w:b w:val="0"/>
          <w:color w:val="000000"/>
          <w:sz w:val="19"/>
        </w:rPr>
        <w:t>分开测试短/长输入、首次出现/重复输入、多个时段及并发等级；另设 Qwen 开启思考实验，不与本次关闭思考结果混合。</w:t>
      </w:r>
    </w:p>
    <w:p>
      <w:pPr>
        <w:keepNext w:val="0"/>
        <w:spacing w:before="0" w:after="140"/>
      </w:pPr>
      <w:r>
        <w:rPr>
          <w:rFonts w:ascii="Microsoft YaHei" w:hAnsi="Microsoft YaHei" w:eastAsia="Microsoft YaHei"/>
          <w:b/>
          <w:color w:val="000000"/>
          <w:sz w:val="19"/>
        </w:rPr>
        <w:t>统计：</w:t>
      </w:r>
      <w:r>
        <w:rPr>
          <w:rFonts w:ascii="Microsoft YaHei" w:hAnsi="Microsoft YaHei" w:eastAsia="Microsoft YaHei"/>
          <w:b w:val="0"/>
          <w:color w:val="000000"/>
          <w:sz w:val="19"/>
        </w:rPr>
        <w:t>按独立研究对象计算配对差和置信区间，预注册主要指标及关键漏判成本。三方多重比较需预先选择校正方案；总分之外同时看错误类型、失败率和延迟尾部。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建议优先补充的两类题</w:t>
      </w:r>
    </w:p>
    <w:p>
      <w:pPr>
        <w:keepNext w:val="0"/>
        <w:spacing w:before="0" w:after="180"/>
      </w:pPr>
      <w:r>
        <w:rPr>
          <w:rFonts w:ascii="Microsoft YaHei" w:hAnsi="Microsoft YaHei" w:eastAsia="Microsoft YaHei"/>
          <w:b w:val="0"/>
          <w:color w:val="000000"/>
          <w:sz w:val="19"/>
        </w:rPr>
        <w:t>围绕 demo-002 扩展数值比较与单位变体；围绕 demo-012 扩展“没有证据”和“相反证据”的区分。新增变体单独作为诊断集，不回填当前测试集来夸大改进。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6"/>
        </w:rPr>
        <w:t>12 / 复现、原始证据与参考资料</w:t>
      </w:r>
    </w:p>
    <w:p>
      <w:pPr>
        <w:keepNext w:val="0"/>
        <w:spacing w:before="0" w:after="12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cd C:\decision\decision-benchmark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python benchmark.py --env-override run --providers bailian,microsoft,qwen --rounds 3 --warmup 2 --concurrency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0"/>
        <w:gridCol w:w="8040"/>
      </w:tblGrid>
      <w:tr>
        <w:trPr>
          <w:cantSplit/>
          <w:tblHeader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E7EEF5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记录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实际模型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decision-model-preview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microsoft/microsoft-decision-1-20261009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qwen/qwen3.5-9b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实际上游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阿里云百炼；微软 Azure；Qwen DeepInfra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环境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Python 3.12.7；requests 2.32.5；并发 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软件验证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8FAFC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26 项离线测试通过；覆盖答案隔离、严格输出校验、概率缺失、三组配对统计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三方原始记录</w:t>
            </w:r>
          </w:p>
        </w:tc>
        <w:tc>
          <w:tcPr>
            <w:tcW w:type="dxa" w:w="8040"/>
            <w:vAlign w:val="center"/>
            <w:tcMar>
              <w:top w:w="95" w:type="dxa"/>
              <w:bottom w:w="95" w:type="dxa"/>
              <w:left w:w="130" w:type="dxa"/>
              <w:right w:w="130" w:type="dxa"/>
            </w:tcMar>
            <w:shd w:fill="FFFFFF"/>
          </w:tcPr>
          <w:p>
            <w:pPr>
              <w:keepNext w:val="0"/>
              <w:spacing w:before="0" w:after="0" w:line="246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C:\decision\decision-benchmark\results\20261011T112337_746433Z</w:t>
            </w:r>
          </w:p>
        </w:tc>
      </w:tr>
    </w:tbl>
    <w:p>
      <w:pPr>
        <w:spacing w:after="80" w:before="0" w:line="20" w:lineRule="exact"/>
      </w:pPr>
      <w:r>
        <w:rPr>
          <w:rFonts w:ascii="Microsoft YaHei" w:hAnsi="Microsoft YaHei"/>
          <w:b w:val="0"/>
          <w:color w:val="000000"/>
          <w:sz w:val="2"/>
        </w:rPr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request_payload 保存实际发送业务载荷，raw_response 保存接口返回；均不含认证头。Qwen 的系统提示、JSON schema 和路由参数可逐条审计；标准答案只在本地 dataset.jsonl 内。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dataset.jsonl SHA-256: f3cce6261ac63ce3d4bc22b18fd7af00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9a45142d6f039ff88d708da791cd9d88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requests.jsonl SHA-256: 8593310448f9ccb3a3d1020a38f466c4</w:t>
      </w:r>
      <w:r>
        <w:br/>
      </w:r>
      <w:r>
        <w:rPr>
          <w:rFonts w:ascii="Microsoft YaHei" w:hAnsi="Microsoft YaHei" w:eastAsia="Microsoft YaHei"/>
          <w:b w:val="0"/>
          <w:color w:val="000000"/>
          <w:sz w:val="16"/>
        </w:rPr>
        <w:t>af1d63198a7a2ee0bc49e3a10f42a880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指标口径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Accuracy = 首轮正确题数 / 12；Macro-F1 为合并三类 F1 的算术平均；P50/P95 使用每家 36 次正式成功请求和线性插值。暖机排除。概率缺失按不可用处理，服务失败则计入准确率错误。</w:t>
      </w:r>
    </w:p>
    <w:p>
      <w:pPr>
        <w:pStyle w:val="Heading2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23"/>
        </w:rPr>
        <w:t>来源与接口文档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微软：Decision-1 后训练基础与发布说明：</w:t>
      </w:r>
      <w:r>
        <w:rPr>
          <w:rFonts w:ascii="Microsoft YaHei" w:hAnsi="Microsoft YaHei" w:eastAsia="Microsoft YaHei"/>
          <w:b w:val="0"/>
          <w:color w:val="000000"/>
          <w:sz w:val="16"/>
        </w:rPr>
        <w:t>https://commandline.microsoft.com/microsoft-decision-1-model-foundry/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Qwen 官方模型卡：</w:t>
      </w:r>
      <w:r>
        <w:rPr>
          <w:rFonts w:ascii="Microsoft YaHei" w:hAnsi="Microsoft YaHei" w:eastAsia="Microsoft YaHei"/>
          <w:b w:val="0"/>
          <w:color w:val="000000"/>
          <w:sz w:val="16"/>
        </w:rPr>
        <w:t>https://huggingface.co/Qwen/Qwen3.5-9B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OpenRouter Qwen3.5-9B：</w:t>
      </w:r>
      <w:r>
        <w:rPr>
          <w:rFonts w:ascii="Microsoft YaHei" w:hAnsi="Microsoft YaHei" w:eastAsia="Microsoft YaHei"/>
          <w:b w:val="0"/>
          <w:color w:val="000000"/>
          <w:sz w:val="16"/>
        </w:rPr>
        <w:t>https://openrouter.ai/qwen/qwen3.5-9b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结构化输出：</w:t>
      </w:r>
      <w:r>
        <w:rPr>
          <w:rFonts w:ascii="Microsoft YaHei" w:hAnsi="Microsoft YaHei" w:eastAsia="Microsoft YaHei"/>
          <w:b w:val="0"/>
          <w:color w:val="000000"/>
          <w:sz w:val="16"/>
        </w:rPr>
        <w:t>https://openrouter.ai/docs/guides/features/structured-outputs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阿里云百炼决策接口：</w:t>
      </w:r>
      <w:r>
        <w:rPr>
          <w:rFonts w:ascii="Microsoft YaHei" w:hAnsi="Microsoft YaHei" w:eastAsia="Microsoft YaHei"/>
          <w:b w:val="0"/>
          <w:color w:val="000000"/>
          <w:sz w:val="16"/>
        </w:rPr>
        <w:t>https://help.aliyun.com/zh/model-studio/decision-model-api</w:t>
      </w:r>
    </w:p>
    <w:p>
      <w:pPr>
        <w:pStyle w:val="Caption"/>
        <w:keepNext w:val="0"/>
        <w:spacing w:before="0" w:after="100"/>
      </w:pPr>
      <w:r>
        <w:rPr>
          <w:rFonts w:ascii="Microsoft YaHei" w:hAnsi="Microsoft YaHei" w:eastAsia="Microsoft YaHei"/>
          <w:b w:val="0"/>
          <w:color w:val="000000"/>
          <w:sz w:val="16"/>
        </w:rPr>
        <w:t>来源核查与实验日期：2026-10-11。厂商宣传基准未混入本地实测。此前双模型报告属于不同运行，不能把其中历史延迟与本报告拼接比较。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0" w:right="880" w:bottom="1020" w:left="880" w:header="600" w:footer="4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b w:val="0"/>
        <w:color w:val="000000"/>
        <w:sz w:val="16"/>
      </w:rPr>
      <w:t xml:space="preserve">第 </w:t>
    </w:r>
    <w:fldSimple w:instr="PAGE"/>
    <w:r>
      <w:rPr>
        <w:rFonts w:ascii="Microsoft YaHei" w:hAnsi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/>
        <w:b w:val="0"/>
        <w:color w:val="000000"/>
        <w:sz w:val="16"/>
      </w:rPr>
      <w:t>决策模型与基础模型三方评估报告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40" w:line="316" w:lineRule="exact" w:before="0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50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40" w:line="34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40" w:line="68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40" w:lineRule="exact" w:after="140"/>
    </w:pPr>
    <w:rPr>
      <w:rFonts w:ascii="Microsoft YaHei" w:hAnsi="Microsoft YaHei" w:eastAsia="Microsoft YaHei"/>
      <w:b w:val="0"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决策模型与基础模型准确率和响应速度对比</dc:title>
  <dc:subject>阿里云百炼 Microsoft Decision-1 Qwen3.5-9B 三方实测</dc:subject>
  <dc:creator>Decision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