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Microsoft YaHei" w:cs="Microsoft YaHei" w:eastAsia="Microsoft YaHei" w:hAnsi="Microsoft YaHei"/>
          <w:b/>
          <w:bCs/>
          <w:i w:val="false"/>
          <w:iCs w:val="false"/>
          <w:color w:val="111827"/>
          <w:sz w:val="38"/>
          <w:szCs w:val="38"/>
        </w:rPr>
        <w:t xml:space="preserve">王晓瑞 / Xiaorui Wang</w:t>
      </w:r>
    </w:p>
    <w:p>
      <w:pPr>
        <w:spacing w:after="50"/>
        <w:jc w:val="center"/>
      </w:pPr>
      <w:r>
        <w:rPr>
          <w:rFonts w:ascii="Microsoft YaHei" w:cs="Microsoft YaHei" w:eastAsia="Microsoft YaHei" w:hAnsi="Microsoft YaHei"/>
          <w:b w:val="false"/>
          <w:bCs w:val="false"/>
          <w:i w:val="false"/>
          <w:iCs w:val="false"/>
          <w:color w:val="4B5563"/>
          <w:sz w:val="19"/>
          <w:szCs w:val="19"/>
        </w:rPr>
        <w:t xml:space="preserve">博士后，浙江大学药学院 / Postdoctoral Fellow, College of Pharmaceutical Sciences, Zhejiang University</w:t>
      </w:r>
    </w:p>
    <w:p>
      <w:pPr>
        <w:spacing w:after="120"/>
        <w:jc w:val="center"/>
      </w:pPr>
      <w:r>
        <w:rPr>
          <w:rFonts w:ascii="Microsoft YaHei" w:cs="Microsoft YaHei" w:eastAsia="Microsoft YaHei" w:hAnsi="Microsoft YaHei"/>
          <w:b w:val="false"/>
          <w:bCs w:val="false"/>
          <w:i w:val="false"/>
          <w:iCs w:val="false"/>
          <w:color w:val="4B5563"/>
          <w:sz w:val="16"/>
          <w:szCs w:val="16"/>
        </w:rPr>
        <w:t xml:space="preserve">手机：18693080526 / Mobile: 18693080526    出生年月：1996.05 / Date of Birth: May 1996    邮箱：wangxr2018@lzu.edu.cn / Email: wangxr2018@lzu.edu.cn    个人主页：https://www.researchgate.net/profile/Xiaorui-Wang-6 / Homepage: https://www.researchgate.net/profile/Xiaorui-Wang-6</w:t>
      </w:r>
    </w:p>
    <w:p>
      <w:pPr>
        <w:pStyle w:val="Heading1"/>
        <w:pBdr>
          <w:bottom w:val="single" w:color="9CA3AF" w:sz="4" w:space="3"/>
        </w:pBdr>
        <w:spacing w:after="100" w:before="220"/>
        <w:jc w:val="left"/>
      </w:pPr>
      <w:r>
        <w:rPr>
          <w:rFonts w:ascii="Microsoft YaHei" w:cs="Microsoft YaHei" w:eastAsia="Microsoft YaHei" w:hAnsi="Microsoft YaHei"/>
          <w:b/>
          <w:bCs/>
          <w:i w:val="false"/>
          <w:iCs w:val="false"/>
          <w:color w:val="0F3D5E"/>
          <w:sz w:val="24"/>
          <w:szCs w:val="24"/>
        </w:rPr>
        <w:t xml:space="preserve">教育及科研经历 / Education and Research Experience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250"/>
        <w:gridCol w:w="1850"/>
        <w:gridCol w:w="2150"/>
        <w:gridCol w:w="1350"/>
        <w:gridCol w:w="2900"/>
      </w:tblGrid>
      <w:tr>
        <w:trPr>
          <w:tblHeader/>
        </w:trPr>
        <w:tc>
          <w:tcPr>
            <w:tcW w:type="dxa" w:w="1250"/>
            <w:tcBorders>
              <w:top w:val="single" w:color="CBD5E1" w:sz="1"/>
              <w:left w:val="single" w:color="CBD5E1" w:sz="1"/>
              <w:bottom w:val="single" w:color="CBD5E1" w:sz="1"/>
              <w:right w:val="single" w:color="CBD5E1" w:sz="1"/>
            </w:tcBorders>
            <w:shd w:fill="E8F1F5" w:val="clear"/>
            <w:tcMar>
              <w:top w:type="dxa" w:w="80"/>
              <w:left w:type="dxa" w:w="90"/>
              <w:bottom w:type="dxa" w:w="80"/>
              <w:right w:type="dxa" w:w="90"/>
            </w:tcMar>
            <w:vAlign w:val="top"/>
          </w:tcPr>
          <w:p>
            <w:pPr>
              <w:spacing w:after="0"/>
              <w:jc w:val="left"/>
            </w:pPr>
            <w:r>
              <w:rPr>
                <w:rFonts w:ascii="Microsoft YaHei" w:cs="Microsoft YaHei" w:eastAsia="Microsoft YaHei" w:hAnsi="Microsoft YaHei"/>
                <w:b/>
                <w:bCs/>
                <w:i w:val="false"/>
                <w:iCs w:val="false"/>
                <w:color w:val="111827"/>
                <w:sz w:val="17"/>
                <w:szCs w:val="17"/>
              </w:rPr>
              <w:t xml:space="preserve">时间 / Date</w:t>
            </w:r>
          </w:p>
        </w:tc>
        <w:tc>
          <w:tcPr>
            <w:tcW w:type="dxa" w:w="1850"/>
            <w:tcBorders>
              <w:top w:val="single" w:color="CBD5E1" w:sz="1"/>
              <w:left w:val="single" w:color="CBD5E1" w:sz="1"/>
              <w:bottom w:val="single" w:color="CBD5E1" w:sz="1"/>
              <w:right w:val="single" w:color="CBD5E1" w:sz="1"/>
            </w:tcBorders>
            <w:shd w:fill="E8F1F5" w:val="clear"/>
            <w:tcMar>
              <w:top w:type="dxa" w:w="80"/>
              <w:left w:type="dxa" w:w="90"/>
              <w:bottom w:type="dxa" w:w="80"/>
              <w:right w:type="dxa" w:w="90"/>
            </w:tcMar>
            <w:vAlign w:val="top"/>
          </w:tcPr>
          <w:p>
            <w:pPr>
              <w:spacing w:after="0"/>
              <w:jc w:val="left"/>
            </w:pPr>
            <w:r>
              <w:rPr>
                <w:rFonts w:ascii="Microsoft YaHei" w:cs="Microsoft YaHei" w:eastAsia="Microsoft YaHei" w:hAnsi="Microsoft YaHei"/>
                <w:b/>
                <w:bCs/>
                <w:i w:val="false"/>
                <w:iCs w:val="false"/>
                <w:color w:val="111827"/>
                <w:sz w:val="17"/>
                <w:szCs w:val="17"/>
              </w:rPr>
              <w:t xml:space="preserve">单位 / Institution</w:t>
            </w:r>
          </w:p>
        </w:tc>
        <w:tc>
          <w:tcPr>
            <w:tcW w:type="dxa" w:w="2150"/>
            <w:tcBorders>
              <w:top w:val="single" w:color="CBD5E1" w:sz="1"/>
              <w:left w:val="single" w:color="CBD5E1" w:sz="1"/>
              <w:bottom w:val="single" w:color="CBD5E1" w:sz="1"/>
              <w:right w:val="single" w:color="CBD5E1" w:sz="1"/>
            </w:tcBorders>
            <w:shd w:fill="E8F1F5" w:val="clear"/>
            <w:tcMar>
              <w:top w:type="dxa" w:w="80"/>
              <w:left w:type="dxa" w:w="90"/>
              <w:bottom w:type="dxa" w:w="80"/>
              <w:right w:type="dxa" w:w="90"/>
            </w:tcMar>
            <w:vAlign w:val="top"/>
          </w:tcPr>
          <w:p>
            <w:pPr>
              <w:spacing w:after="0"/>
              <w:jc w:val="left"/>
            </w:pPr>
            <w:r>
              <w:rPr>
                <w:rFonts w:ascii="Microsoft YaHei" w:cs="Microsoft YaHei" w:eastAsia="Microsoft YaHei" w:hAnsi="Microsoft YaHei"/>
                <w:b/>
                <w:bCs/>
                <w:i w:val="false"/>
                <w:iCs w:val="false"/>
                <w:color w:val="111827"/>
                <w:sz w:val="17"/>
                <w:szCs w:val="17"/>
              </w:rPr>
              <w:t xml:space="preserve">学院/实验室 / Unit</w:t>
            </w:r>
          </w:p>
        </w:tc>
        <w:tc>
          <w:tcPr>
            <w:tcW w:type="dxa" w:w="1350"/>
            <w:tcBorders>
              <w:top w:val="single" w:color="CBD5E1" w:sz="1"/>
              <w:left w:val="single" w:color="CBD5E1" w:sz="1"/>
              <w:bottom w:val="single" w:color="CBD5E1" w:sz="1"/>
              <w:right w:val="single" w:color="CBD5E1" w:sz="1"/>
            </w:tcBorders>
            <w:shd w:fill="E8F1F5" w:val="clear"/>
            <w:tcMar>
              <w:top w:type="dxa" w:w="80"/>
              <w:left w:type="dxa" w:w="90"/>
              <w:bottom w:type="dxa" w:w="80"/>
              <w:right w:type="dxa" w:w="90"/>
            </w:tcMar>
            <w:vAlign w:val="top"/>
          </w:tcPr>
          <w:p>
            <w:pPr>
              <w:spacing w:after="0"/>
              <w:jc w:val="left"/>
            </w:pPr>
            <w:r>
              <w:rPr>
                <w:rFonts w:ascii="Microsoft YaHei" w:cs="Microsoft YaHei" w:eastAsia="Microsoft YaHei" w:hAnsi="Microsoft YaHei"/>
                <w:b/>
                <w:bCs/>
                <w:i w:val="false"/>
                <w:iCs w:val="false"/>
                <w:color w:val="111827"/>
                <w:sz w:val="17"/>
                <w:szCs w:val="17"/>
              </w:rPr>
              <w:t xml:space="preserve">方向 / Field</w:t>
            </w:r>
          </w:p>
        </w:tc>
        <w:tc>
          <w:tcPr>
            <w:tcW w:type="dxa" w:w="2900"/>
            <w:tcBorders>
              <w:top w:val="single" w:color="CBD5E1" w:sz="1"/>
              <w:left w:val="single" w:color="CBD5E1" w:sz="1"/>
              <w:bottom w:val="single" w:color="CBD5E1" w:sz="1"/>
              <w:right w:val="single" w:color="CBD5E1" w:sz="1"/>
            </w:tcBorders>
            <w:shd w:fill="E8F1F5" w:val="clear"/>
            <w:tcMar>
              <w:top w:type="dxa" w:w="80"/>
              <w:left w:type="dxa" w:w="90"/>
              <w:bottom w:type="dxa" w:w="80"/>
              <w:right w:type="dxa" w:w="90"/>
            </w:tcMar>
            <w:vAlign w:val="top"/>
          </w:tcPr>
          <w:p>
            <w:pPr>
              <w:spacing w:after="0"/>
              <w:jc w:val="left"/>
            </w:pPr>
            <w:r>
              <w:rPr>
                <w:rFonts w:ascii="Microsoft YaHei" w:cs="Microsoft YaHei" w:eastAsia="Microsoft YaHei" w:hAnsi="Microsoft YaHei"/>
                <w:b/>
                <w:bCs/>
                <w:i w:val="false"/>
                <w:iCs w:val="false"/>
                <w:color w:val="111827"/>
                <w:sz w:val="17"/>
                <w:szCs w:val="17"/>
              </w:rPr>
              <w:t xml:space="preserve">身份 / Role</w:t>
            </w:r>
          </w:p>
        </w:tc>
      </w:tr>
      <w:tr>
        <w:tc>
          <w:tcPr>
            <w:tcW w:type="dxa" w:w="1250"/>
            <w:tcBorders>
              <w:top w:val="single" w:color="CBD5E1" w:sz="1"/>
              <w:left w:val="single" w:color="CBD5E1" w:sz="1"/>
              <w:bottom w:val="single" w:color="CBD5E1" w:sz="1"/>
              <w:right w:val="single" w:color="CBD5E1" w:sz="1"/>
            </w:tcBorders>
            <w:tcMar>
              <w:top w:type="dxa" w:w="80"/>
              <w:left w:type="dxa" w:w="90"/>
              <w:bottom w:type="dxa" w:w="80"/>
              <w:right w:type="dxa" w:w="90"/>
            </w:tcMar>
            <w:vAlign w:val="top"/>
          </w:tcPr>
          <w:p>
            <w:pPr>
              <w:spacing w:after="20"/>
              <w:jc w:val="left"/>
            </w:pPr>
            <w:r>
              <w:rPr>
                <w:rFonts w:ascii="Microsoft YaHei" w:cs="Microsoft YaHei" w:eastAsia="Microsoft YaHei" w:hAnsi="Microsoft YaHei"/>
                <w:b w:val="false"/>
                <w:bCs w:val="false"/>
                <w:i w:val="false"/>
                <w:iCs w:val="false"/>
                <w:color w:val="111827"/>
                <w:sz w:val="17"/>
                <w:szCs w:val="17"/>
              </w:rPr>
              <w:t xml:space="preserve">2024.09-至今</w:t>
            </w:r>
          </w:p>
          <w:p>
            <w:pPr>
              <w:spacing w:after="100"/>
              <w:jc w:val="left"/>
            </w:pPr>
            <w:r>
              <w:rPr>
                <w:rFonts w:ascii="Microsoft YaHei" w:cs="Microsoft YaHei" w:eastAsia="Microsoft YaHei" w:hAnsi="Microsoft YaHei"/>
                <w:b w:val="false"/>
                <w:bCs w:val="false"/>
                <w:i/>
                <w:iCs/>
                <w:color w:val="4B5563"/>
                <w:sz w:val="15"/>
                <w:szCs w:val="15"/>
              </w:rPr>
              <w:t xml:space="preserve">Sep. 2024-Present</w:t>
            </w:r>
          </w:p>
        </w:tc>
        <w:tc>
          <w:tcPr>
            <w:tcW w:type="dxa" w:w="1850"/>
            <w:tcBorders>
              <w:top w:val="single" w:color="CBD5E1" w:sz="1"/>
              <w:left w:val="single" w:color="CBD5E1" w:sz="1"/>
              <w:bottom w:val="single" w:color="CBD5E1" w:sz="1"/>
              <w:right w:val="single" w:color="CBD5E1" w:sz="1"/>
            </w:tcBorders>
            <w:tcMar>
              <w:top w:type="dxa" w:w="80"/>
              <w:left w:type="dxa" w:w="90"/>
              <w:bottom w:type="dxa" w:w="80"/>
              <w:right w:type="dxa" w:w="90"/>
            </w:tcMar>
            <w:vAlign w:val="top"/>
          </w:tcPr>
          <w:p>
            <w:pPr>
              <w:spacing w:after="20"/>
              <w:jc w:val="left"/>
            </w:pPr>
            <w:r>
              <w:rPr>
                <w:rFonts w:ascii="Microsoft YaHei" w:cs="Microsoft YaHei" w:eastAsia="Microsoft YaHei" w:hAnsi="Microsoft YaHei"/>
                <w:b w:val="false"/>
                <w:bCs w:val="false"/>
                <w:i w:val="false"/>
                <w:iCs w:val="false"/>
                <w:color w:val="111827"/>
                <w:sz w:val="17"/>
                <w:szCs w:val="17"/>
              </w:rPr>
              <w:t xml:space="preserve">浙江大学</w:t>
            </w:r>
          </w:p>
          <w:p>
            <w:pPr>
              <w:spacing w:after="100"/>
              <w:jc w:val="left"/>
            </w:pPr>
            <w:r>
              <w:rPr>
                <w:rFonts w:ascii="Microsoft YaHei" w:cs="Microsoft YaHei" w:eastAsia="Microsoft YaHei" w:hAnsi="Microsoft YaHei"/>
                <w:b w:val="false"/>
                <w:bCs w:val="false"/>
                <w:i/>
                <w:iCs/>
                <w:color w:val="4B5563"/>
                <w:sz w:val="15"/>
                <w:szCs w:val="15"/>
              </w:rPr>
              <w:t xml:space="preserve">Zhejiang University</w:t>
            </w:r>
          </w:p>
        </w:tc>
        <w:tc>
          <w:tcPr>
            <w:tcW w:type="dxa" w:w="2150"/>
            <w:tcBorders>
              <w:top w:val="single" w:color="CBD5E1" w:sz="1"/>
              <w:left w:val="single" w:color="CBD5E1" w:sz="1"/>
              <w:bottom w:val="single" w:color="CBD5E1" w:sz="1"/>
              <w:right w:val="single" w:color="CBD5E1" w:sz="1"/>
            </w:tcBorders>
            <w:tcMar>
              <w:top w:type="dxa" w:w="80"/>
              <w:left w:type="dxa" w:w="90"/>
              <w:bottom w:type="dxa" w:w="80"/>
              <w:right w:type="dxa" w:w="90"/>
            </w:tcMar>
            <w:vAlign w:val="top"/>
          </w:tcPr>
          <w:p>
            <w:pPr>
              <w:spacing w:after="20"/>
              <w:jc w:val="left"/>
            </w:pPr>
            <w:r>
              <w:rPr>
                <w:rFonts w:ascii="Microsoft YaHei" w:cs="Microsoft YaHei" w:eastAsia="Microsoft YaHei" w:hAnsi="Microsoft YaHei"/>
                <w:b w:val="false"/>
                <w:bCs w:val="false"/>
                <w:i w:val="false"/>
                <w:iCs w:val="false"/>
                <w:color w:val="111827"/>
                <w:sz w:val="17"/>
                <w:szCs w:val="17"/>
              </w:rPr>
              <w:t xml:space="preserve">药学院</w:t>
            </w:r>
          </w:p>
          <w:p>
            <w:pPr>
              <w:spacing w:after="100"/>
              <w:jc w:val="left"/>
            </w:pPr>
            <w:r>
              <w:rPr>
                <w:rFonts w:ascii="Microsoft YaHei" w:cs="Microsoft YaHei" w:eastAsia="Microsoft YaHei" w:hAnsi="Microsoft YaHei"/>
                <w:b w:val="false"/>
                <w:bCs w:val="false"/>
                <w:i/>
                <w:iCs/>
                <w:color w:val="4B5563"/>
                <w:sz w:val="15"/>
                <w:szCs w:val="15"/>
              </w:rPr>
              <w:t xml:space="preserve">College of Pharmaceutical Sciences</w:t>
            </w:r>
          </w:p>
        </w:tc>
        <w:tc>
          <w:tcPr>
            <w:tcW w:type="dxa" w:w="1350"/>
            <w:tcBorders>
              <w:top w:val="single" w:color="CBD5E1" w:sz="1"/>
              <w:left w:val="single" w:color="CBD5E1" w:sz="1"/>
              <w:bottom w:val="single" w:color="CBD5E1" w:sz="1"/>
              <w:right w:val="single" w:color="CBD5E1" w:sz="1"/>
            </w:tcBorders>
            <w:tcMar>
              <w:top w:type="dxa" w:w="80"/>
              <w:left w:type="dxa" w:w="90"/>
              <w:bottom w:type="dxa" w:w="80"/>
              <w:right w:type="dxa" w:w="90"/>
            </w:tcMar>
            <w:vAlign w:val="top"/>
          </w:tcPr>
          <w:p>
            <w:pPr>
              <w:spacing w:after="20"/>
              <w:jc w:val="left"/>
            </w:pPr>
            <w:r>
              <w:rPr>
                <w:rFonts w:ascii="Microsoft YaHei" w:cs="Microsoft YaHei" w:eastAsia="Microsoft YaHei" w:hAnsi="Microsoft YaHei"/>
                <w:b w:val="false"/>
                <w:bCs w:val="false"/>
                <w:i w:val="false"/>
                <w:iCs w:val="false"/>
                <w:color w:val="111827"/>
                <w:sz w:val="17"/>
                <w:szCs w:val="17"/>
              </w:rPr>
              <w:t xml:space="preserve">药学</w:t>
            </w:r>
          </w:p>
          <w:p>
            <w:pPr>
              <w:spacing w:after="100"/>
              <w:jc w:val="left"/>
            </w:pPr>
            <w:r>
              <w:rPr>
                <w:rFonts w:ascii="Microsoft YaHei" w:cs="Microsoft YaHei" w:eastAsia="Microsoft YaHei" w:hAnsi="Microsoft YaHei"/>
                <w:b w:val="false"/>
                <w:bCs w:val="false"/>
                <w:i/>
                <w:iCs/>
                <w:color w:val="4B5563"/>
                <w:sz w:val="15"/>
                <w:szCs w:val="15"/>
              </w:rPr>
              <w:t xml:space="preserve">Pharmacy</w:t>
            </w:r>
          </w:p>
        </w:tc>
        <w:tc>
          <w:tcPr>
            <w:tcW w:type="dxa" w:w="2900"/>
            <w:tcBorders>
              <w:top w:val="single" w:color="CBD5E1" w:sz="1"/>
              <w:left w:val="single" w:color="CBD5E1" w:sz="1"/>
              <w:bottom w:val="single" w:color="CBD5E1" w:sz="1"/>
              <w:right w:val="single" w:color="CBD5E1" w:sz="1"/>
            </w:tcBorders>
            <w:tcMar>
              <w:top w:type="dxa" w:w="80"/>
              <w:left w:type="dxa" w:w="90"/>
              <w:bottom w:type="dxa" w:w="80"/>
              <w:right w:type="dxa" w:w="90"/>
            </w:tcMar>
            <w:vAlign w:val="top"/>
          </w:tcPr>
          <w:p>
            <w:pPr>
              <w:spacing w:after="20"/>
              <w:jc w:val="left"/>
            </w:pPr>
            <w:r>
              <w:rPr>
                <w:rFonts w:ascii="Microsoft YaHei" w:cs="Microsoft YaHei" w:eastAsia="Microsoft YaHei" w:hAnsi="Microsoft YaHei"/>
                <w:b w:val="false"/>
                <w:bCs w:val="false"/>
                <w:i w:val="false"/>
                <w:iCs w:val="false"/>
                <w:color w:val="111827"/>
                <w:sz w:val="17"/>
                <w:szCs w:val="17"/>
              </w:rPr>
              <w:t xml:space="preserve">博士后（合作导师：侯廷军教授）</w:t>
            </w:r>
          </w:p>
          <w:p>
            <w:pPr>
              <w:spacing w:after="100"/>
              <w:jc w:val="left"/>
            </w:pPr>
            <w:r>
              <w:rPr>
                <w:rFonts w:ascii="Microsoft YaHei" w:cs="Microsoft YaHei" w:eastAsia="Microsoft YaHei" w:hAnsi="Microsoft YaHei"/>
                <w:b w:val="false"/>
                <w:bCs w:val="false"/>
                <w:i/>
                <w:iCs/>
                <w:color w:val="4B5563"/>
                <w:sz w:val="15"/>
                <w:szCs w:val="15"/>
              </w:rPr>
              <w:t xml:space="preserve">Postdoctoral Fellow (Cooperating Advisor: Prof. Tingjun Hou)</w:t>
            </w:r>
          </w:p>
        </w:tc>
      </w:tr>
      <w:tr>
        <w:tc>
          <w:tcPr>
            <w:tcW w:type="dxa" w:w="1250"/>
            <w:tcBorders>
              <w:top w:val="single" w:color="CBD5E1" w:sz="1"/>
              <w:left w:val="single" w:color="CBD5E1" w:sz="1"/>
              <w:bottom w:val="single" w:color="CBD5E1" w:sz="1"/>
              <w:right w:val="single" w:color="CBD5E1" w:sz="1"/>
            </w:tcBorders>
            <w:tcMar>
              <w:top w:type="dxa" w:w="80"/>
              <w:left w:type="dxa" w:w="90"/>
              <w:bottom w:type="dxa" w:w="80"/>
              <w:right w:type="dxa" w:w="90"/>
            </w:tcMar>
            <w:vAlign w:val="top"/>
          </w:tcPr>
          <w:p>
            <w:pPr>
              <w:spacing w:after="20"/>
              <w:jc w:val="left"/>
            </w:pPr>
            <w:r>
              <w:rPr>
                <w:rFonts w:ascii="Microsoft YaHei" w:cs="Microsoft YaHei" w:eastAsia="Microsoft YaHei" w:hAnsi="Microsoft YaHei"/>
                <w:b w:val="false"/>
                <w:bCs w:val="false"/>
                <w:i w:val="false"/>
                <w:iCs w:val="false"/>
                <w:color w:val="111827"/>
                <w:sz w:val="17"/>
                <w:szCs w:val="17"/>
              </w:rPr>
              <w:t xml:space="preserve">2021.09-2024.08</w:t>
            </w:r>
          </w:p>
          <w:p>
            <w:pPr>
              <w:spacing w:after="100"/>
              <w:jc w:val="left"/>
            </w:pPr>
            <w:r>
              <w:rPr>
                <w:rFonts w:ascii="Microsoft YaHei" w:cs="Microsoft YaHei" w:eastAsia="Microsoft YaHei" w:hAnsi="Microsoft YaHei"/>
                <w:b w:val="false"/>
                <w:bCs w:val="false"/>
                <w:i/>
                <w:iCs/>
                <w:color w:val="4B5563"/>
                <w:sz w:val="15"/>
                <w:szCs w:val="15"/>
              </w:rPr>
              <w:t xml:space="preserve">Sep. 2021-Aug. 2024</w:t>
            </w:r>
          </w:p>
        </w:tc>
        <w:tc>
          <w:tcPr>
            <w:tcW w:type="dxa" w:w="1850"/>
            <w:tcBorders>
              <w:top w:val="single" w:color="CBD5E1" w:sz="1"/>
              <w:left w:val="single" w:color="CBD5E1" w:sz="1"/>
              <w:bottom w:val="single" w:color="CBD5E1" w:sz="1"/>
              <w:right w:val="single" w:color="CBD5E1" w:sz="1"/>
            </w:tcBorders>
            <w:tcMar>
              <w:top w:type="dxa" w:w="80"/>
              <w:left w:type="dxa" w:w="90"/>
              <w:bottom w:type="dxa" w:w="80"/>
              <w:right w:type="dxa" w:w="90"/>
            </w:tcMar>
            <w:vAlign w:val="top"/>
          </w:tcPr>
          <w:p>
            <w:pPr>
              <w:spacing w:after="20"/>
              <w:jc w:val="left"/>
            </w:pPr>
            <w:r>
              <w:rPr>
                <w:rFonts w:ascii="Microsoft YaHei" w:cs="Microsoft YaHei" w:eastAsia="Microsoft YaHei" w:hAnsi="Microsoft YaHei"/>
                <w:b w:val="false"/>
                <w:bCs w:val="false"/>
                <w:i w:val="false"/>
                <w:iCs w:val="false"/>
                <w:color w:val="111827"/>
                <w:sz w:val="17"/>
                <w:szCs w:val="17"/>
              </w:rPr>
              <w:t xml:space="preserve">澳门科技大学</w:t>
            </w:r>
          </w:p>
          <w:p>
            <w:pPr>
              <w:spacing w:after="100"/>
              <w:jc w:val="left"/>
            </w:pPr>
            <w:r>
              <w:rPr>
                <w:rFonts w:ascii="Microsoft YaHei" w:cs="Microsoft YaHei" w:eastAsia="Microsoft YaHei" w:hAnsi="Microsoft YaHei"/>
                <w:b w:val="false"/>
                <w:bCs w:val="false"/>
                <w:i/>
                <w:iCs/>
                <w:color w:val="4B5563"/>
                <w:sz w:val="15"/>
                <w:szCs w:val="15"/>
              </w:rPr>
              <w:t xml:space="preserve">Macau University of Science and Technology</w:t>
            </w:r>
          </w:p>
        </w:tc>
        <w:tc>
          <w:tcPr>
            <w:tcW w:type="dxa" w:w="2150"/>
            <w:tcBorders>
              <w:top w:val="single" w:color="CBD5E1" w:sz="1"/>
              <w:left w:val="single" w:color="CBD5E1" w:sz="1"/>
              <w:bottom w:val="single" w:color="CBD5E1" w:sz="1"/>
              <w:right w:val="single" w:color="CBD5E1" w:sz="1"/>
            </w:tcBorders>
            <w:tcMar>
              <w:top w:type="dxa" w:w="80"/>
              <w:left w:type="dxa" w:w="90"/>
              <w:bottom w:type="dxa" w:w="80"/>
              <w:right w:type="dxa" w:w="90"/>
            </w:tcMar>
            <w:vAlign w:val="top"/>
          </w:tcPr>
          <w:p>
            <w:pPr>
              <w:spacing w:after="20"/>
              <w:jc w:val="left"/>
            </w:pPr>
            <w:r>
              <w:rPr>
                <w:rFonts w:ascii="Microsoft YaHei" w:cs="Microsoft YaHei" w:eastAsia="Microsoft YaHei" w:hAnsi="Microsoft YaHei"/>
                <w:b w:val="false"/>
                <w:bCs w:val="false"/>
                <w:i w:val="false"/>
                <w:iCs w:val="false"/>
                <w:color w:val="111827"/>
                <w:sz w:val="17"/>
                <w:szCs w:val="17"/>
              </w:rPr>
              <w:t xml:space="preserve">中医药学院</w:t>
            </w:r>
          </w:p>
          <w:p>
            <w:pPr>
              <w:spacing w:after="100"/>
              <w:jc w:val="left"/>
            </w:pPr>
            <w:r>
              <w:rPr>
                <w:rFonts w:ascii="Microsoft YaHei" w:cs="Microsoft YaHei" w:eastAsia="Microsoft YaHei" w:hAnsi="Microsoft YaHei"/>
                <w:b w:val="false"/>
                <w:bCs w:val="false"/>
                <w:i/>
                <w:iCs/>
                <w:color w:val="4B5563"/>
                <w:sz w:val="15"/>
                <w:szCs w:val="15"/>
              </w:rPr>
              <w:t xml:space="preserve">Faculty of Chinese Medicine</w:t>
            </w:r>
          </w:p>
        </w:tc>
        <w:tc>
          <w:tcPr>
            <w:tcW w:type="dxa" w:w="1350"/>
            <w:tcBorders>
              <w:top w:val="single" w:color="CBD5E1" w:sz="1"/>
              <w:left w:val="single" w:color="CBD5E1" w:sz="1"/>
              <w:bottom w:val="single" w:color="CBD5E1" w:sz="1"/>
              <w:right w:val="single" w:color="CBD5E1" w:sz="1"/>
            </w:tcBorders>
            <w:tcMar>
              <w:top w:type="dxa" w:w="80"/>
              <w:left w:type="dxa" w:w="90"/>
              <w:bottom w:type="dxa" w:w="80"/>
              <w:right w:type="dxa" w:w="90"/>
            </w:tcMar>
            <w:vAlign w:val="top"/>
          </w:tcPr>
          <w:p>
            <w:pPr>
              <w:spacing w:after="20"/>
              <w:jc w:val="left"/>
            </w:pPr>
            <w:r>
              <w:rPr>
                <w:rFonts w:ascii="Microsoft YaHei" w:cs="Microsoft YaHei" w:eastAsia="Microsoft YaHei" w:hAnsi="Microsoft YaHei"/>
                <w:b w:val="false"/>
                <w:bCs w:val="false"/>
                <w:i w:val="false"/>
                <w:iCs w:val="false"/>
                <w:color w:val="111827"/>
                <w:sz w:val="17"/>
                <w:szCs w:val="17"/>
              </w:rPr>
              <w:t xml:space="preserve">中药学</w:t>
            </w:r>
          </w:p>
          <w:p>
            <w:pPr>
              <w:spacing w:after="100"/>
              <w:jc w:val="left"/>
            </w:pPr>
            <w:r>
              <w:rPr>
                <w:rFonts w:ascii="Microsoft YaHei" w:cs="Microsoft YaHei" w:eastAsia="Microsoft YaHei" w:hAnsi="Microsoft YaHei"/>
                <w:b w:val="false"/>
                <w:bCs w:val="false"/>
                <w:i/>
                <w:iCs/>
                <w:color w:val="4B5563"/>
                <w:sz w:val="15"/>
                <w:szCs w:val="15"/>
              </w:rPr>
              <w:t xml:space="preserve">Chinese Materia Medica</w:t>
            </w:r>
          </w:p>
        </w:tc>
        <w:tc>
          <w:tcPr>
            <w:tcW w:type="dxa" w:w="2900"/>
            <w:tcBorders>
              <w:top w:val="single" w:color="CBD5E1" w:sz="1"/>
              <w:left w:val="single" w:color="CBD5E1" w:sz="1"/>
              <w:bottom w:val="single" w:color="CBD5E1" w:sz="1"/>
              <w:right w:val="single" w:color="CBD5E1" w:sz="1"/>
            </w:tcBorders>
            <w:tcMar>
              <w:top w:type="dxa" w:w="80"/>
              <w:left w:type="dxa" w:w="90"/>
              <w:bottom w:type="dxa" w:w="80"/>
              <w:right w:type="dxa" w:w="90"/>
            </w:tcMar>
            <w:vAlign w:val="top"/>
          </w:tcPr>
          <w:p>
            <w:pPr>
              <w:spacing w:after="20"/>
              <w:jc w:val="left"/>
            </w:pPr>
            <w:r>
              <w:rPr>
                <w:rFonts w:ascii="Microsoft YaHei" w:cs="Microsoft YaHei" w:eastAsia="Microsoft YaHei" w:hAnsi="Microsoft YaHei"/>
                <w:b w:val="false"/>
                <w:bCs w:val="false"/>
                <w:i w:val="false"/>
                <w:iCs w:val="false"/>
                <w:color w:val="111827"/>
                <w:sz w:val="17"/>
                <w:szCs w:val="17"/>
              </w:rPr>
              <w:t xml:space="preserve">博士（导师：姚小军教授）</w:t>
            </w:r>
          </w:p>
          <w:p>
            <w:pPr>
              <w:spacing w:after="100"/>
              <w:jc w:val="left"/>
            </w:pPr>
            <w:r>
              <w:rPr>
                <w:rFonts w:ascii="Microsoft YaHei" w:cs="Microsoft YaHei" w:eastAsia="Microsoft YaHei" w:hAnsi="Microsoft YaHei"/>
                <w:b w:val="false"/>
                <w:bCs w:val="false"/>
                <w:i/>
                <w:iCs/>
                <w:color w:val="4B5563"/>
                <w:sz w:val="15"/>
                <w:szCs w:val="15"/>
              </w:rPr>
              <w:t xml:space="preserve">Ph.D. (Advisor: Prof. Xiaojun Yao)</w:t>
            </w:r>
          </w:p>
        </w:tc>
      </w:tr>
      <w:tr>
        <w:tc>
          <w:tcPr>
            <w:tcW w:type="dxa" w:w="1250"/>
            <w:tcBorders>
              <w:top w:val="single" w:color="CBD5E1" w:sz="1"/>
              <w:left w:val="single" w:color="CBD5E1" w:sz="1"/>
              <w:bottom w:val="single" w:color="CBD5E1" w:sz="1"/>
              <w:right w:val="single" w:color="CBD5E1" w:sz="1"/>
            </w:tcBorders>
            <w:tcMar>
              <w:top w:type="dxa" w:w="80"/>
              <w:left w:type="dxa" w:w="90"/>
              <w:bottom w:type="dxa" w:w="80"/>
              <w:right w:type="dxa" w:w="90"/>
            </w:tcMar>
            <w:vAlign w:val="top"/>
          </w:tcPr>
          <w:p>
            <w:pPr>
              <w:spacing w:after="20"/>
              <w:jc w:val="left"/>
            </w:pPr>
            <w:r>
              <w:rPr>
                <w:rFonts w:ascii="Microsoft YaHei" w:cs="Microsoft YaHei" w:eastAsia="Microsoft YaHei" w:hAnsi="Microsoft YaHei"/>
                <w:b w:val="false"/>
                <w:bCs w:val="false"/>
                <w:i w:val="false"/>
                <w:iCs w:val="false"/>
                <w:color w:val="111827"/>
                <w:sz w:val="17"/>
                <w:szCs w:val="17"/>
              </w:rPr>
              <w:t xml:space="preserve">2019.11-2021.06</w:t>
            </w:r>
          </w:p>
          <w:p>
            <w:pPr>
              <w:spacing w:after="100"/>
              <w:jc w:val="left"/>
            </w:pPr>
            <w:r>
              <w:rPr>
                <w:rFonts w:ascii="Microsoft YaHei" w:cs="Microsoft YaHei" w:eastAsia="Microsoft YaHei" w:hAnsi="Microsoft YaHei"/>
                <w:b w:val="false"/>
                <w:bCs w:val="false"/>
                <w:i/>
                <w:iCs/>
                <w:color w:val="4B5563"/>
                <w:sz w:val="15"/>
                <w:szCs w:val="15"/>
              </w:rPr>
              <w:t xml:space="preserve">Nov. 2019-Jun. 2021</w:t>
            </w:r>
          </w:p>
        </w:tc>
        <w:tc>
          <w:tcPr>
            <w:tcW w:type="dxa" w:w="1850"/>
            <w:tcBorders>
              <w:top w:val="single" w:color="CBD5E1" w:sz="1"/>
              <w:left w:val="single" w:color="CBD5E1" w:sz="1"/>
              <w:bottom w:val="single" w:color="CBD5E1" w:sz="1"/>
              <w:right w:val="single" w:color="CBD5E1" w:sz="1"/>
            </w:tcBorders>
            <w:tcMar>
              <w:top w:type="dxa" w:w="80"/>
              <w:left w:type="dxa" w:w="90"/>
              <w:bottom w:type="dxa" w:w="80"/>
              <w:right w:type="dxa" w:w="90"/>
            </w:tcMar>
            <w:vAlign w:val="top"/>
          </w:tcPr>
          <w:p>
            <w:pPr>
              <w:spacing w:after="20"/>
              <w:jc w:val="left"/>
            </w:pPr>
            <w:r>
              <w:rPr>
                <w:rFonts w:ascii="Microsoft YaHei" w:cs="Microsoft YaHei" w:eastAsia="Microsoft YaHei" w:hAnsi="Microsoft YaHei"/>
                <w:b w:val="false"/>
                <w:bCs w:val="false"/>
                <w:i w:val="false"/>
                <w:iCs w:val="false"/>
                <w:color w:val="111827"/>
                <w:sz w:val="17"/>
                <w:szCs w:val="17"/>
              </w:rPr>
              <w:t xml:space="preserve">腾讯</w:t>
            </w:r>
          </w:p>
          <w:p>
            <w:pPr>
              <w:spacing w:after="100"/>
              <w:jc w:val="left"/>
            </w:pPr>
            <w:r>
              <w:rPr>
                <w:rFonts w:ascii="Microsoft YaHei" w:cs="Microsoft YaHei" w:eastAsia="Microsoft YaHei" w:hAnsi="Microsoft YaHei"/>
                <w:b w:val="false"/>
                <w:bCs w:val="false"/>
                <w:i/>
                <w:iCs/>
                <w:color w:val="4B5563"/>
                <w:sz w:val="15"/>
                <w:szCs w:val="15"/>
              </w:rPr>
              <w:t xml:space="preserve">Tencent</w:t>
            </w:r>
          </w:p>
        </w:tc>
        <w:tc>
          <w:tcPr>
            <w:tcW w:type="dxa" w:w="2150"/>
            <w:tcBorders>
              <w:top w:val="single" w:color="CBD5E1" w:sz="1"/>
              <w:left w:val="single" w:color="CBD5E1" w:sz="1"/>
              <w:bottom w:val="single" w:color="CBD5E1" w:sz="1"/>
              <w:right w:val="single" w:color="CBD5E1" w:sz="1"/>
            </w:tcBorders>
            <w:tcMar>
              <w:top w:type="dxa" w:w="80"/>
              <w:left w:type="dxa" w:w="90"/>
              <w:bottom w:type="dxa" w:w="80"/>
              <w:right w:type="dxa" w:w="90"/>
            </w:tcMar>
            <w:vAlign w:val="top"/>
          </w:tcPr>
          <w:p>
            <w:pPr>
              <w:spacing w:after="20"/>
              <w:jc w:val="left"/>
            </w:pPr>
            <w:r>
              <w:rPr>
                <w:rFonts w:ascii="Microsoft YaHei" w:cs="Microsoft YaHei" w:eastAsia="Microsoft YaHei" w:hAnsi="Microsoft YaHei"/>
                <w:b w:val="false"/>
                <w:bCs w:val="false"/>
                <w:i w:val="false"/>
                <w:iCs w:val="false"/>
                <w:color w:val="111827"/>
                <w:sz w:val="17"/>
                <w:szCs w:val="17"/>
              </w:rPr>
              <w:t xml:space="preserve">量子实验室</w:t>
            </w:r>
          </w:p>
          <w:p>
            <w:pPr>
              <w:spacing w:after="100"/>
              <w:jc w:val="left"/>
            </w:pPr>
            <w:r>
              <w:rPr>
                <w:rFonts w:ascii="Microsoft YaHei" w:cs="Microsoft YaHei" w:eastAsia="Microsoft YaHei" w:hAnsi="Microsoft YaHei"/>
                <w:b w:val="false"/>
                <w:bCs w:val="false"/>
                <w:i/>
                <w:iCs/>
                <w:color w:val="4B5563"/>
                <w:sz w:val="15"/>
                <w:szCs w:val="15"/>
              </w:rPr>
              <w:t xml:space="preserve">Quantum Laboratory</w:t>
            </w:r>
          </w:p>
        </w:tc>
        <w:tc>
          <w:tcPr>
            <w:tcW w:type="dxa" w:w="1350"/>
            <w:tcBorders>
              <w:top w:val="single" w:color="CBD5E1" w:sz="1"/>
              <w:left w:val="single" w:color="CBD5E1" w:sz="1"/>
              <w:bottom w:val="single" w:color="CBD5E1" w:sz="1"/>
              <w:right w:val="single" w:color="CBD5E1" w:sz="1"/>
            </w:tcBorders>
            <w:tcMar>
              <w:top w:type="dxa" w:w="80"/>
              <w:left w:type="dxa" w:w="90"/>
              <w:bottom w:type="dxa" w:w="80"/>
              <w:right w:type="dxa" w:w="90"/>
            </w:tcMar>
            <w:vAlign w:val="top"/>
          </w:tcPr>
          <w:p>
            <w:pPr>
              <w:spacing w:after="20"/>
              <w:jc w:val="left"/>
            </w:pPr>
            <w:r>
              <w:rPr>
                <w:rFonts w:ascii="Microsoft YaHei" w:cs="Microsoft YaHei" w:eastAsia="Microsoft YaHei" w:hAnsi="Microsoft YaHei"/>
                <w:b w:val="false"/>
                <w:bCs w:val="false"/>
                <w:i w:val="false"/>
                <w:iCs w:val="false"/>
                <w:color w:val="111827"/>
                <w:sz w:val="17"/>
                <w:szCs w:val="17"/>
              </w:rPr>
              <w:t xml:space="preserve">--</w:t>
            </w:r>
          </w:p>
          <w:p>
            <w:pPr>
              <w:spacing w:after="100"/>
              <w:jc w:val="left"/>
            </w:pPr>
            <w:r>
              <w:rPr>
                <w:rFonts w:ascii="Microsoft YaHei" w:cs="Microsoft YaHei" w:eastAsia="Microsoft YaHei" w:hAnsi="Microsoft YaHei"/>
                <w:b w:val="false"/>
                <w:bCs w:val="false"/>
                <w:i/>
                <w:iCs/>
                <w:color w:val="4B5563"/>
                <w:sz w:val="15"/>
                <w:szCs w:val="15"/>
              </w:rPr>
              <w:t xml:space="preserve">--</w:t>
            </w:r>
          </w:p>
        </w:tc>
        <w:tc>
          <w:tcPr>
            <w:tcW w:type="dxa" w:w="2900"/>
            <w:tcBorders>
              <w:top w:val="single" w:color="CBD5E1" w:sz="1"/>
              <w:left w:val="single" w:color="CBD5E1" w:sz="1"/>
              <w:bottom w:val="single" w:color="CBD5E1" w:sz="1"/>
              <w:right w:val="single" w:color="CBD5E1" w:sz="1"/>
            </w:tcBorders>
            <w:tcMar>
              <w:top w:type="dxa" w:w="80"/>
              <w:left w:type="dxa" w:w="90"/>
              <w:bottom w:type="dxa" w:w="80"/>
              <w:right w:type="dxa" w:w="90"/>
            </w:tcMar>
            <w:vAlign w:val="top"/>
          </w:tcPr>
          <w:p>
            <w:pPr>
              <w:spacing w:after="20"/>
              <w:jc w:val="left"/>
            </w:pPr>
            <w:r>
              <w:rPr>
                <w:rFonts w:ascii="Microsoft YaHei" w:cs="Microsoft YaHei" w:eastAsia="Microsoft YaHei" w:hAnsi="Microsoft YaHei"/>
                <w:b w:val="false"/>
                <w:bCs w:val="false"/>
                <w:i w:val="false"/>
                <w:iCs w:val="false"/>
                <w:color w:val="111827"/>
                <w:sz w:val="17"/>
                <w:szCs w:val="17"/>
              </w:rPr>
              <w:t xml:space="preserve">科研实习</w:t>
            </w:r>
          </w:p>
          <w:p>
            <w:pPr>
              <w:spacing w:after="100"/>
              <w:jc w:val="left"/>
            </w:pPr>
            <w:r>
              <w:rPr>
                <w:rFonts w:ascii="Microsoft YaHei" w:cs="Microsoft YaHei" w:eastAsia="Microsoft YaHei" w:hAnsi="Microsoft YaHei"/>
                <w:b w:val="false"/>
                <w:bCs w:val="false"/>
                <w:i/>
                <w:iCs/>
                <w:color w:val="4B5563"/>
                <w:sz w:val="15"/>
                <w:szCs w:val="15"/>
              </w:rPr>
              <w:t xml:space="preserve">Research Intern</w:t>
            </w:r>
          </w:p>
        </w:tc>
      </w:tr>
      <w:tr>
        <w:tc>
          <w:tcPr>
            <w:tcW w:type="dxa" w:w="1250"/>
            <w:tcBorders>
              <w:top w:val="single" w:color="CBD5E1" w:sz="1"/>
              <w:left w:val="single" w:color="CBD5E1" w:sz="1"/>
              <w:bottom w:val="single" w:color="CBD5E1" w:sz="1"/>
              <w:right w:val="single" w:color="CBD5E1" w:sz="1"/>
            </w:tcBorders>
            <w:tcMar>
              <w:top w:type="dxa" w:w="80"/>
              <w:left w:type="dxa" w:w="90"/>
              <w:bottom w:type="dxa" w:w="80"/>
              <w:right w:type="dxa" w:w="90"/>
            </w:tcMar>
            <w:vAlign w:val="top"/>
          </w:tcPr>
          <w:p>
            <w:pPr>
              <w:spacing w:after="20"/>
              <w:jc w:val="left"/>
            </w:pPr>
            <w:r>
              <w:rPr>
                <w:rFonts w:ascii="Microsoft YaHei" w:cs="Microsoft YaHei" w:eastAsia="Microsoft YaHei" w:hAnsi="Microsoft YaHei"/>
                <w:b w:val="false"/>
                <w:bCs w:val="false"/>
                <w:i w:val="false"/>
                <w:iCs w:val="false"/>
                <w:color w:val="111827"/>
                <w:sz w:val="17"/>
                <w:szCs w:val="17"/>
              </w:rPr>
              <w:t xml:space="preserve">2018.09-2021.06</w:t>
            </w:r>
          </w:p>
          <w:p>
            <w:pPr>
              <w:spacing w:after="100"/>
              <w:jc w:val="left"/>
            </w:pPr>
            <w:r>
              <w:rPr>
                <w:rFonts w:ascii="Microsoft YaHei" w:cs="Microsoft YaHei" w:eastAsia="Microsoft YaHei" w:hAnsi="Microsoft YaHei"/>
                <w:b w:val="false"/>
                <w:bCs w:val="false"/>
                <w:i/>
                <w:iCs/>
                <w:color w:val="4B5563"/>
                <w:sz w:val="15"/>
                <w:szCs w:val="15"/>
              </w:rPr>
              <w:t xml:space="preserve">Sep. 2018-Jun. 2021</w:t>
            </w:r>
          </w:p>
        </w:tc>
        <w:tc>
          <w:tcPr>
            <w:tcW w:type="dxa" w:w="1850"/>
            <w:tcBorders>
              <w:top w:val="single" w:color="CBD5E1" w:sz="1"/>
              <w:left w:val="single" w:color="CBD5E1" w:sz="1"/>
              <w:bottom w:val="single" w:color="CBD5E1" w:sz="1"/>
              <w:right w:val="single" w:color="CBD5E1" w:sz="1"/>
            </w:tcBorders>
            <w:tcMar>
              <w:top w:type="dxa" w:w="80"/>
              <w:left w:type="dxa" w:w="90"/>
              <w:bottom w:type="dxa" w:w="80"/>
              <w:right w:type="dxa" w:w="90"/>
            </w:tcMar>
            <w:vAlign w:val="top"/>
          </w:tcPr>
          <w:p>
            <w:pPr>
              <w:spacing w:after="20"/>
              <w:jc w:val="left"/>
            </w:pPr>
            <w:r>
              <w:rPr>
                <w:rFonts w:ascii="Microsoft YaHei" w:cs="Microsoft YaHei" w:eastAsia="Microsoft YaHei" w:hAnsi="Microsoft YaHei"/>
                <w:b w:val="false"/>
                <w:bCs w:val="false"/>
                <w:i w:val="false"/>
                <w:iCs w:val="false"/>
                <w:color w:val="111827"/>
                <w:sz w:val="17"/>
                <w:szCs w:val="17"/>
              </w:rPr>
              <w:t xml:space="preserve">兰州大学</w:t>
            </w:r>
          </w:p>
          <w:p>
            <w:pPr>
              <w:spacing w:after="100"/>
              <w:jc w:val="left"/>
            </w:pPr>
            <w:r>
              <w:rPr>
                <w:rFonts w:ascii="Microsoft YaHei" w:cs="Microsoft YaHei" w:eastAsia="Microsoft YaHei" w:hAnsi="Microsoft YaHei"/>
                <w:b w:val="false"/>
                <w:bCs w:val="false"/>
                <w:i/>
                <w:iCs/>
                <w:color w:val="4B5563"/>
                <w:sz w:val="15"/>
                <w:szCs w:val="15"/>
              </w:rPr>
              <w:t xml:space="preserve">Lanzhou University</w:t>
            </w:r>
          </w:p>
        </w:tc>
        <w:tc>
          <w:tcPr>
            <w:tcW w:type="dxa" w:w="2150"/>
            <w:tcBorders>
              <w:top w:val="single" w:color="CBD5E1" w:sz="1"/>
              <w:left w:val="single" w:color="CBD5E1" w:sz="1"/>
              <w:bottom w:val="single" w:color="CBD5E1" w:sz="1"/>
              <w:right w:val="single" w:color="CBD5E1" w:sz="1"/>
            </w:tcBorders>
            <w:tcMar>
              <w:top w:type="dxa" w:w="80"/>
              <w:left w:type="dxa" w:w="90"/>
              <w:bottom w:type="dxa" w:w="80"/>
              <w:right w:type="dxa" w:w="90"/>
            </w:tcMar>
            <w:vAlign w:val="top"/>
          </w:tcPr>
          <w:p>
            <w:pPr>
              <w:spacing w:after="20"/>
              <w:jc w:val="left"/>
            </w:pPr>
            <w:r>
              <w:rPr>
                <w:rFonts w:ascii="Microsoft YaHei" w:cs="Microsoft YaHei" w:eastAsia="Microsoft YaHei" w:hAnsi="Microsoft YaHei"/>
                <w:b w:val="false"/>
                <w:bCs w:val="false"/>
                <w:i w:val="false"/>
                <w:iCs w:val="false"/>
                <w:color w:val="111827"/>
                <w:sz w:val="17"/>
                <w:szCs w:val="17"/>
              </w:rPr>
              <w:t xml:space="preserve">化学化工学院</w:t>
            </w:r>
          </w:p>
          <w:p>
            <w:pPr>
              <w:spacing w:after="100"/>
              <w:jc w:val="left"/>
            </w:pPr>
            <w:r>
              <w:rPr>
                <w:rFonts w:ascii="Microsoft YaHei" w:cs="Microsoft YaHei" w:eastAsia="Microsoft YaHei" w:hAnsi="Microsoft YaHei"/>
                <w:b w:val="false"/>
                <w:bCs w:val="false"/>
                <w:i/>
                <w:iCs/>
                <w:color w:val="4B5563"/>
                <w:sz w:val="15"/>
                <w:szCs w:val="15"/>
              </w:rPr>
              <w:t xml:space="preserve">College of Chemistry and Chemical Engineering</w:t>
            </w:r>
          </w:p>
        </w:tc>
        <w:tc>
          <w:tcPr>
            <w:tcW w:type="dxa" w:w="1350"/>
            <w:tcBorders>
              <w:top w:val="single" w:color="CBD5E1" w:sz="1"/>
              <w:left w:val="single" w:color="CBD5E1" w:sz="1"/>
              <w:bottom w:val="single" w:color="CBD5E1" w:sz="1"/>
              <w:right w:val="single" w:color="CBD5E1" w:sz="1"/>
            </w:tcBorders>
            <w:tcMar>
              <w:top w:type="dxa" w:w="80"/>
              <w:left w:type="dxa" w:w="90"/>
              <w:bottom w:type="dxa" w:w="80"/>
              <w:right w:type="dxa" w:w="90"/>
            </w:tcMar>
            <w:vAlign w:val="top"/>
          </w:tcPr>
          <w:p>
            <w:pPr>
              <w:spacing w:after="20"/>
              <w:jc w:val="left"/>
            </w:pPr>
            <w:r>
              <w:rPr>
                <w:rFonts w:ascii="Microsoft YaHei" w:cs="Microsoft YaHei" w:eastAsia="Microsoft YaHei" w:hAnsi="Microsoft YaHei"/>
                <w:b w:val="false"/>
                <w:bCs w:val="false"/>
                <w:i w:val="false"/>
                <w:iCs w:val="false"/>
                <w:color w:val="111827"/>
                <w:sz w:val="17"/>
                <w:szCs w:val="17"/>
              </w:rPr>
              <w:t xml:space="preserve">化学信息学</w:t>
            </w:r>
          </w:p>
          <w:p>
            <w:pPr>
              <w:spacing w:after="100"/>
              <w:jc w:val="left"/>
            </w:pPr>
            <w:r>
              <w:rPr>
                <w:rFonts w:ascii="Microsoft YaHei" w:cs="Microsoft YaHei" w:eastAsia="Microsoft YaHei" w:hAnsi="Microsoft YaHei"/>
                <w:b w:val="false"/>
                <w:bCs w:val="false"/>
                <w:i/>
                <w:iCs/>
                <w:color w:val="4B5563"/>
                <w:sz w:val="15"/>
                <w:szCs w:val="15"/>
              </w:rPr>
              <w:t xml:space="preserve">Chemoinformatics</w:t>
            </w:r>
          </w:p>
        </w:tc>
        <w:tc>
          <w:tcPr>
            <w:tcW w:type="dxa" w:w="2900"/>
            <w:tcBorders>
              <w:top w:val="single" w:color="CBD5E1" w:sz="1"/>
              <w:left w:val="single" w:color="CBD5E1" w:sz="1"/>
              <w:bottom w:val="single" w:color="CBD5E1" w:sz="1"/>
              <w:right w:val="single" w:color="CBD5E1" w:sz="1"/>
            </w:tcBorders>
            <w:tcMar>
              <w:top w:type="dxa" w:w="80"/>
              <w:left w:type="dxa" w:w="90"/>
              <w:bottom w:type="dxa" w:w="80"/>
              <w:right w:type="dxa" w:w="90"/>
            </w:tcMar>
            <w:vAlign w:val="top"/>
          </w:tcPr>
          <w:p>
            <w:pPr>
              <w:spacing w:after="20"/>
              <w:jc w:val="left"/>
            </w:pPr>
            <w:r>
              <w:rPr>
                <w:rFonts w:ascii="Microsoft YaHei" w:cs="Microsoft YaHei" w:eastAsia="Microsoft YaHei" w:hAnsi="Microsoft YaHei"/>
                <w:b w:val="false"/>
                <w:bCs w:val="false"/>
                <w:i w:val="false"/>
                <w:iCs w:val="false"/>
                <w:color w:val="111827"/>
                <w:sz w:val="17"/>
                <w:szCs w:val="17"/>
              </w:rPr>
              <w:t xml:space="preserve">硕士（导师：姚小军教授）</w:t>
            </w:r>
          </w:p>
          <w:p>
            <w:pPr>
              <w:spacing w:after="100"/>
              <w:jc w:val="left"/>
            </w:pPr>
            <w:r>
              <w:rPr>
                <w:rFonts w:ascii="Microsoft YaHei" w:cs="Microsoft YaHei" w:eastAsia="Microsoft YaHei" w:hAnsi="Microsoft YaHei"/>
                <w:b w:val="false"/>
                <w:bCs w:val="false"/>
                <w:i/>
                <w:iCs/>
                <w:color w:val="4B5563"/>
                <w:sz w:val="15"/>
                <w:szCs w:val="15"/>
              </w:rPr>
              <w:t xml:space="preserve">M.S. (Advisor: Prof. Xiaojun Yao)</w:t>
            </w:r>
          </w:p>
        </w:tc>
      </w:tr>
      <w:tr>
        <w:tc>
          <w:tcPr>
            <w:tcW w:type="dxa" w:w="1250"/>
            <w:tcBorders>
              <w:top w:val="single" w:color="CBD5E1" w:sz="1"/>
              <w:left w:val="single" w:color="CBD5E1" w:sz="1"/>
              <w:bottom w:val="single" w:color="CBD5E1" w:sz="1"/>
              <w:right w:val="single" w:color="CBD5E1" w:sz="1"/>
            </w:tcBorders>
            <w:tcMar>
              <w:top w:type="dxa" w:w="80"/>
              <w:left w:type="dxa" w:w="90"/>
              <w:bottom w:type="dxa" w:w="80"/>
              <w:right w:type="dxa" w:w="90"/>
            </w:tcMar>
            <w:vAlign w:val="top"/>
          </w:tcPr>
          <w:p>
            <w:pPr>
              <w:spacing w:after="20"/>
              <w:jc w:val="left"/>
            </w:pPr>
            <w:r>
              <w:rPr>
                <w:rFonts w:ascii="Microsoft YaHei" w:cs="Microsoft YaHei" w:eastAsia="Microsoft YaHei" w:hAnsi="Microsoft YaHei"/>
                <w:b w:val="false"/>
                <w:bCs w:val="false"/>
                <w:i w:val="false"/>
                <w:iCs w:val="false"/>
                <w:color w:val="111827"/>
                <w:sz w:val="17"/>
                <w:szCs w:val="17"/>
              </w:rPr>
              <w:t xml:space="preserve">2014.09-2018.06</w:t>
            </w:r>
          </w:p>
          <w:p>
            <w:pPr>
              <w:spacing w:after="100"/>
              <w:jc w:val="left"/>
            </w:pPr>
            <w:r>
              <w:rPr>
                <w:rFonts w:ascii="Microsoft YaHei" w:cs="Microsoft YaHei" w:eastAsia="Microsoft YaHei" w:hAnsi="Microsoft YaHei"/>
                <w:b w:val="false"/>
                <w:bCs w:val="false"/>
                <w:i/>
                <w:iCs/>
                <w:color w:val="4B5563"/>
                <w:sz w:val="15"/>
                <w:szCs w:val="15"/>
              </w:rPr>
              <w:t xml:space="preserve">Sep. 2014-Jun. 2018</w:t>
            </w:r>
          </w:p>
        </w:tc>
        <w:tc>
          <w:tcPr>
            <w:tcW w:type="dxa" w:w="1850"/>
            <w:tcBorders>
              <w:top w:val="single" w:color="CBD5E1" w:sz="1"/>
              <w:left w:val="single" w:color="CBD5E1" w:sz="1"/>
              <w:bottom w:val="single" w:color="CBD5E1" w:sz="1"/>
              <w:right w:val="single" w:color="CBD5E1" w:sz="1"/>
            </w:tcBorders>
            <w:tcMar>
              <w:top w:type="dxa" w:w="80"/>
              <w:left w:type="dxa" w:w="90"/>
              <w:bottom w:type="dxa" w:w="80"/>
              <w:right w:type="dxa" w:w="90"/>
            </w:tcMar>
            <w:vAlign w:val="top"/>
          </w:tcPr>
          <w:p>
            <w:pPr>
              <w:spacing w:after="20"/>
              <w:jc w:val="left"/>
            </w:pPr>
            <w:r>
              <w:rPr>
                <w:rFonts w:ascii="Microsoft YaHei" w:cs="Microsoft YaHei" w:eastAsia="Microsoft YaHei" w:hAnsi="Microsoft YaHei"/>
                <w:b w:val="false"/>
                <w:bCs w:val="false"/>
                <w:i w:val="false"/>
                <w:iCs w:val="false"/>
                <w:color w:val="111827"/>
                <w:sz w:val="17"/>
                <w:szCs w:val="17"/>
              </w:rPr>
              <w:t xml:space="preserve">兰州大学</w:t>
            </w:r>
          </w:p>
          <w:p>
            <w:pPr>
              <w:spacing w:after="100"/>
              <w:jc w:val="left"/>
            </w:pPr>
            <w:r>
              <w:rPr>
                <w:rFonts w:ascii="Microsoft YaHei" w:cs="Microsoft YaHei" w:eastAsia="Microsoft YaHei" w:hAnsi="Microsoft YaHei"/>
                <w:b w:val="false"/>
                <w:bCs w:val="false"/>
                <w:i/>
                <w:iCs/>
                <w:color w:val="4B5563"/>
                <w:sz w:val="15"/>
                <w:szCs w:val="15"/>
              </w:rPr>
              <w:t xml:space="preserve">Lanzhou University</w:t>
            </w:r>
          </w:p>
        </w:tc>
        <w:tc>
          <w:tcPr>
            <w:tcW w:type="dxa" w:w="2150"/>
            <w:tcBorders>
              <w:top w:val="single" w:color="CBD5E1" w:sz="1"/>
              <w:left w:val="single" w:color="CBD5E1" w:sz="1"/>
              <w:bottom w:val="single" w:color="CBD5E1" w:sz="1"/>
              <w:right w:val="single" w:color="CBD5E1" w:sz="1"/>
            </w:tcBorders>
            <w:tcMar>
              <w:top w:type="dxa" w:w="80"/>
              <w:left w:type="dxa" w:w="90"/>
              <w:bottom w:type="dxa" w:w="80"/>
              <w:right w:type="dxa" w:w="90"/>
            </w:tcMar>
            <w:vAlign w:val="top"/>
          </w:tcPr>
          <w:p>
            <w:pPr>
              <w:spacing w:after="20"/>
              <w:jc w:val="left"/>
            </w:pPr>
            <w:r>
              <w:rPr>
                <w:rFonts w:ascii="Microsoft YaHei" w:cs="Microsoft YaHei" w:eastAsia="Microsoft YaHei" w:hAnsi="Microsoft YaHei"/>
                <w:b w:val="false"/>
                <w:bCs w:val="false"/>
                <w:i w:val="false"/>
                <w:iCs w:val="false"/>
                <w:color w:val="111827"/>
                <w:sz w:val="17"/>
                <w:szCs w:val="17"/>
              </w:rPr>
              <w:t xml:space="preserve">化学化工学院</w:t>
            </w:r>
          </w:p>
          <w:p>
            <w:pPr>
              <w:spacing w:after="100"/>
              <w:jc w:val="left"/>
            </w:pPr>
            <w:r>
              <w:rPr>
                <w:rFonts w:ascii="Microsoft YaHei" w:cs="Microsoft YaHei" w:eastAsia="Microsoft YaHei" w:hAnsi="Microsoft YaHei"/>
                <w:b w:val="false"/>
                <w:bCs w:val="false"/>
                <w:i/>
                <w:iCs/>
                <w:color w:val="4B5563"/>
                <w:sz w:val="15"/>
                <w:szCs w:val="15"/>
              </w:rPr>
              <w:t xml:space="preserve">College of Chemistry and Chemical Engineering</w:t>
            </w:r>
          </w:p>
        </w:tc>
        <w:tc>
          <w:tcPr>
            <w:tcW w:type="dxa" w:w="1350"/>
            <w:tcBorders>
              <w:top w:val="single" w:color="CBD5E1" w:sz="1"/>
              <w:left w:val="single" w:color="CBD5E1" w:sz="1"/>
              <w:bottom w:val="single" w:color="CBD5E1" w:sz="1"/>
              <w:right w:val="single" w:color="CBD5E1" w:sz="1"/>
            </w:tcBorders>
            <w:tcMar>
              <w:top w:type="dxa" w:w="80"/>
              <w:left w:type="dxa" w:w="90"/>
              <w:bottom w:type="dxa" w:w="80"/>
              <w:right w:type="dxa" w:w="90"/>
            </w:tcMar>
            <w:vAlign w:val="top"/>
          </w:tcPr>
          <w:p>
            <w:pPr>
              <w:spacing w:after="20"/>
              <w:jc w:val="left"/>
            </w:pPr>
            <w:r>
              <w:rPr>
                <w:rFonts w:ascii="Microsoft YaHei" w:cs="Microsoft YaHei" w:eastAsia="Microsoft YaHei" w:hAnsi="Microsoft YaHei"/>
                <w:b w:val="false"/>
                <w:bCs w:val="false"/>
                <w:i w:val="false"/>
                <w:iCs w:val="false"/>
                <w:color w:val="111827"/>
                <w:sz w:val="17"/>
                <w:szCs w:val="17"/>
              </w:rPr>
              <w:t xml:space="preserve">化学（基地班）</w:t>
            </w:r>
          </w:p>
          <w:p>
            <w:pPr>
              <w:spacing w:after="100"/>
              <w:jc w:val="left"/>
            </w:pPr>
            <w:r>
              <w:rPr>
                <w:rFonts w:ascii="Microsoft YaHei" w:cs="Microsoft YaHei" w:eastAsia="Microsoft YaHei" w:hAnsi="Microsoft YaHei"/>
                <w:b w:val="false"/>
                <w:bCs w:val="false"/>
                <w:i/>
                <w:iCs/>
                <w:color w:val="4B5563"/>
                <w:sz w:val="15"/>
                <w:szCs w:val="15"/>
              </w:rPr>
              <w:t xml:space="preserve">Chemistry (Base Class)</w:t>
            </w:r>
          </w:p>
        </w:tc>
        <w:tc>
          <w:tcPr>
            <w:tcW w:type="dxa" w:w="2900"/>
            <w:tcBorders>
              <w:top w:val="single" w:color="CBD5E1" w:sz="1"/>
              <w:left w:val="single" w:color="CBD5E1" w:sz="1"/>
              <w:bottom w:val="single" w:color="CBD5E1" w:sz="1"/>
              <w:right w:val="single" w:color="CBD5E1" w:sz="1"/>
            </w:tcBorders>
            <w:tcMar>
              <w:top w:type="dxa" w:w="80"/>
              <w:left w:type="dxa" w:w="90"/>
              <w:bottom w:type="dxa" w:w="80"/>
              <w:right w:type="dxa" w:w="90"/>
            </w:tcMar>
            <w:vAlign w:val="top"/>
          </w:tcPr>
          <w:p>
            <w:pPr>
              <w:spacing w:after="20"/>
              <w:jc w:val="left"/>
            </w:pPr>
            <w:r>
              <w:rPr>
                <w:rFonts w:ascii="Microsoft YaHei" w:cs="Microsoft YaHei" w:eastAsia="Microsoft YaHei" w:hAnsi="Microsoft YaHei"/>
                <w:b w:val="false"/>
                <w:bCs w:val="false"/>
                <w:i w:val="false"/>
                <w:iCs w:val="false"/>
                <w:color w:val="111827"/>
                <w:sz w:val="17"/>
                <w:szCs w:val="17"/>
              </w:rPr>
              <w:t xml:space="preserve">学士</w:t>
            </w:r>
          </w:p>
          <w:p>
            <w:pPr>
              <w:spacing w:after="100"/>
              <w:jc w:val="left"/>
            </w:pPr>
            <w:r>
              <w:rPr>
                <w:rFonts w:ascii="Microsoft YaHei" w:cs="Microsoft YaHei" w:eastAsia="Microsoft YaHei" w:hAnsi="Microsoft YaHei"/>
                <w:b w:val="false"/>
                <w:bCs w:val="false"/>
                <w:i/>
                <w:iCs/>
                <w:color w:val="4B5563"/>
                <w:sz w:val="15"/>
                <w:szCs w:val="15"/>
              </w:rPr>
              <w:t xml:space="preserve">B.S.</w:t>
            </w:r>
          </w:p>
        </w:tc>
      </w:tr>
    </w:tbl>
    <w:p>
      <w:pPr>
        <w:pStyle w:val="Heading1"/>
        <w:pBdr>
          <w:bottom w:val="single" w:color="9CA3AF" w:sz="4" w:space="3"/>
        </w:pBdr>
        <w:spacing w:after="100" w:before="220"/>
        <w:jc w:val="left"/>
      </w:pPr>
      <w:r>
        <w:rPr>
          <w:rFonts w:ascii="Microsoft YaHei" w:cs="Microsoft YaHei" w:eastAsia="Microsoft YaHei" w:hAnsi="Microsoft YaHei"/>
          <w:b/>
          <w:bCs/>
          <w:i w:val="false"/>
          <w:iCs w:val="false"/>
          <w:color w:val="0F3D5E"/>
          <w:sz w:val="24"/>
          <w:szCs w:val="24"/>
        </w:rPr>
        <w:t xml:space="preserve">研究经验 / Research Experience</w:t>
      </w:r>
    </w:p>
    <w:p>
      <w:pPr>
        <w:spacing w:after="20"/>
        <w:jc w:val="left"/>
      </w:pPr>
      <w:r>
        <w:rPr>
          <w:rFonts w:ascii="Microsoft YaHei" w:cs="Microsoft YaHei" w:eastAsia="Microsoft YaHei" w:hAnsi="Microsoft YaHei"/>
          <w:b w:val="false"/>
          <w:bCs w:val="false"/>
          <w:i w:val="false"/>
          <w:iCs w:val="false"/>
          <w:color w:val="111827"/>
          <w:sz w:val="19"/>
          <w:szCs w:val="19"/>
        </w:rPr>
        <w:t xml:space="preserve">在硕士阶段、攻读博士学位和从事博士后研究期间，我的研究主要集中在以下领域：</w:t>
      </w:r>
    </w:p>
    <w:p>
      <w:pPr>
        <w:spacing w:after="100"/>
        <w:jc w:val="left"/>
      </w:pPr>
      <w:r>
        <w:rPr>
          <w:rFonts w:ascii="Microsoft YaHei" w:cs="Microsoft YaHei" w:eastAsia="Microsoft YaHei" w:hAnsi="Microsoft YaHei"/>
          <w:b w:val="false"/>
          <w:bCs w:val="false"/>
          <w:i/>
          <w:iCs/>
          <w:color w:val="4B5563"/>
          <w:sz w:val="17"/>
          <w:szCs w:val="17"/>
        </w:rPr>
        <w:t xml:space="preserve">During my master's studies, doctoral study, and postdoctoral research, my research has mainly focused on the following areas:</w:t>
      </w:r>
    </w:p>
    <w:p>
      <w:pPr>
        <w:pStyle w:val="Heading2"/>
        <w:spacing w:after="70" w:before="130"/>
        <w:jc w:val="left"/>
      </w:pPr>
      <w:r>
        <w:rPr>
          <w:rFonts w:ascii="Microsoft YaHei" w:cs="Microsoft YaHei" w:eastAsia="Microsoft YaHei" w:hAnsi="Microsoft YaHei"/>
          <w:b/>
          <w:bCs/>
          <w:i w:val="false"/>
          <w:iCs w:val="false"/>
          <w:color w:val="111827"/>
          <w:sz w:val="20"/>
          <w:szCs w:val="20"/>
        </w:rPr>
        <w:t xml:space="preserve">人工智能辅助的合成规划算法 / AI-assisted synthesis planning algorithms</w:t>
      </w:r>
    </w:p>
    <w:p>
      <w:pPr>
        <w:spacing w:after="20"/>
        <w:jc w:val="left"/>
      </w:pPr>
      <w:r>
        <w:rPr>
          <w:rFonts w:ascii="Microsoft YaHei" w:cs="Microsoft YaHei" w:eastAsia="Microsoft YaHei" w:hAnsi="Microsoft YaHei"/>
          <w:b w:val="false"/>
          <w:bCs w:val="false"/>
          <w:i w:val="false"/>
          <w:iCs w:val="false"/>
          <w:color w:val="111827"/>
          <w:sz w:val="19"/>
          <w:szCs w:val="19"/>
        </w:rPr>
        <w:t xml:space="preserve">围绕单步逆合成预测与反应条件推荐，基于专家知识启发设计生成式人工智能模型，构建具备化学可解释性的单步预测算法与通用反应条件推荐模型；进一步融合强化学习技术，优化多步合成规划策略，形成系统性的混合酶促-有机合成路径规划框架，支持从分子合成路径设计到反应合理性评估、条件推荐与产率估计的一体化合成规划体系。</w:t>
      </w:r>
    </w:p>
    <w:p>
      <w:pPr>
        <w:spacing w:after="100"/>
        <w:jc w:val="left"/>
      </w:pPr>
      <w:r>
        <w:rPr>
          <w:rFonts w:ascii="Microsoft YaHei" w:cs="Microsoft YaHei" w:eastAsia="Microsoft YaHei" w:hAnsi="Microsoft YaHei"/>
          <w:b w:val="false"/>
          <w:bCs w:val="false"/>
          <w:i/>
          <w:iCs/>
          <w:color w:val="4B5563"/>
          <w:sz w:val="17"/>
          <w:szCs w:val="17"/>
        </w:rPr>
        <w:t xml:space="preserve">Focusing on single-step retrosynthesis prediction and reaction condition recommendation, I designed generative artificial intelligence models inspired by expert knowledge, and constructed chemically interpretable single-step prediction algorithms and general reaction condition recommendation models; I further integrated reinforcement learning techniques to optimize multi-step synthesis planning strategies, forming a systematic hybrid enzymatic-organic synthesis route planning framework that supports an integrated synthesis planning system from molecular synthesis route design to reaction rationality evaluation, condition recommendation, and yield estimation.</w:t>
      </w:r>
    </w:p>
    <w:p>
      <w:pPr>
        <w:pStyle w:val="Heading2"/>
        <w:spacing w:after="70" w:before="130"/>
        <w:jc w:val="left"/>
      </w:pPr>
      <w:r>
        <w:rPr>
          <w:rFonts w:ascii="Microsoft YaHei" w:cs="Microsoft YaHei" w:eastAsia="Microsoft YaHei" w:hAnsi="Microsoft YaHei"/>
          <w:b/>
          <w:bCs/>
          <w:i w:val="false"/>
          <w:iCs w:val="false"/>
          <w:color w:val="111827"/>
          <w:sz w:val="20"/>
          <w:szCs w:val="20"/>
        </w:rPr>
        <w:t xml:space="preserve">酶催化相关预测方法 / Prediction methods related to enzymatic catalysis</w:t>
      </w:r>
    </w:p>
    <w:p>
      <w:pPr>
        <w:spacing w:after="20"/>
        <w:jc w:val="left"/>
      </w:pPr>
      <w:r>
        <w:rPr>
          <w:rFonts w:ascii="Microsoft YaHei" w:cs="Microsoft YaHei" w:eastAsia="Microsoft YaHei" w:hAnsi="Microsoft YaHei"/>
          <w:b w:val="false"/>
          <w:bCs w:val="false"/>
          <w:i w:val="false"/>
          <w:iCs w:val="false"/>
          <w:color w:val="111827"/>
          <w:sz w:val="19"/>
          <w:szCs w:val="19"/>
        </w:rPr>
        <w:t xml:space="preserve">依托多模态深度学习技术，融合蛋白语言模型、蛋白质拓扑结构与反应语义信息，发展高速高精度的酶催化活性位点识别算法；通过可学习的反应指纹和自然语言处理模型实现对酶促反应具有活性的酶类推荐；结合注意力机制与图神经网络，构建高效的酶-底物相互作用预测方法，服务于底物筛选任务。</w:t>
      </w:r>
    </w:p>
    <w:p>
      <w:pPr>
        <w:spacing w:after="100"/>
        <w:jc w:val="left"/>
      </w:pPr>
      <w:r>
        <w:rPr>
          <w:rFonts w:ascii="Microsoft YaHei" w:cs="Microsoft YaHei" w:eastAsia="Microsoft YaHei" w:hAnsi="Microsoft YaHei"/>
          <w:b w:val="false"/>
          <w:bCs w:val="false"/>
          <w:i/>
          <w:iCs/>
          <w:color w:val="4B5563"/>
          <w:sz w:val="17"/>
          <w:szCs w:val="17"/>
        </w:rPr>
        <w:t xml:space="preserve">Relying on multi-modal deep learning techniques, I integrated protein language models, protein topological structures, and reaction semantic information to develop high-speed and high-accuracy algorithms for identifying enzymatic catalytic active sites; through learnable reaction fingerprints and natural language processing models, I realized enzyme class recommendation for enzymes active toward enzymatic reactions; by combining attention mechanisms and graph neural networks, I constructed efficient enzyme-substrate interaction prediction methods to serve substrate screening tasks.</w:t>
      </w:r>
    </w:p>
    <w:p>
      <w:pPr>
        <w:pStyle w:val="Heading2"/>
        <w:spacing w:after="70" w:before="130"/>
        <w:jc w:val="left"/>
      </w:pPr>
      <w:r>
        <w:rPr>
          <w:rFonts w:ascii="Microsoft YaHei" w:cs="Microsoft YaHei" w:eastAsia="Microsoft YaHei" w:hAnsi="Microsoft YaHei"/>
          <w:b/>
          <w:bCs/>
          <w:i w:val="false"/>
          <w:iCs w:val="false"/>
          <w:color w:val="111827"/>
          <w:sz w:val="20"/>
          <w:szCs w:val="20"/>
        </w:rPr>
        <w:t xml:space="preserve">人工智能驱动的分子生成方法 / AI-driven molecular generation methods</w:t>
      </w:r>
    </w:p>
    <w:p>
      <w:pPr>
        <w:spacing w:after="20"/>
        <w:jc w:val="left"/>
      </w:pPr>
      <w:r>
        <w:rPr>
          <w:rFonts w:ascii="Microsoft YaHei" w:cs="Microsoft YaHei" w:eastAsia="Microsoft YaHei" w:hAnsi="Microsoft YaHei"/>
          <w:b w:val="false"/>
          <w:bCs w:val="false"/>
          <w:i w:val="false"/>
          <w:iCs w:val="false"/>
          <w:color w:val="111827"/>
          <w:sz w:val="19"/>
          <w:szCs w:val="19"/>
        </w:rPr>
        <w:t xml:space="preserve">发展融合遗传算法与化学反应启发机制的分子生成模型，显著提升生成分子的可合成性与结构多样性，助力于早期分子设计与药物发现。</w:t>
      </w:r>
    </w:p>
    <w:p>
      <w:pPr>
        <w:spacing w:after="100"/>
        <w:jc w:val="left"/>
      </w:pPr>
      <w:r>
        <w:rPr>
          <w:rFonts w:ascii="Microsoft YaHei" w:cs="Microsoft YaHei" w:eastAsia="Microsoft YaHei" w:hAnsi="Microsoft YaHei"/>
          <w:b w:val="false"/>
          <w:bCs w:val="false"/>
          <w:i/>
          <w:iCs/>
          <w:color w:val="4B5563"/>
          <w:sz w:val="17"/>
          <w:szCs w:val="17"/>
        </w:rPr>
        <w:t xml:space="preserve">I developed molecular generation models integrating genetic algorithms and chemically reaction-inspired mechanisms, significantly improving the synthesizability and structural diversity of generated molecules, and supporting early-stage molecular design and drug discovery.</w:t>
      </w:r>
    </w:p>
    <w:p>
      <w:pPr>
        <w:pStyle w:val="Heading2"/>
        <w:spacing w:after="70" w:before="130"/>
        <w:jc w:val="left"/>
      </w:pPr>
      <w:r>
        <w:rPr>
          <w:rFonts w:ascii="Microsoft YaHei" w:cs="Microsoft YaHei" w:eastAsia="Microsoft YaHei" w:hAnsi="Microsoft YaHei"/>
          <w:b/>
          <w:bCs/>
          <w:i w:val="false"/>
          <w:iCs w:val="false"/>
          <w:color w:val="111827"/>
          <w:sz w:val="20"/>
          <w:szCs w:val="20"/>
        </w:rPr>
        <w:t xml:space="preserve">高性能工具开发 / High-Performance Tool Development</w:t>
      </w:r>
    </w:p>
    <w:p>
      <w:pPr>
        <w:pStyle w:val="ListParagraph"/>
        <w:numPr>
          <w:ilvl w:val="0"/>
          <w:numId w:val="2"/>
        </w:numPr>
        <w:spacing w:after="20"/>
        <w:jc w:val="left"/>
      </w:pPr>
      <w:r>
        <w:rPr>
          <w:rFonts w:ascii="Microsoft YaHei" w:cs="Microsoft YaHei" w:eastAsia="Microsoft YaHei" w:hAnsi="Microsoft YaHei"/>
          <w:b w:val="false"/>
          <w:bCs w:val="false"/>
          <w:i w:val="false"/>
          <w:iCs w:val="false"/>
          <w:color w:val="111827"/>
          <w:sz w:val="19"/>
          <w:szCs w:val="19"/>
        </w:rPr>
        <w:t xml:space="preserve">以智能体为核心的混合酶促-有机合成路径规划平台 ChemEnzyRetroPlanner</w:t>
      </w:r>
    </w:p>
    <w:p>
      <w:pPr>
        <w:spacing w:after="90"/>
        <w:ind w:left="720"/>
        <w:jc w:val="left"/>
      </w:pPr>
      <w:r>
        <w:rPr>
          <w:rFonts w:ascii="Microsoft YaHei" w:cs="Microsoft YaHei" w:eastAsia="Microsoft YaHei" w:hAnsi="Microsoft YaHei"/>
          <w:b w:val="false"/>
          <w:bCs w:val="false"/>
          <w:i/>
          <w:iCs/>
          <w:color w:val="4B5563"/>
          <w:sz w:val="17"/>
          <w:szCs w:val="17"/>
        </w:rPr>
        <w:t xml:space="preserve">ChemEnzyRetroPlanner, an agent-centered hybrid enzymatic-organic synthesis route planning platform</w:t>
      </w:r>
    </w:p>
    <w:p>
      <w:pPr>
        <w:pStyle w:val="ListParagraph"/>
        <w:numPr>
          <w:ilvl w:val="0"/>
          <w:numId w:val="2"/>
        </w:numPr>
        <w:spacing w:after="20"/>
        <w:jc w:val="left"/>
      </w:pPr>
      <w:r>
        <w:rPr>
          <w:rFonts w:ascii="Microsoft YaHei" w:cs="Microsoft YaHei" w:eastAsia="Microsoft YaHei" w:hAnsi="Microsoft YaHei"/>
          <w:b w:val="false"/>
          <w:bCs w:val="false"/>
          <w:i w:val="false"/>
          <w:iCs w:val="false"/>
          <w:color w:val="111827"/>
          <w:sz w:val="19"/>
          <w:szCs w:val="19"/>
        </w:rPr>
        <w:t xml:space="preserve">多模态深度学习驱动的酶活性位点注释系统 EasIFA、EasIFA2.0 WebServer</w:t>
      </w:r>
    </w:p>
    <w:p>
      <w:pPr>
        <w:spacing w:after="90"/>
        <w:ind w:left="720"/>
        <w:jc w:val="left"/>
      </w:pPr>
      <w:r>
        <w:rPr>
          <w:rFonts w:ascii="Microsoft YaHei" w:cs="Microsoft YaHei" w:eastAsia="Microsoft YaHei" w:hAnsi="Microsoft YaHei"/>
          <w:b w:val="false"/>
          <w:bCs w:val="false"/>
          <w:i/>
          <w:iCs/>
          <w:color w:val="4B5563"/>
          <w:sz w:val="17"/>
          <w:szCs w:val="17"/>
        </w:rPr>
        <w:t xml:space="preserve">EasIFA and EasIFA2.0 WebServer, multimodal deep learning-driven enzyme active-site annotation systems</w:t>
      </w:r>
    </w:p>
    <w:p>
      <w:pPr>
        <w:pStyle w:val="ListParagraph"/>
        <w:numPr>
          <w:ilvl w:val="0"/>
          <w:numId w:val="2"/>
        </w:numPr>
        <w:spacing w:after="20"/>
        <w:jc w:val="left"/>
      </w:pPr>
      <w:r>
        <w:rPr>
          <w:rFonts w:ascii="Microsoft YaHei" w:cs="Microsoft YaHei" w:eastAsia="Microsoft YaHei" w:hAnsi="Microsoft YaHei"/>
          <w:b w:val="false"/>
          <w:bCs w:val="false"/>
          <w:i w:val="false"/>
          <w:iCs w:val="false"/>
          <w:color w:val="111827"/>
          <w:sz w:val="19"/>
          <w:szCs w:val="19"/>
        </w:rPr>
        <w:t xml:space="preserve">基于Transformer 的单步逆合成预测算法 RetroPrime</w:t>
      </w:r>
    </w:p>
    <w:p>
      <w:pPr>
        <w:spacing w:after="90"/>
        <w:ind w:left="720"/>
        <w:jc w:val="left"/>
      </w:pPr>
      <w:r>
        <w:rPr>
          <w:rFonts w:ascii="Microsoft YaHei" w:cs="Microsoft YaHei" w:eastAsia="Microsoft YaHei" w:hAnsi="Microsoft YaHei"/>
          <w:b w:val="false"/>
          <w:bCs w:val="false"/>
          <w:i/>
          <w:iCs/>
          <w:color w:val="4B5563"/>
          <w:sz w:val="17"/>
          <w:szCs w:val="17"/>
        </w:rPr>
        <w:t xml:space="preserve">RetroPrime, a Transformer-based single-step retrosynthesis prediction algorithm</w:t>
      </w:r>
    </w:p>
    <w:p>
      <w:pPr>
        <w:pStyle w:val="ListParagraph"/>
        <w:numPr>
          <w:ilvl w:val="0"/>
          <w:numId w:val="2"/>
        </w:numPr>
        <w:spacing w:after="20"/>
        <w:jc w:val="left"/>
      </w:pPr>
      <w:r>
        <w:rPr>
          <w:rFonts w:ascii="Microsoft YaHei" w:cs="Microsoft YaHei" w:eastAsia="Microsoft YaHei" w:hAnsi="Microsoft YaHei"/>
          <w:b w:val="false"/>
          <w:bCs w:val="false"/>
          <w:i w:val="false"/>
          <w:iCs w:val="false"/>
          <w:color w:val="111827"/>
          <w:sz w:val="19"/>
          <w:szCs w:val="19"/>
        </w:rPr>
        <w:t xml:space="preserve">自回归式通用反应条件推荐工具 Parrot</w:t>
      </w:r>
    </w:p>
    <w:p>
      <w:pPr>
        <w:spacing w:after="90"/>
        <w:ind w:left="720"/>
        <w:jc w:val="left"/>
      </w:pPr>
      <w:r>
        <w:rPr>
          <w:rFonts w:ascii="Microsoft YaHei" w:cs="Microsoft YaHei" w:eastAsia="Microsoft YaHei" w:hAnsi="Microsoft YaHei"/>
          <w:b w:val="false"/>
          <w:bCs w:val="false"/>
          <w:i/>
          <w:iCs/>
          <w:color w:val="4B5563"/>
          <w:sz w:val="17"/>
          <w:szCs w:val="17"/>
        </w:rPr>
        <w:t xml:space="preserve">Parrot, an autoregressive general reaction condition recommendation tool</w:t>
      </w:r>
    </w:p>
    <w:p>
      <w:pPr>
        <w:pStyle w:val="ListParagraph"/>
        <w:numPr>
          <w:ilvl w:val="0"/>
          <w:numId w:val="2"/>
        </w:numPr>
        <w:spacing w:after="20"/>
        <w:jc w:val="left"/>
      </w:pPr>
      <w:r>
        <w:rPr>
          <w:rFonts w:ascii="Microsoft YaHei" w:cs="Microsoft YaHei" w:eastAsia="Microsoft YaHei" w:hAnsi="Microsoft YaHei"/>
          <w:b w:val="false"/>
          <w:bCs w:val="false"/>
          <w:i w:val="false"/>
          <w:iCs w:val="false"/>
          <w:color w:val="111827"/>
          <w:sz w:val="19"/>
          <w:szCs w:val="19"/>
        </w:rPr>
        <w:t xml:space="preserve">基于遗传算法的分子生成算法 ChemistGA</w:t>
      </w:r>
    </w:p>
    <w:p>
      <w:pPr>
        <w:spacing w:after="90"/>
        <w:ind w:left="720"/>
        <w:jc w:val="left"/>
      </w:pPr>
      <w:r>
        <w:rPr>
          <w:rFonts w:ascii="Microsoft YaHei" w:cs="Microsoft YaHei" w:eastAsia="Microsoft YaHei" w:hAnsi="Microsoft YaHei"/>
          <w:b w:val="false"/>
          <w:bCs w:val="false"/>
          <w:i/>
          <w:iCs/>
          <w:color w:val="4B5563"/>
          <w:sz w:val="17"/>
          <w:szCs w:val="17"/>
        </w:rPr>
        <w:t xml:space="preserve">ChemistGA, a genetic algorithm-based molecular generation algorithm</w:t>
      </w:r>
    </w:p>
    <w:p>
      <w:pPr>
        <w:pStyle w:val="ListParagraph"/>
        <w:numPr>
          <w:ilvl w:val="0"/>
          <w:numId w:val="2"/>
        </w:numPr>
        <w:spacing w:after="20"/>
        <w:jc w:val="left"/>
      </w:pPr>
      <w:r>
        <w:rPr>
          <w:rFonts w:ascii="Microsoft YaHei" w:cs="Microsoft YaHei" w:eastAsia="Microsoft YaHei" w:hAnsi="Microsoft YaHei"/>
          <w:b w:val="false"/>
          <w:bCs w:val="false"/>
          <w:i w:val="false"/>
          <w:iCs w:val="false"/>
          <w:color w:val="111827"/>
          <w:sz w:val="19"/>
          <w:szCs w:val="19"/>
        </w:rPr>
        <w:t xml:space="preserve">整合式小分子靶标识别与活性预测平台 CODD-PRED</w:t>
      </w:r>
    </w:p>
    <w:p>
      <w:pPr>
        <w:spacing w:after="90"/>
        <w:ind w:left="720"/>
        <w:jc w:val="left"/>
      </w:pPr>
      <w:r>
        <w:rPr>
          <w:rFonts w:ascii="Microsoft YaHei" w:cs="Microsoft YaHei" w:eastAsia="Microsoft YaHei" w:hAnsi="Microsoft YaHei"/>
          <w:b w:val="false"/>
          <w:bCs w:val="false"/>
          <w:i/>
          <w:iCs/>
          <w:color w:val="4B5563"/>
          <w:sz w:val="17"/>
          <w:szCs w:val="17"/>
        </w:rPr>
        <w:t xml:space="preserve">CODD-PRED, an integrated small-molecule target identification and bioactivity prediction platform</w:t>
      </w:r>
    </w:p>
    <w:p>
      <w:pPr>
        <w:pStyle w:val="ListParagraph"/>
        <w:numPr>
          <w:ilvl w:val="0"/>
          <w:numId w:val="2"/>
        </w:numPr>
        <w:spacing w:after="20"/>
        <w:jc w:val="left"/>
      </w:pPr>
      <w:r>
        <w:rPr>
          <w:rFonts w:ascii="Microsoft YaHei" w:cs="Microsoft YaHei" w:eastAsia="Microsoft YaHei" w:hAnsi="Microsoft YaHei"/>
          <w:b w:val="false"/>
          <w:bCs w:val="false"/>
          <w:i w:val="false"/>
          <w:iCs w:val="false"/>
          <w:color w:val="111827"/>
          <w:sz w:val="19"/>
          <w:szCs w:val="19"/>
        </w:rPr>
        <w:t xml:space="preserve">基于对比学习策略增强的反应产率预测模型 Egret</w:t>
      </w:r>
    </w:p>
    <w:p>
      <w:pPr>
        <w:spacing w:after="90"/>
        <w:ind w:left="720"/>
        <w:jc w:val="left"/>
      </w:pPr>
      <w:r>
        <w:rPr>
          <w:rFonts w:ascii="Microsoft YaHei" w:cs="Microsoft YaHei" w:eastAsia="Microsoft YaHei" w:hAnsi="Microsoft YaHei"/>
          <w:b w:val="false"/>
          <w:bCs w:val="false"/>
          <w:i/>
          <w:iCs/>
          <w:color w:val="4B5563"/>
          <w:sz w:val="17"/>
          <w:szCs w:val="17"/>
        </w:rPr>
        <w:t xml:space="preserve">Egret, a reaction yield prediction model enhanced by contrastive learning strategies</w:t>
      </w:r>
    </w:p>
    <w:p>
      <w:pPr>
        <w:pStyle w:val="ListParagraph"/>
        <w:numPr>
          <w:ilvl w:val="0"/>
          <w:numId w:val="2"/>
        </w:numPr>
        <w:spacing w:after="20"/>
        <w:jc w:val="left"/>
      </w:pPr>
      <w:r>
        <w:rPr>
          <w:rFonts w:ascii="Microsoft YaHei" w:cs="Microsoft YaHei" w:eastAsia="Microsoft YaHei" w:hAnsi="Microsoft YaHei"/>
          <w:b w:val="false"/>
          <w:bCs w:val="false"/>
          <w:i w:val="false"/>
          <w:iCs w:val="false"/>
          <w:color w:val="111827"/>
          <w:sz w:val="19"/>
          <w:szCs w:val="19"/>
        </w:rPr>
        <w:t xml:space="preserve">基于图神经网络的分子性质预测模型 IFGN</w:t>
      </w:r>
    </w:p>
    <w:p>
      <w:pPr>
        <w:spacing w:after="90"/>
        <w:ind w:left="720"/>
        <w:jc w:val="left"/>
      </w:pPr>
      <w:r>
        <w:rPr>
          <w:rFonts w:ascii="Microsoft YaHei" w:cs="Microsoft YaHei" w:eastAsia="Microsoft YaHei" w:hAnsi="Microsoft YaHei"/>
          <w:b w:val="false"/>
          <w:bCs w:val="false"/>
          <w:i/>
          <w:iCs/>
          <w:color w:val="4B5563"/>
          <w:sz w:val="17"/>
          <w:szCs w:val="17"/>
        </w:rPr>
        <w:t xml:space="preserve">IFGN, a graph neural network-based molecular property prediction model</w:t>
      </w:r>
    </w:p>
    <w:p>
      <w:pPr>
        <w:pStyle w:val="ListParagraph"/>
        <w:numPr>
          <w:ilvl w:val="0"/>
          <w:numId w:val="2"/>
        </w:numPr>
        <w:spacing w:after="20"/>
        <w:jc w:val="left"/>
      </w:pPr>
      <w:r>
        <w:rPr>
          <w:rFonts w:ascii="Microsoft YaHei" w:cs="Microsoft YaHei" w:eastAsia="Microsoft YaHei" w:hAnsi="Microsoft YaHei"/>
          <w:b w:val="false"/>
          <w:bCs w:val="false"/>
          <w:i w:val="false"/>
          <w:iCs w:val="false"/>
          <w:color w:val="111827"/>
          <w:sz w:val="19"/>
          <w:szCs w:val="19"/>
        </w:rPr>
        <w:t xml:space="preserve">部分算法已集成至一站式药物设计平台 DrugFlow，面向国际用户提供服务。</w:t>
      </w:r>
    </w:p>
    <w:p>
      <w:pPr>
        <w:spacing w:after="90"/>
        <w:ind w:left="720"/>
        <w:jc w:val="left"/>
      </w:pPr>
      <w:r>
        <w:rPr>
          <w:rFonts w:ascii="Microsoft YaHei" w:cs="Microsoft YaHei" w:eastAsia="Microsoft YaHei" w:hAnsi="Microsoft YaHei"/>
          <w:b w:val="false"/>
          <w:bCs w:val="false"/>
          <w:i/>
          <w:iCs/>
          <w:color w:val="4B5563"/>
          <w:sz w:val="17"/>
          <w:szCs w:val="17"/>
        </w:rPr>
        <w:t xml:space="preserve">Some algorithms have been integrated into DrugFlow, a one-stop drug design platform, to provide services for international users.</w:t>
      </w:r>
    </w:p>
    <w:p>
      <w:pPr>
        <w:pStyle w:val="Heading1"/>
        <w:pBdr>
          <w:bottom w:val="single" w:color="9CA3AF" w:sz="4" w:space="3"/>
        </w:pBdr>
        <w:spacing w:after="100" w:before="220"/>
        <w:jc w:val="left"/>
      </w:pPr>
      <w:r>
        <w:rPr>
          <w:rFonts w:ascii="Microsoft YaHei" w:cs="Microsoft YaHei" w:eastAsia="Microsoft YaHei" w:hAnsi="Microsoft YaHei"/>
          <w:b/>
          <w:bCs/>
          <w:i w:val="false"/>
          <w:iCs w:val="false"/>
          <w:color w:val="0F3D5E"/>
          <w:sz w:val="24"/>
          <w:szCs w:val="24"/>
        </w:rPr>
        <w:t xml:space="preserve">主要成果 / Main Achievements</w:t>
      </w:r>
    </w:p>
    <w:p>
      <w:pPr>
        <w:pStyle w:val="ListParagraph"/>
        <w:numPr>
          <w:ilvl w:val="0"/>
          <w:numId w:val="2"/>
        </w:numPr>
        <w:spacing w:after="20"/>
        <w:jc w:val="left"/>
      </w:pPr>
      <w:r>
        <w:rPr>
          <w:rFonts w:ascii="Microsoft YaHei" w:cs="Microsoft YaHei" w:eastAsia="Microsoft YaHei" w:hAnsi="Microsoft YaHei"/>
          <w:b w:val="false"/>
          <w:bCs w:val="false"/>
          <w:i w:val="false"/>
          <w:iCs w:val="false"/>
          <w:color w:val="111827"/>
          <w:sz w:val="19"/>
          <w:szCs w:val="19"/>
        </w:rPr>
        <w:t xml:space="preserve">共发表 SCI 论文 39 篇，其中第一作者及共同第一作者论文共 11 篇，Nature 子刊两篇</w:t>
      </w:r>
    </w:p>
    <w:p>
      <w:pPr>
        <w:spacing w:after="90"/>
        <w:ind w:left="720"/>
        <w:jc w:val="left"/>
      </w:pPr>
      <w:r>
        <w:rPr>
          <w:rFonts w:ascii="Microsoft YaHei" w:cs="Microsoft YaHei" w:eastAsia="Microsoft YaHei" w:hAnsi="Microsoft YaHei"/>
          <w:b w:val="false"/>
          <w:bCs w:val="false"/>
          <w:i/>
          <w:iCs/>
          <w:color w:val="4B5563"/>
          <w:sz w:val="17"/>
          <w:szCs w:val="17"/>
        </w:rPr>
        <w:t xml:space="preserve">Published 39 SCI papers in total, including 11 first-author and co-first-author papers, and two Nature portfolio journal papers.</w:t>
      </w:r>
    </w:p>
    <w:p>
      <w:pPr>
        <w:pStyle w:val="ListParagraph"/>
        <w:numPr>
          <w:ilvl w:val="0"/>
          <w:numId w:val="2"/>
        </w:numPr>
        <w:spacing w:after="20"/>
        <w:jc w:val="left"/>
      </w:pPr>
      <w:r>
        <w:rPr>
          <w:rFonts w:ascii="Microsoft YaHei" w:cs="Microsoft YaHei" w:eastAsia="Microsoft YaHei" w:hAnsi="Microsoft YaHei"/>
          <w:b w:val="false"/>
          <w:bCs w:val="false"/>
          <w:i w:val="false"/>
          <w:iCs w:val="false"/>
          <w:color w:val="111827"/>
          <w:sz w:val="19"/>
          <w:szCs w:val="19"/>
        </w:rPr>
        <w:t xml:space="preserve">约 900 余次被引（Google Scholar）</w:t>
      </w:r>
    </w:p>
    <w:p>
      <w:pPr>
        <w:spacing w:after="90"/>
        <w:ind w:left="720"/>
        <w:jc w:val="left"/>
      </w:pPr>
      <w:r>
        <w:rPr>
          <w:rFonts w:ascii="Microsoft YaHei" w:cs="Microsoft YaHei" w:eastAsia="Microsoft YaHei" w:hAnsi="Microsoft YaHei"/>
          <w:b w:val="false"/>
          <w:bCs w:val="false"/>
          <w:i/>
          <w:iCs/>
          <w:color w:val="4B5563"/>
          <w:sz w:val="17"/>
          <w:szCs w:val="17"/>
        </w:rPr>
        <w:t xml:space="preserve">Approximately more than 900 citations (Google Scholar).</w:t>
      </w:r>
    </w:p>
    <w:p>
      <w:pPr>
        <w:pStyle w:val="ListParagraph"/>
        <w:numPr>
          <w:ilvl w:val="0"/>
          <w:numId w:val="2"/>
        </w:numPr>
        <w:spacing w:after="20"/>
        <w:jc w:val="left"/>
      </w:pPr>
      <w:r>
        <w:rPr>
          <w:rFonts w:ascii="Microsoft YaHei" w:cs="Microsoft YaHei" w:eastAsia="Microsoft YaHei" w:hAnsi="Microsoft YaHei"/>
          <w:b w:val="false"/>
          <w:bCs w:val="false"/>
          <w:i w:val="false"/>
          <w:iCs w:val="false"/>
          <w:color w:val="111827"/>
          <w:sz w:val="19"/>
          <w:szCs w:val="19"/>
        </w:rPr>
        <w:t xml:space="preserve">授权发明专利 1 项</w:t>
      </w:r>
    </w:p>
    <w:p>
      <w:pPr>
        <w:spacing w:after="90"/>
        <w:ind w:left="720"/>
        <w:jc w:val="left"/>
      </w:pPr>
      <w:r>
        <w:rPr>
          <w:rFonts w:ascii="Microsoft YaHei" w:cs="Microsoft YaHei" w:eastAsia="Microsoft YaHei" w:hAnsi="Microsoft YaHei"/>
          <w:b w:val="false"/>
          <w:bCs w:val="false"/>
          <w:i/>
          <w:iCs/>
          <w:color w:val="4B5563"/>
          <w:sz w:val="17"/>
          <w:szCs w:val="17"/>
        </w:rPr>
        <w:t xml:space="preserve">One granted invention patent.</w:t>
      </w:r>
    </w:p>
    <w:p>
      <w:pPr>
        <w:pStyle w:val="Heading1"/>
        <w:pBdr>
          <w:bottom w:val="single" w:color="9CA3AF" w:sz="4" w:space="3"/>
        </w:pBdr>
        <w:spacing w:after="100" w:before="220"/>
        <w:jc w:val="left"/>
      </w:pPr>
      <w:r>
        <w:rPr>
          <w:rFonts w:ascii="Microsoft YaHei" w:cs="Microsoft YaHei" w:eastAsia="Microsoft YaHei" w:hAnsi="Microsoft YaHei"/>
          <w:b/>
          <w:bCs/>
          <w:i w:val="false"/>
          <w:iCs w:val="false"/>
          <w:color w:val="0F3D5E"/>
          <w:sz w:val="24"/>
          <w:szCs w:val="24"/>
        </w:rPr>
        <w:t xml:space="preserve">主持基金项目 / Funded Projects as Principal Investigator</w:t>
      </w:r>
    </w:p>
    <w:p>
      <w:pPr>
        <w:pStyle w:val="ListParagraph"/>
        <w:numPr>
          <w:ilvl w:val="0"/>
          <w:numId w:val="3"/>
        </w:numPr>
        <w:spacing w:after="20"/>
        <w:jc w:val="left"/>
      </w:pPr>
      <w:r>
        <w:rPr>
          <w:rFonts w:ascii="Microsoft YaHei" w:cs="Microsoft YaHei" w:eastAsia="Microsoft YaHei" w:hAnsi="Microsoft YaHei"/>
          <w:b w:val="false"/>
          <w:bCs w:val="false"/>
          <w:i w:val="false"/>
          <w:iCs w:val="false"/>
          <w:color w:val="111827"/>
          <w:sz w:val="19"/>
          <w:szCs w:val="19"/>
        </w:rPr>
        <w:t xml:space="preserve">青年科学基金项目，22503082，主持，30 万，2026.01-2028.12：基于人工智能的混合酶促-有机合成规划算法研究与智能应用平台开发</w:t>
      </w:r>
    </w:p>
    <w:p>
      <w:pPr>
        <w:spacing w:after="100"/>
        <w:ind w:left="720"/>
        <w:jc w:val="left"/>
      </w:pPr>
      <w:r>
        <w:rPr>
          <w:rFonts w:ascii="Microsoft YaHei" w:cs="Microsoft YaHei" w:eastAsia="Microsoft YaHei" w:hAnsi="Microsoft YaHei"/>
          <w:b w:val="false"/>
          <w:bCs w:val="false"/>
          <w:i/>
          <w:iCs/>
          <w:color w:val="4B5563"/>
          <w:sz w:val="17"/>
          <w:szCs w:val="17"/>
        </w:rPr>
        <w:t xml:space="preserve">Young Scientists Fund, 22503082, Principal Investigator, RMB 300,000, Jan. 2026-Dec. 2028: Research on AI-based hybrid enzymatic-organic synthesis planning algorithms and development of an intelligent application platform.</w:t>
      </w:r>
    </w:p>
    <w:p>
      <w:pPr>
        <w:pStyle w:val="ListParagraph"/>
        <w:numPr>
          <w:ilvl w:val="0"/>
          <w:numId w:val="3"/>
        </w:numPr>
        <w:spacing w:after="20"/>
        <w:jc w:val="left"/>
      </w:pPr>
      <w:r>
        <w:rPr>
          <w:rFonts w:ascii="Microsoft YaHei" w:cs="Microsoft YaHei" w:eastAsia="Microsoft YaHei" w:hAnsi="Microsoft YaHei"/>
          <w:b w:val="false"/>
          <w:bCs w:val="false"/>
          <w:i w:val="false"/>
          <w:iCs w:val="false"/>
          <w:color w:val="111827"/>
          <w:sz w:val="19"/>
          <w:szCs w:val="19"/>
        </w:rPr>
        <w:t xml:space="preserve">国家资助博士后研究人员计划 C，GZC20252369，主持，24 万，2024.10-2026.10：基于人工智能的混合酶促-有机合成规划算法研究与智能应用平台开发</w:t>
      </w:r>
    </w:p>
    <w:p>
      <w:pPr>
        <w:spacing w:after="100"/>
        <w:ind w:left="720"/>
        <w:jc w:val="left"/>
      </w:pPr>
      <w:r>
        <w:rPr>
          <w:rFonts w:ascii="Microsoft YaHei" w:cs="Microsoft YaHei" w:eastAsia="Microsoft YaHei" w:hAnsi="Microsoft YaHei"/>
          <w:b w:val="false"/>
          <w:bCs w:val="false"/>
          <w:i/>
          <w:iCs/>
          <w:color w:val="4B5563"/>
          <w:sz w:val="17"/>
          <w:szCs w:val="17"/>
        </w:rPr>
        <w:t xml:space="preserve">National Postdoctoral Researcher Funding Program, Category C, GZC20252369, Principal Investigator, RMB 240,000, Oct. 2024-Oct. 2026: Research on AI-based hybrid enzymatic-organic synthesis planning algorithms and development of an intelligent application platform.</w:t>
      </w:r>
    </w:p>
    <w:p>
      <w:pPr>
        <w:pStyle w:val="ListParagraph"/>
        <w:numPr>
          <w:ilvl w:val="0"/>
          <w:numId w:val="3"/>
        </w:numPr>
        <w:spacing w:after="20"/>
        <w:jc w:val="left"/>
      </w:pPr>
      <w:r>
        <w:rPr>
          <w:rFonts w:ascii="Microsoft YaHei" w:cs="Microsoft YaHei" w:eastAsia="Microsoft YaHei" w:hAnsi="Microsoft YaHei"/>
          <w:b w:val="false"/>
          <w:bCs w:val="false"/>
          <w:i w:val="false"/>
          <w:iCs w:val="false"/>
          <w:color w:val="111827"/>
          <w:sz w:val="19"/>
          <w:szCs w:val="19"/>
        </w:rPr>
        <w:t xml:space="preserve">教育部博士后海外引才专项资助，主持，90 万，2024.10-至今</w:t>
      </w:r>
    </w:p>
    <w:p>
      <w:pPr>
        <w:spacing w:after="100"/>
        <w:ind w:left="720"/>
        <w:jc w:val="left"/>
      </w:pPr>
      <w:r>
        <w:rPr>
          <w:rFonts w:ascii="Microsoft YaHei" w:cs="Microsoft YaHei" w:eastAsia="Microsoft YaHei" w:hAnsi="Microsoft YaHei"/>
          <w:b w:val="false"/>
          <w:bCs w:val="false"/>
          <w:i/>
          <w:iCs/>
          <w:color w:val="4B5563"/>
          <w:sz w:val="17"/>
          <w:szCs w:val="17"/>
        </w:rPr>
        <w:t xml:space="preserve">Ministry of Education Special Funding for Overseas Talent Recruitment for Postdoctoral Researchers, Principal Investigator, RMB 900,000, Oct. 2024-Present.</w:t>
      </w:r>
    </w:p>
    <w:p>
      <w:pPr>
        <w:pStyle w:val="Heading1"/>
        <w:pBdr>
          <w:bottom w:val="single" w:color="9CA3AF" w:sz="4" w:space="3"/>
        </w:pBdr>
        <w:spacing w:after="100" w:before="220"/>
        <w:jc w:val="left"/>
      </w:pPr>
      <w:r>
        <w:rPr>
          <w:rFonts w:ascii="Microsoft YaHei" w:cs="Microsoft YaHei" w:eastAsia="Microsoft YaHei" w:hAnsi="Microsoft YaHei"/>
          <w:b/>
          <w:bCs/>
          <w:i w:val="false"/>
          <w:iCs w:val="false"/>
          <w:color w:val="0F3D5E"/>
          <w:sz w:val="24"/>
          <w:szCs w:val="24"/>
        </w:rPr>
        <w:t xml:space="preserve">科研成果 / Publications</w:t>
      </w:r>
    </w:p>
    <w:p>
      <w:pPr>
        <w:pStyle w:val="Heading2"/>
        <w:spacing w:after="70" w:before="130"/>
        <w:jc w:val="left"/>
      </w:pPr>
      <w:r>
        <w:rPr>
          <w:rFonts w:ascii="Microsoft YaHei" w:cs="Microsoft YaHei" w:eastAsia="Microsoft YaHei" w:hAnsi="Microsoft YaHei"/>
          <w:b/>
          <w:bCs/>
          <w:i w:val="false"/>
          <w:iCs w:val="false"/>
          <w:color w:val="111827"/>
          <w:sz w:val="20"/>
          <w:szCs w:val="20"/>
        </w:rPr>
        <w:t xml:space="preserve">第一/#共一文章（总计 11 篇） / First-author and Co-first-author Articles (11 total)</w:t>
      </w:r>
    </w:p>
    <w:p>
      <w:pPr>
        <w:pStyle w:val="ListParagraph"/>
        <w:numPr>
          <w:ilvl w:val="0"/>
          <w:numId w:val="4"/>
        </w:numPr>
        <w:spacing w:after="60"/>
        <w:jc w:val="left"/>
      </w:pPr>
      <w:r>
        <w:rPr>
          <w:rFonts w:ascii="Microsoft YaHei" w:cs="Microsoft YaHei" w:eastAsia="Microsoft YaHei" w:hAnsi="Microsoft YaHei"/>
          <w:b w:val="false"/>
          <w:bCs w:val="false"/>
          <w:i w:val="false"/>
          <w:iCs w:val="false"/>
          <w:color w:val="111827"/>
          <w:sz w:val="16"/>
          <w:szCs w:val="16"/>
        </w:rPr>
        <w:t xml:space="preserve">Wang, X., Yin, X., Jiang, D., Zhao, H., Wu, Z., Zhang, O., Wang, J., Li, Y., Deng, Y., Liu, H., Luo, P., Han, Y., Hou, T.*, Yao, X.*, &amp; Hsieh, C.-Y.* (2024). Multi-modal deep learning enables efficient and accurate annotation of enzymatic active sites. Nature Communications, 15, 7348. (IF: 15.7, Nature portfolio journal, Nature Index, CAS Zone 1 TOP, JCR Q1)</w:t>
      </w:r>
    </w:p>
    <w:p>
      <w:pPr>
        <w:pStyle w:val="ListParagraph"/>
        <w:numPr>
          <w:ilvl w:val="0"/>
          <w:numId w:val="4"/>
        </w:numPr>
        <w:spacing w:after="60"/>
        <w:jc w:val="left"/>
      </w:pPr>
      <w:r>
        <w:rPr>
          <w:rFonts w:ascii="Microsoft YaHei" w:cs="Microsoft YaHei" w:eastAsia="Microsoft YaHei" w:hAnsi="Microsoft YaHei"/>
          <w:b w:val="false"/>
          <w:bCs w:val="false"/>
          <w:i w:val="false"/>
          <w:iCs w:val="false"/>
          <w:color w:val="111827"/>
          <w:sz w:val="16"/>
          <w:szCs w:val="16"/>
        </w:rPr>
        <w:t xml:space="preserve">Wang, X.#, Yin, X.#, Zhang, X., Zhao, H., Gu, S., Wu, Z., Zhang, O., Qian, W., Huang, Y., Li, Y., Jiang, D., Wang, M., Liu, H., Yao, X.*, Hsieh, C.-Y.*, &amp; Hou, T.* (2025). A Virtual Platform for Automated Hybrid Organic–Enzymatic Synthesis Planning. Nature Communications, 16, 10929. (IF: 15.7, Nature portfolio journal, Nature Index, CAS Zone 1 TOP, JCR Q1)</w:t>
      </w:r>
    </w:p>
    <w:p>
      <w:pPr>
        <w:pStyle w:val="ListParagraph"/>
        <w:numPr>
          <w:ilvl w:val="0"/>
          <w:numId w:val="4"/>
        </w:numPr>
        <w:spacing w:after="60"/>
        <w:jc w:val="left"/>
      </w:pPr>
      <w:r>
        <w:rPr>
          <w:rFonts w:ascii="Microsoft YaHei" w:cs="Microsoft YaHei" w:eastAsia="Microsoft YaHei" w:hAnsi="Microsoft YaHei"/>
          <w:b w:val="false"/>
          <w:bCs w:val="false"/>
          <w:i w:val="false"/>
          <w:iCs w:val="false"/>
          <w:color w:val="111827"/>
          <w:sz w:val="16"/>
          <w:szCs w:val="16"/>
        </w:rPr>
        <w:t xml:space="preserve">Wang, X, Li Y., Qiu, J., Chen, G., Liu, H., Liao, B.*, Hsieh, C.-Y.*, &amp; Yao, X.* (2021) RetroPrime: A diverse, plausible and transformer-based method for single-step retrosynthesis predictions. Chemical Engineering Journal, 420, 129845. (IF: 13.2, CAS Zone 1 TOP, JCR Q1)</w:t>
      </w:r>
    </w:p>
    <w:p>
      <w:pPr>
        <w:pStyle w:val="ListParagraph"/>
        <w:numPr>
          <w:ilvl w:val="0"/>
          <w:numId w:val="4"/>
        </w:numPr>
        <w:spacing w:after="60"/>
        <w:jc w:val="left"/>
      </w:pPr>
      <w:r>
        <w:rPr>
          <w:rFonts w:ascii="Microsoft YaHei" w:cs="Microsoft YaHei" w:eastAsia="Microsoft YaHei" w:hAnsi="Microsoft YaHei"/>
          <w:b w:val="false"/>
          <w:bCs w:val="false"/>
          <w:i w:val="false"/>
          <w:iCs w:val="false"/>
          <w:color w:val="111827"/>
          <w:sz w:val="16"/>
          <w:szCs w:val="16"/>
        </w:rPr>
        <w:t xml:space="preserve">Wang, X., Hsieh, C.-Y.*, Yin, X., Wang, J., Li, Y., Deng, Y., Jiang, D., Wu, Z., Du, H., Chen, H., Li, Y., Liu, H., Wang, Y., Luo, P., Hou, T.*, &amp; Yao, X.* (2023). Generic interpretable reaction condition predictions with open reaction condition datasets and unsupervised learning of reaction center. Research, 6, 0231. (IF: 10.7, CAS Zone 1 TOP, JCR Q1)</w:t>
      </w:r>
    </w:p>
    <w:p>
      <w:pPr>
        <w:pStyle w:val="ListParagraph"/>
        <w:numPr>
          <w:ilvl w:val="0"/>
          <w:numId w:val="4"/>
        </w:numPr>
        <w:spacing w:after="60"/>
        <w:jc w:val="left"/>
      </w:pPr>
      <w:r>
        <w:rPr>
          <w:rFonts w:ascii="Microsoft YaHei" w:cs="Microsoft YaHei" w:eastAsia="Microsoft YaHei" w:hAnsi="Microsoft YaHei"/>
          <w:b w:val="false"/>
          <w:bCs w:val="false"/>
          <w:i w:val="false"/>
          <w:iCs w:val="false"/>
          <w:color w:val="111827"/>
          <w:sz w:val="16"/>
          <w:szCs w:val="16"/>
        </w:rPr>
        <w:t xml:space="preserve">Wang, J.#, Wang, X.#, Sun, H., Wang, M., Zeng, Y., Jiang, D., Wu, Z., Liu, Z., Liao, B., Yao, X., Hsieh, C.-Y.*, Cao, D.*, Chen, X.*, &amp; Hou, T.* (2022). ChemistGA: A chemical synthesizable accessible molecular generation algorithm for real-world drug discovery. Journal of Medicinal Chemistry, 65(18), 12482-12496. (Co-first author, IF: 6.8, CAS Zone 1 TOP, JCR Q1)</w:t>
      </w:r>
    </w:p>
    <w:p>
      <w:pPr>
        <w:pStyle w:val="ListParagraph"/>
        <w:numPr>
          <w:ilvl w:val="0"/>
          <w:numId w:val="4"/>
        </w:numPr>
        <w:spacing w:after="60"/>
        <w:jc w:val="left"/>
      </w:pPr>
      <w:r>
        <w:rPr>
          <w:rFonts w:ascii="Microsoft YaHei" w:cs="Microsoft YaHei" w:eastAsia="Microsoft YaHei" w:hAnsi="Microsoft YaHei"/>
          <w:b w:val="false"/>
          <w:bCs w:val="false"/>
          <w:i w:val="false"/>
          <w:iCs w:val="false"/>
          <w:color w:val="111827"/>
          <w:sz w:val="16"/>
          <w:szCs w:val="16"/>
        </w:rPr>
        <w:t xml:space="preserve">Zhang, O.#, Lin, H.#, Zhang, X.#, Wang, X.#, Wu, Z., Ye, Q., Zhao, W., Wang, J., Ying, K., Kang, Y., Hsieh, C.-Y.*, &amp; Hou, T.* (2025). Graph Neural Networks in Modern AI-Aided Drug Discovery. Chemical Reviews. 125(20), 10001–10103. (Co-first author, IF: 55.8,CAS Zone 1 TOP, JCR Q1)</w:t>
      </w:r>
    </w:p>
    <w:p>
      <w:pPr>
        <w:pStyle w:val="ListParagraph"/>
        <w:numPr>
          <w:ilvl w:val="0"/>
          <w:numId w:val="4"/>
        </w:numPr>
        <w:spacing w:after="60"/>
        <w:jc w:val="left"/>
      </w:pPr>
      <w:r>
        <w:rPr>
          <w:rFonts w:ascii="Microsoft YaHei" w:cs="Microsoft YaHei" w:eastAsia="Microsoft YaHei" w:hAnsi="Microsoft YaHei"/>
          <w:b w:val="false"/>
          <w:bCs w:val="false"/>
          <w:i w:val="false"/>
          <w:iCs w:val="false"/>
          <w:color w:val="111827"/>
          <w:sz w:val="16"/>
          <w:szCs w:val="16"/>
        </w:rPr>
        <w:t xml:space="preserve">Tian, Y.#, Wang, X.#, Yao, X., Liu, H.*, &amp; Yang, Y.* (2023). Predicting molecular properties based on the interpretable graph neural network with multistep focus mechanism. Briefings in bioinformatics, 24(1), bbac534. (Co-first author, IF: 7.7, CAS Zone 1 TOP, JCR Q1)</w:t>
      </w:r>
    </w:p>
    <w:p>
      <w:pPr>
        <w:pStyle w:val="ListParagraph"/>
        <w:numPr>
          <w:ilvl w:val="0"/>
          <w:numId w:val="4"/>
        </w:numPr>
        <w:spacing w:after="60"/>
        <w:jc w:val="left"/>
      </w:pPr>
      <w:r>
        <w:rPr>
          <w:rFonts w:ascii="Microsoft YaHei" w:cs="Microsoft YaHei" w:eastAsia="Microsoft YaHei" w:hAnsi="Microsoft YaHei"/>
          <w:b w:val="false"/>
          <w:bCs w:val="false"/>
          <w:i w:val="false"/>
          <w:iCs w:val="false"/>
          <w:color w:val="111827"/>
          <w:sz w:val="16"/>
          <w:szCs w:val="16"/>
        </w:rPr>
        <w:t xml:space="preserve">Yin, X.#, Wang, X.#, Li, Y., Wang, J., Wang, Y., Deng, Y., Hou, T., Liu, H., Luo, P., &amp; Yao, X.* (2023). CODD-Pred: A web server for efficient target identification and bioactivity prediction of small molecules. Journal of Chemical Information and Modeling, 63(20), 6169-6176. (Co-first author, IF: 5.3, CAS Zone 2 TOP, JCR Q1)</w:t>
      </w:r>
    </w:p>
    <w:p>
      <w:pPr>
        <w:pStyle w:val="ListParagraph"/>
        <w:numPr>
          <w:ilvl w:val="0"/>
          <w:numId w:val="4"/>
        </w:numPr>
        <w:spacing w:after="60"/>
        <w:jc w:val="left"/>
      </w:pPr>
      <w:r>
        <w:rPr>
          <w:rFonts w:ascii="Microsoft YaHei" w:cs="Microsoft YaHei" w:eastAsia="Microsoft YaHei" w:hAnsi="Microsoft YaHei"/>
          <w:b w:val="false"/>
          <w:bCs w:val="false"/>
          <w:i w:val="false"/>
          <w:iCs w:val="false"/>
          <w:color w:val="111827"/>
          <w:sz w:val="16"/>
          <w:szCs w:val="16"/>
        </w:rPr>
        <w:t xml:space="preserve">Qian, W., Wang, X.#, Huang, Y., Kang, Y., Pan, P., Hsieh, C., &amp; Hou, T.* (2024). Deep learning-driven insights into enzyme-substrate interaction discovery. Journal of Chemical Information and Modeling, 65(1), 187-200. (Co-first author, IF: 5.3, CAS Zone 2 TOP, JCR Q1)</w:t>
      </w:r>
    </w:p>
    <w:p>
      <w:pPr>
        <w:pStyle w:val="ListParagraph"/>
        <w:numPr>
          <w:ilvl w:val="0"/>
          <w:numId w:val="4"/>
        </w:numPr>
        <w:spacing w:after="60"/>
        <w:jc w:val="left"/>
      </w:pPr>
      <w:r>
        <w:rPr>
          <w:rFonts w:ascii="Microsoft YaHei" w:cs="Microsoft YaHei" w:eastAsia="Microsoft YaHei" w:hAnsi="Microsoft YaHei"/>
          <w:b w:val="false"/>
          <w:bCs w:val="false"/>
          <w:i w:val="false"/>
          <w:iCs w:val="false"/>
          <w:color w:val="111827"/>
          <w:sz w:val="16"/>
          <w:szCs w:val="16"/>
        </w:rPr>
        <w:t xml:space="preserve">Qian, W.#, Wang, X.#, Kang, Y., Pan, P., Hou, T.*, &amp; Hsieh, C.-Y.* (2024). A general model for predicting enzyme functions based on enzymatic reactions. Journal of Cheminformatics, 16(1). (Co-first author, IF: 5.7, CAS Zone 2, JCR Q1)</w:t>
      </w:r>
    </w:p>
    <w:p>
      <w:pPr>
        <w:pStyle w:val="ListParagraph"/>
        <w:numPr>
          <w:ilvl w:val="0"/>
          <w:numId w:val="4"/>
        </w:numPr>
        <w:spacing w:after="60"/>
        <w:jc w:val="left"/>
      </w:pPr>
      <w:r>
        <w:rPr>
          <w:rFonts w:ascii="Microsoft YaHei" w:cs="Microsoft YaHei" w:eastAsia="Microsoft YaHei" w:hAnsi="Microsoft YaHei"/>
          <w:b w:val="false"/>
          <w:bCs w:val="false"/>
          <w:i w:val="false"/>
          <w:iCs w:val="false"/>
          <w:color w:val="111827"/>
          <w:sz w:val="16"/>
          <w:szCs w:val="16"/>
        </w:rPr>
        <w:t xml:space="preserve">Li, S.#, Wang, X.#, Zhu, Y., Ge, J., Zhao, D., Xu, H.*, Hou, T.*, &amp; Hsieh, C.* (2025). PepBAN: A deep learning framework with bilinear attention and adversarial learning for peptide–protein interaction prediction. Journal of Chemical Information and Modeling, 65(17), 9061–9074. (Co-first author, IF: 5.3, CAS Zone 2, JCR Q1)</w:t>
      </w:r>
    </w:p>
    <w:p>
      <w:pPr>
        <w:pStyle w:val="Heading2"/>
        <w:spacing w:after="70" w:before="130"/>
        <w:jc w:val="left"/>
      </w:pPr>
      <w:r>
        <w:rPr>
          <w:rFonts w:ascii="Microsoft YaHei" w:cs="Microsoft YaHei" w:eastAsia="Microsoft YaHei" w:hAnsi="Microsoft YaHei"/>
          <w:b/>
          <w:bCs/>
          <w:i w:val="false"/>
          <w:iCs w:val="false"/>
          <w:color w:val="111827"/>
          <w:sz w:val="20"/>
          <w:szCs w:val="20"/>
        </w:rPr>
        <w:t xml:space="preserve">其他共同作者论文 / Other Co-authored Articles</w:t>
      </w:r>
    </w:p>
    <w:p>
      <w:pPr>
        <w:pStyle w:val="ListParagraph"/>
        <w:numPr>
          <w:ilvl w:val="0"/>
          <w:numId w:val="4"/>
        </w:numPr>
        <w:spacing w:after="60"/>
        <w:jc w:val="left"/>
      </w:pPr>
      <w:r>
        <w:rPr>
          <w:rFonts w:ascii="Microsoft YaHei" w:cs="Microsoft YaHei" w:eastAsia="Microsoft YaHei" w:hAnsi="Microsoft YaHei"/>
          <w:b w:val="false"/>
          <w:bCs w:val="false"/>
          <w:i w:val="false"/>
          <w:iCs w:val="false"/>
          <w:color w:val="111827"/>
          <w:sz w:val="16"/>
          <w:szCs w:val="16"/>
        </w:rPr>
        <w:t xml:space="preserve">Wu, Z., Zhang, O., Wang, X., Fu, L., Zhao, H., Wang, J., Du, H., Jiang, D., Deng, Y., Cao, D.*, Hsieh, C.-Y.*, &amp; Hou, T.* (2024). Leveraging language model for advanced multiproperty molecular optimization via prompt engineering. Nature Machine Intelligence, 6(11). (IF: 23.9, Nature portfolio journal, Nature Index, CAS Zone 1 TOP, JCR Q1)</w:t>
      </w:r>
    </w:p>
    <w:p>
      <w:pPr>
        <w:pStyle w:val="ListParagraph"/>
        <w:numPr>
          <w:ilvl w:val="0"/>
          <w:numId w:val="4"/>
        </w:numPr>
        <w:spacing w:after="60"/>
        <w:jc w:val="left"/>
      </w:pPr>
      <w:r>
        <w:rPr>
          <w:rFonts w:ascii="Microsoft YaHei" w:cs="Microsoft YaHei" w:eastAsia="Microsoft YaHei" w:hAnsi="Microsoft YaHei"/>
          <w:b w:val="false"/>
          <w:bCs w:val="false"/>
          <w:i w:val="false"/>
          <w:iCs w:val="false"/>
          <w:color w:val="111827"/>
          <w:sz w:val="16"/>
          <w:szCs w:val="16"/>
        </w:rPr>
        <w:t xml:space="preserve">Wang, J., Hsieh, C.-Y., Wang, M., Wang, X., Wu, Z., Jiang, D., Liao, B., Zhang, X., Yang, B., He, Q., Cao, D.*, Chen, X.*, &amp; Hou, T.* (2021). Multi-constraint molecular generation based on conditional transformer, knowledge distillation and reinforcement learning. Nature Machine Intelligence, 3(10), 914-922. (IF: 23.9, Nature portfolio journal, Nature Index, CAS Zone 1 TOP, JCR Q1)</w:t>
      </w:r>
    </w:p>
    <w:p>
      <w:pPr>
        <w:pStyle w:val="ListParagraph"/>
        <w:numPr>
          <w:ilvl w:val="0"/>
          <w:numId w:val="4"/>
        </w:numPr>
        <w:spacing w:after="60"/>
        <w:jc w:val="left"/>
      </w:pPr>
      <w:r>
        <w:rPr>
          <w:rFonts w:ascii="Microsoft YaHei" w:cs="Microsoft YaHei" w:eastAsia="Microsoft YaHei" w:hAnsi="Microsoft YaHei"/>
          <w:b w:val="false"/>
          <w:bCs w:val="false"/>
          <w:i w:val="false"/>
          <w:iCs w:val="false"/>
          <w:color w:val="111827"/>
          <w:sz w:val="16"/>
          <w:szCs w:val="16"/>
        </w:rPr>
        <w:t xml:space="preserve">Li, Y., Hsieh, C.-Y., Lu, R., Gong, X., Wang, X., Li, P., Liu, S., Tian, Y., Jiang, D., Yan, J., Bai, Q., Liu, H., Zhang, S., &amp; Yao, X.* (2022). An adaptive graph learning method for automated molecular interactions and properties predictions. Nature Machine Intelligence, 4(7). (IF: 23.9, Nature portfolio journal, Nature Index, CAS Zone 1 TOP, JCR Q1)</w:t>
      </w:r>
    </w:p>
    <w:p>
      <w:pPr>
        <w:pStyle w:val="ListParagraph"/>
        <w:numPr>
          <w:ilvl w:val="0"/>
          <w:numId w:val="4"/>
        </w:numPr>
        <w:spacing w:after="60"/>
        <w:jc w:val="left"/>
      </w:pPr>
      <w:r>
        <w:rPr>
          <w:rFonts w:ascii="Microsoft YaHei" w:cs="Microsoft YaHei" w:eastAsia="Microsoft YaHei" w:hAnsi="Microsoft YaHei"/>
          <w:b w:val="false"/>
          <w:bCs w:val="false"/>
          <w:i w:val="false"/>
          <w:iCs w:val="false"/>
          <w:color w:val="111827"/>
          <w:sz w:val="16"/>
          <w:szCs w:val="16"/>
        </w:rPr>
        <w:t xml:space="preserve">Zhao, H., Zhang, O., Jiang, D., Wu, Z., Du, H., Wang, X., Zhao, Y., Huang, Y., Ge, J., Hou, T.* &amp; Yu, K.* (2025). Protein–peptide docking with a rational and accurate diffusion generative model. Nature Machine Intelligence, 7, 1308–1321. (IF: 23.9, Nature portfolio journal, Nature Index, CAS Zone 1 TOP, JCR Q1)</w:t>
      </w:r>
    </w:p>
    <w:p>
      <w:pPr>
        <w:pStyle w:val="ListParagraph"/>
        <w:numPr>
          <w:ilvl w:val="0"/>
          <w:numId w:val="4"/>
        </w:numPr>
        <w:spacing w:after="60"/>
        <w:jc w:val="left"/>
      </w:pPr>
      <w:r>
        <w:rPr>
          <w:rFonts w:ascii="Microsoft YaHei" w:cs="Microsoft YaHei" w:eastAsia="Microsoft YaHei" w:hAnsi="Microsoft YaHei"/>
          <w:b w:val="false"/>
          <w:bCs w:val="false"/>
          <w:i w:val="false"/>
          <w:iCs w:val="false"/>
          <w:color w:val="111827"/>
          <w:sz w:val="16"/>
          <w:szCs w:val="16"/>
        </w:rPr>
        <w:t xml:space="preserve">Zhang, O., Wang, T., Weng, G., Jiang, D., Wang, N., Wang, X., Zhao, H., Wu, J., Wang, E., Chen, G., Deng, Y., Pan, P., Kang, Y.*, Hsieh, C.-Y.*, &amp; Hou, T.* (2023). Learning on topological surface and geometric structure for 3D molecular generation. Nature Computational Science, 3(10), 849-859. (IF: 18.3, Nature portfolio journal, JCR Q1)</w:t>
      </w:r>
    </w:p>
    <w:p>
      <w:pPr>
        <w:pStyle w:val="ListParagraph"/>
        <w:numPr>
          <w:ilvl w:val="0"/>
          <w:numId w:val="4"/>
        </w:numPr>
        <w:spacing w:after="60"/>
        <w:jc w:val="left"/>
      </w:pPr>
      <w:r>
        <w:rPr>
          <w:rFonts w:ascii="Microsoft YaHei" w:cs="Microsoft YaHei" w:eastAsia="Microsoft YaHei" w:hAnsi="Microsoft YaHei"/>
          <w:b w:val="false"/>
          <w:bCs w:val="false"/>
          <w:i w:val="false"/>
          <w:iCs w:val="false"/>
          <w:color w:val="111827"/>
          <w:sz w:val="16"/>
          <w:szCs w:val="16"/>
        </w:rPr>
        <w:t xml:space="preserve">Zhu, Y., Li, S., Chen, J., Zhao, D., Wang, X., Li, Y., Liu, Y., Kong, Y., Zhang, B., Liu, C., Hou, T.* &amp; Hsieh, C.-Y.*(2025). SynGFN: learning across chemical space with generative flow-based molecular discovery. Nature Computational Science, doi: 10.1038/s43588-025-00902-w. (IF: 18.3, Nature portfolio journal, JCR Q1)</w:t>
      </w:r>
    </w:p>
    <w:p>
      <w:pPr>
        <w:pStyle w:val="ListParagraph"/>
        <w:numPr>
          <w:ilvl w:val="0"/>
          <w:numId w:val="4"/>
        </w:numPr>
        <w:spacing w:after="60"/>
        <w:jc w:val="left"/>
      </w:pPr>
      <w:r>
        <w:rPr>
          <w:rFonts w:ascii="Microsoft YaHei" w:cs="Microsoft YaHei" w:eastAsia="Microsoft YaHei" w:hAnsi="Microsoft YaHei"/>
          <w:b w:val="false"/>
          <w:bCs w:val="false"/>
          <w:i w:val="false"/>
          <w:iCs w:val="false"/>
          <w:color w:val="111827"/>
          <w:sz w:val="16"/>
          <w:szCs w:val="16"/>
        </w:rPr>
        <w:t xml:space="preserve">Tian, Y., Lu, R., Gong, X., Zhao, W., Li, Y., Wang, X., Jia, X., Li, Q., Yang, Y., Tong, H. H. Y., Arrais, J. P., Yao, X.*, &amp; Liu, H.* (2025). Enhancing kinase-inhibitor activity and selectivity prediction through contrastive learning. Nature Communications, 16, 10860. (IF: 15.7, Nature portfolio journal, Nature Index, CAS Zone 1 TOP, JCR Q1)</w:t>
      </w:r>
    </w:p>
    <w:p>
      <w:pPr>
        <w:pStyle w:val="ListParagraph"/>
        <w:numPr>
          <w:ilvl w:val="0"/>
          <w:numId w:val="4"/>
        </w:numPr>
        <w:spacing w:after="60"/>
        <w:jc w:val="left"/>
      </w:pPr>
      <w:r>
        <w:rPr>
          <w:rFonts w:ascii="Microsoft YaHei" w:cs="Microsoft YaHei" w:eastAsia="Microsoft YaHei" w:hAnsi="Microsoft YaHei"/>
          <w:b w:val="false"/>
          <w:bCs w:val="false"/>
          <w:i w:val="false"/>
          <w:iCs w:val="false"/>
          <w:color w:val="111827"/>
          <w:sz w:val="16"/>
          <w:szCs w:val="16"/>
        </w:rPr>
        <w:t xml:space="preserve">Wang, M., Li, S., Wang, J., Zhang, O., Du, H., Jiang, D., Wu, Z., Deng, Y., Kang, Y., Pan, P., Li, D., Wang, X., Yao, X., Hou, T.*, &amp; Hsieh, C.-Y.* (2024). ClickGen: Directed exploration of synthesizable chemical space via modular reactions and reinforcement learning. Nature Communications, 15(1). (IF: 15.7, Nature portfolio journal, Nature Index, CAS Zone 1 TOP, JCR Q1)</w:t>
      </w:r>
    </w:p>
    <w:p>
      <w:pPr>
        <w:pStyle w:val="ListParagraph"/>
        <w:numPr>
          <w:ilvl w:val="0"/>
          <w:numId w:val="4"/>
        </w:numPr>
        <w:spacing w:after="60"/>
        <w:jc w:val="left"/>
      </w:pPr>
      <w:r>
        <w:rPr>
          <w:rFonts w:ascii="Microsoft YaHei" w:cs="Microsoft YaHei" w:eastAsia="Microsoft YaHei" w:hAnsi="Microsoft YaHei"/>
          <w:b w:val="false"/>
          <w:bCs w:val="false"/>
          <w:i w:val="false"/>
          <w:iCs w:val="false"/>
          <w:color w:val="111827"/>
          <w:sz w:val="16"/>
          <w:szCs w:val="16"/>
        </w:rPr>
        <w:t xml:space="preserve">Deng, Y., Zhao, X., Sun, H., Chen, Y., Wang, X., Xue, X., Li, L., Song, J., Hsieh, C.-Y., Hou, T., Pan, X., Alomar, T., Ji, X.*, &amp; Wang, X.* (2025). RSGPT: a generative transformer model for retrosynthesis planning pre-trained on ten billion datapoints. Nature Communications, 16(1), 7012. (IF: 15.7, Nature portfolio journal, Nature Index, CAS Zone 1 TOP, JCR Q1)</w:t>
      </w:r>
    </w:p>
    <w:p>
      <w:pPr>
        <w:pStyle w:val="ListParagraph"/>
        <w:numPr>
          <w:ilvl w:val="0"/>
          <w:numId w:val="4"/>
        </w:numPr>
        <w:spacing w:after="60"/>
        <w:jc w:val="left"/>
      </w:pPr>
      <w:r>
        <w:rPr>
          <w:rFonts w:ascii="Microsoft YaHei" w:cs="Microsoft YaHei" w:eastAsia="Microsoft YaHei" w:hAnsi="Microsoft YaHei"/>
          <w:b w:val="false"/>
          <w:bCs w:val="false"/>
          <w:i w:val="false"/>
          <w:iCs w:val="false"/>
          <w:color w:val="111827"/>
          <w:sz w:val="16"/>
          <w:szCs w:val="16"/>
        </w:rPr>
        <w:t xml:space="preserve">Chen, Z., Gu, C.*, Tan, S., Wang, X., Li, Y., He, M., Lu, R., Sun, S., Hsieh, C.*, Yao, X.*, Liu, H.*, &amp; Heng P.-A.(2025). Interpretable PROTAC Degradation Prediction With Structure ‐ Informed Deep Ternary Attention Framework. Advanced Science, e08138. (IF: 14.1, CAS Zone 1 TOP, JCR Q1)</w:t>
      </w:r>
    </w:p>
    <w:p>
      <w:pPr>
        <w:pStyle w:val="ListParagraph"/>
        <w:numPr>
          <w:ilvl w:val="0"/>
          <w:numId w:val="4"/>
        </w:numPr>
        <w:spacing w:after="60"/>
        <w:jc w:val="left"/>
      </w:pPr>
      <w:r>
        <w:rPr>
          <w:rFonts w:ascii="Microsoft YaHei" w:cs="Microsoft YaHei" w:eastAsia="Microsoft YaHei" w:hAnsi="Microsoft YaHei"/>
          <w:b w:val="false"/>
          <w:bCs w:val="false"/>
          <w:i w:val="false"/>
          <w:iCs w:val="false"/>
          <w:color w:val="111827"/>
          <w:sz w:val="16"/>
          <w:szCs w:val="16"/>
        </w:rPr>
        <w:t xml:space="preserve">Zhang, X., Jiang, L., Weng, G., Shen, C., Zhang, O., Liu, M., Zhang, C., Gu, S., Wang, J., Wang, X., Du, H., Zhang, H., Zhang, K., Wang, E.* &amp; Hou, T.* (2025). HawkDock version 2: an updated web server to predict and analyze the structures of protein–protein complexes. Nucleic Acids Research, 53(W1), W306–W315. (IF: 13.1, CAS Zone 1 TOP, JCR Q1)</w:t>
      </w:r>
    </w:p>
    <w:p>
      <w:pPr>
        <w:pStyle w:val="ListParagraph"/>
        <w:numPr>
          <w:ilvl w:val="0"/>
          <w:numId w:val="4"/>
        </w:numPr>
        <w:spacing w:after="60"/>
        <w:jc w:val="left"/>
      </w:pPr>
      <w:r>
        <w:rPr>
          <w:rFonts w:ascii="Microsoft YaHei" w:cs="Microsoft YaHei" w:eastAsia="Microsoft YaHei" w:hAnsi="Microsoft YaHei"/>
          <w:b w:val="false"/>
          <w:bCs w:val="false"/>
          <w:i w:val="false"/>
          <w:iCs w:val="false"/>
          <w:color w:val="111827"/>
          <w:sz w:val="16"/>
          <w:szCs w:val="16"/>
        </w:rPr>
        <w:t xml:space="preserve">Li, Y., Li, P., Yang, X., Hsieh, C.-Y., Zhang, S., Wang, X., Lu, R., Liu, H., &amp; Yao, X.* (2021). Introducing block design in graph neural networks for molecular properties prediction. Chemical Engineering Journal, 414, 128817. (IF: 13.3, CAS Zone 1 TOP, JCR Q1)</w:t>
      </w:r>
    </w:p>
    <w:p>
      <w:pPr>
        <w:pStyle w:val="ListParagraph"/>
        <w:numPr>
          <w:ilvl w:val="0"/>
          <w:numId w:val="4"/>
        </w:numPr>
        <w:spacing w:after="60"/>
        <w:jc w:val="left"/>
      </w:pPr>
      <w:r>
        <w:rPr>
          <w:rFonts w:ascii="Microsoft YaHei" w:cs="Microsoft YaHei" w:eastAsia="Microsoft YaHei" w:hAnsi="Microsoft YaHei"/>
          <w:b w:val="false"/>
          <w:bCs w:val="false"/>
          <w:i w:val="false"/>
          <w:iCs w:val="false"/>
          <w:color w:val="111827"/>
          <w:sz w:val="16"/>
          <w:szCs w:val="16"/>
        </w:rPr>
        <w:t xml:space="preserve">Yin, X., Hsieh, C.-Y.*, Wang, X., Wu, Z., Ye, Q., Bao, H., Deng, Y., Chen, H., Luo, P., Liu, H., Hou, T.*, &amp; Yao, X.* (2024). Enhancing generic reaction yield prediction through reaction condition-based contrastive learning. Research, 7, 0292. (IF: 10.7, CAS Zone 1, JCR Q1)</w:t>
      </w:r>
    </w:p>
    <w:p>
      <w:pPr>
        <w:pStyle w:val="ListParagraph"/>
        <w:numPr>
          <w:ilvl w:val="0"/>
          <w:numId w:val="4"/>
        </w:numPr>
        <w:spacing w:after="60"/>
        <w:jc w:val="left"/>
      </w:pPr>
      <w:r>
        <w:rPr>
          <w:rFonts w:ascii="Microsoft YaHei" w:cs="Microsoft YaHei" w:eastAsia="Microsoft YaHei" w:hAnsi="Microsoft YaHei"/>
          <w:b w:val="false"/>
          <w:bCs w:val="false"/>
          <w:i w:val="false"/>
          <w:iCs w:val="false"/>
          <w:color w:val="111827"/>
          <w:sz w:val="16"/>
          <w:szCs w:val="16"/>
        </w:rPr>
        <w:t xml:space="preserve">Su, H., He, L., Yu, X., Wang, Y., Yang, L., Wang, X., Yao, X., Luo, P.* &amp; Zhang, Z.* (2024). Structural characterization and mechanisms of macrophage immunomodulatory activity of a novel polysaccharide with a galactose backbone from the processed Polygonati Rhizoma. Journal of Pharmaceutical Analysis, 14(7), 100974. (IF: 8.9, CAS Zone 1, JCR Q1)</w:t>
      </w:r>
    </w:p>
    <w:p>
      <w:pPr>
        <w:pStyle w:val="ListParagraph"/>
        <w:numPr>
          <w:ilvl w:val="0"/>
          <w:numId w:val="4"/>
        </w:numPr>
        <w:spacing w:after="60"/>
        <w:jc w:val="left"/>
      </w:pPr>
      <w:r>
        <w:rPr>
          <w:rFonts w:ascii="Microsoft YaHei" w:cs="Microsoft YaHei" w:eastAsia="Microsoft YaHei" w:hAnsi="Microsoft YaHei"/>
          <w:b w:val="false"/>
          <w:bCs w:val="false"/>
          <w:i w:val="false"/>
          <w:iCs w:val="false"/>
          <w:color w:val="111827"/>
          <w:sz w:val="16"/>
          <w:szCs w:val="16"/>
        </w:rPr>
        <w:t xml:space="preserve">Wu, J., Zhu, Y., Wang, X., Li, Y., Yin, M., Wang, T., Han, Y., Kang, Y., Deng, Y., Wu, J.*, Hsieh, C.* &amp; Hou, T.* (2025). HiCLR: Knowledge-Induced Hierarchical Contrastive Learning with Retrosynthesis Prediction Yields a Reaction Foundation Model. JACS Au, 5(7), 3140–3155. (IF: 8.7, CAS Zone 1 TOP, JCR Q1)</w:t>
      </w:r>
    </w:p>
    <w:p>
      <w:pPr>
        <w:pStyle w:val="ListParagraph"/>
        <w:numPr>
          <w:ilvl w:val="0"/>
          <w:numId w:val="4"/>
        </w:numPr>
        <w:spacing w:after="60"/>
        <w:jc w:val="left"/>
      </w:pPr>
      <w:r>
        <w:rPr>
          <w:rFonts w:ascii="Microsoft YaHei" w:cs="Microsoft YaHei" w:eastAsia="Microsoft YaHei" w:hAnsi="Microsoft YaHei"/>
          <w:b w:val="false"/>
          <w:bCs w:val="false"/>
          <w:i w:val="false"/>
          <w:iCs w:val="false"/>
          <w:color w:val="111827"/>
          <w:sz w:val="16"/>
          <w:szCs w:val="16"/>
        </w:rPr>
        <w:t xml:space="preserve">Jiang, D., Zhao, H., Du, H., Kang, Y., Pan, P., Wu, Z., Zeng, Y., Zhang, O., Wang, X., Wang, J., Huang, Y., Zhao, Y., Hsieh, C.-Y., Cao, D.*, Sun, H.*, &amp; Hou, T.*. (2025). Harnessing deep statistical potential for biophysical scoring of protein–peptide interactions. Acta Pharmacologica Sinica, 1-15. (IF: 8.4, CAS Zone 1, JCR Q1)</w:t>
      </w:r>
    </w:p>
    <w:p>
      <w:pPr>
        <w:pStyle w:val="ListParagraph"/>
        <w:numPr>
          <w:ilvl w:val="0"/>
          <w:numId w:val="4"/>
        </w:numPr>
        <w:spacing w:after="60"/>
        <w:jc w:val="left"/>
      </w:pPr>
      <w:r>
        <w:rPr>
          <w:rFonts w:ascii="Microsoft YaHei" w:cs="Microsoft YaHei" w:eastAsia="Microsoft YaHei" w:hAnsi="Microsoft YaHei"/>
          <w:b w:val="false"/>
          <w:bCs w:val="false"/>
          <w:i w:val="false"/>
          <w:iCs w:val="false"/>
          <w:color w:val="111827"/>
          <w:sz w:val="16"/>
          <w:szCs w:val="16"/>
        </w:rPr>
        <w:t xml:space="preserve">Jiang, D., Ye, Z., Hsieh, C.-Y., Yang, Z., Zhang, X., Kang, Y., Du, H., Wu, Z., Wang, J., Zeng, Y., Zhang, H., Wang, X., Wang, M., Yao, X., Zhang, S.*, Wu, J.*, &amp; Hou, T.* (2023). MetalProGNet: A structure-based deep graph model for metalloprotein-ligand interaction predictions. Chemical Science, 14(8), 2054-2069. (IF: 7.6, Nature Index, CAS Zone 1 TOP, JCR Q1)</w:t>
      </w:r>
    </w:p>
    <w:p>
      <w:pPr>
        <w:pStyle w:val="ListParagraph"/>
        <w:numPr>
          <w:ilvl w:val="0"/>
          <w:numId w:val="4"/>
        </w:numPr>
        <w:spacing w:after="60"/>
        <w:jc w:val="left"/>
      </w:pPr>
      <w:r>
        <w:rPr>
          <w:rFonts w:ascii="Microsoft YaHei" w:cs="Microsoft YaHei" w:eastAsia="Microsoft YaHei" w:hAnsi="Microsoft YaHei"/>
          <w:b w:val="false"/>
          <w:bCs w:val="false"/>
          <w:i w:val="false"/>
          <w:iCs w:val="false"/>
          <w:color w:val="111827"/>
          <w:sz w:val="16"/>
          <w:szCs w:val="16"/>
        </w:rPr>
        <w:t xml:space="preserve">Wang, T., Wang, L., Zhang, X., Shen, C., Zhang, O., Wang, J., Wu, J., Jin, R., Zhou, D., Chen, S., Liu, L., Wang, X., Hsieh, C.-Y., Chen, G., Pan, P.*, Kang, Y.*, &amp; Hou, T.* (2023). Comprehensive assessment of protein loop modeling programs on large-scale datasets: prediction accuracy and efficiency. Briefings in Bioinformatics, 25(1). (IF: 7.7, CAS Zone 1, JCR Q1)</w:t>
      </w:r>
    </w:p>
    <w:p>
      <w:pPr>
        <w:pStyle w:val="ListParagraph"/>
        <w:numPr>
          <w:ilvl w:val="0"/>
          <w:numId w:val="4"/>
        </w:numPr>
        <w:spacing w:after="60"/>
        <w:jc w:val="left"/>
      </w:pPr>
      <w:r>
        <w:rPr>
          <w:rFonts w:ascii="Microsoft YaHei" w:cs="Microsoft YaHei" w:eastAsia="Microsoft YaHei" w:hAnsi="Microsoft YaHei"/>
          <w:b w:val="false"/>
          <w:bCs w:val="false"/>
          <w:i w:val="false"/>
          <w:iCs w:val="false"/>
          <w:color w:val="111827"/>
          <w:sz w:val="16"/>
          <w:szCs w:val="16"/>
        </w:rPr>
        <w:t xml:space="preserve">Du, H., Jiang, D., Zhang, O., Wu, Z., Gao, J., Zhang, X., Wang, X., Deng, Y., Kang, Y., Li, D., Pan, P.*, Hsieh, C.-Y.*, &amp; Hou, T.* (2023). A flexible data-free framework for structure-based de novo drug design with reinforcement learning. Chemical Science, 14(43), 12166-12181. (IF: 7.6, Nature Index, CAS Zone 1 TOP, JCR Q1)</w:t>
      </w:r>
    </w:p>
    <w:p>
      <w:pPr>
        <w:pStyle w:val="ListParagraph"/>
        <w:numPr>
          <w:ilvl w:val="0"/>
          <w:numId w:val="4"/>
        </w:numPr>
        <w:spacing w:after="60"/>
        <w:jc w:val="left"/>
      </w:pPr>
      <w:r>
        <w:rPr>
          <w:rFonts w:ascii="Microsoft YaHei" w:cs="Microsoft YaHei" w:eastAsia="Microsoft YaHei" w:hAnsi="Microsoft YaHei"/>
          <w:b w:val="false"/>
          <w:bCs w:val="false"/>
          <w:i w:val="false"/>
          <w:iCs w:val="false"/>
          <w:color w:val="111827"/>
          <w:sz w:val="16"/>
          <w:szCs w:val="16"/>
        </w:rPr>
        <w:t xml:space="preserve">Yin, X., Wang, X., Wu, Z., Li, Q., Kang, Y., Deng, Y., Luo, P., Liu, H., Shi, G., Wang, Z., Yao, X.*, Hsieh, C.-Y.*, &amp; Hou, T.* (2025). Syn-MolOpt: A synthesis planning-driven molecular optimization method using data-derived functional reaction templates. Journal of Cheminformatics, 17(1), 27. (IF: 7.1, CAS Zone 2, JCR Q1)</w:t>
      </w:r>
    </w:p>
    <w:p>
      <w:pPr>
        <w:pStyle w:val="ListParagraph"/>
        <w:numPr>
          <w:ilvl w:val="0"/>
          <w:numId w:val="4"/>
        </w:numPr>
        <w:spacing w:after="60"/>
        <w:jc w:val="left"/>
      </w:pPr>
      <w:r>
        <w:rPr>
          <w:rFonts w:ascii="Microsoft YaHei" w:cs="Microsoft YaHei" w:eastAsia="Microsoft YaHei" w:hAnsi="Microsoft YaHei"/>
          <w:b w:val="false"/>
          <w:bCs w:val="false"/>
          <w:i w:val="false"/>
          <w:iCs w:val="false"/>
          <w:color w:val="111827"/>
          <w:sz w:val="16"/>
          <w:szCs w:val="16"/>
        </w:rPr>
        <w:t xml:space="preserve">Gu, S., Yang, Y., Zhao, Y., Qiu, J., Wang, X., Tong, H. H. Y., Liu, L., Wan, X., Liu, H.*, Hou, T.* &amp; Kang, Y.* (2024). Evaluation of AlphaFold2 Structures for Hit Identification across Multiple Scenarios. Journal of Chemical Information and Modeling, 64(9), 3630–3639. (IF: 5.3, CAS Zone 2, JCR Q1)</w:t>
      </w:r>
    </w:p>
    <w:p>
      <w:pPr>
        <w:pStyle w:val="ListParagraph"/>
        <w:numPr>
          <w:ilvl w:val="0"/>
          <w:numId w:val="4"/>
        </w:numPr>
        <w:spacing w:after="60"/>
        <w:jc w:val="left"/>
      </w:pPr>
      <w:r>
        <w:rPr>
          <w:rFonts w:ascii="Microsoft YaHei" w:cs="Microsoft YaHei" w:eastAsia="Microsoft YaHei" w:hAnsi="Microsoft YaHei"/>
          <w:b w:val="false"/>
          <w:bCs w:val="false"/>
          <w:i w:val="false"/>
          <w:iCs w:val="false"/>
          <w:color w:val="111827"/>
          <w:sz w:val="16"/>
          <w:szCs w:val="16"/>
        </w:rPr>
        <w:t xml:space="preserve">Zhao, H., Jiang, D., Shen, C., Zhang, J., Zhang, X., Wang, X., Nie, D., Hou, T.* &amp; Kang, Y.* (2024). Comprehensive Evaluation of 10 Docking Programs on a Diverse Set of Protein–Cyclic Peptide Complexes. Journal of Chemical Information and Modeling, 64(6), 2112–2124. (IF: 5.3, CAS Zone 2, JCR Q1)</w:t>
      </w:r>
    </w:p>
    <w:p>
      <w:pPr>
        <w:pStyle w:val="ListParagraph"/>
        <w:numPr>
          <w:ilvl w:val="0"/>
          <w:numId w:val="4"/>
        </w:numPr>
        <w:spacing w:after="60"/>
        <w:jc w:val="left"/>
      </w:pPr>
      <w:r>
        <w:rPr>
          <w:rFonts w:ascii="Microsoft YaHei" w:cs="Microsoft YaHei" w:eastAsia="Microsoft YaHei" w:hAnsi="Microsoft YaHei"/>
          <w:b w:val="false"/>
          <w:bCs w:val="false"/>
          <w:i w:val="false"/>
          <w:iCs w:val="false"/>
          <w:color w:val="111827"/>
          <w:sz w:val="16"/>
          <w:szCs w:val="16"/>
        </w:rPr>
        <w:t xml:space="preserve">Wang, J., Zeng, Y., Sun, H., Wang, J., Wang, X., Jin, R., Wang, M., Zhang, X., Cao, D., Chen, X.*, Hsieh, C.* &amp; Hou, T.* (2023). Molecular Generation with Reduced Labeling through Constraint Architecture. Journal of Chemical Information and Modeling, 63(11), 3319–3327. (IF: 5.3, CAS Zone 2, JCR Q1)</w:t>
      </w:r>
    </w:p>
    <w:p>
      <w:pPr>
        <w:pStyle w:val="ListParagraph"/>
        <w:numPr>
          <w:ilvl w:val="0"/>
          <w:numId w:val="4"/>
        </w:numPr>
        <w:spacing w:after="60"/>
        <w:jc w:val="left"/>
      </w:pPr>
      <w:r>
        <w:rPr>
          <w:rFonts w:ascii="Microsoft YaHei" w:cs="Microsoft YaHei" w:eastAsia="Microsoft YaHei" w:hAnsi="Microsoft YaHei"/>
          <w:b w:val="false"/>
          <w:bCs w:val="false"/>
          <w:i w:val="false"/>
          <w:iCs w:val="false"/>
          <w:color w:val="111827"/>
          <w:sz w:val="16"/>
          <w:szCs w:val="16"/>
        </w:rPr>
        <w:t xml:space="preserve">Jiang, D., Zhao, H., Du, H., Deng, Y., Wu, Z., Wang, J., Zeng, Y., Zhang, H., Wang, X., Wu, J.*, Hsieh, C.* &amp; Hou, T.* (2023). How Good Are Current Docking Programs at Nucleic Acid–Ligand Docking? A Comprehensive Evaluation. Journal of Chemical Theory and Computation, 19(16), 5633–5647. (IF: 5.5, CAS Zone 1, JCR Q1)</w:t>
      </w:r>
    </w:p>
    <w:p>
      <w:pPr>
        <w:pStyle w:val="ListParagraph"/>
        <w:numPr>
          <w:ilvl w:val="0"/>
          <w:numId w:val="4"/>
        </w:numPr>
        <w:spacing w:after="60"/>
        <w:jc w:val="left"/>
      </w:pPr>
      <w:r>
        <w:rPr>
          <w:rFonts w:ascii="Microsoft YaHei" w:cs="Microsoft YaHei" w:eastAsia="Microsoft YaHei" w:hAnsi="Microsoft YaHei"/>
          <w:b w:val="false"/>
          <w:bCs w:val="false"/>
          <w:i w:val="false"/>
          <w:iCs w:val="false"/>
          <w:color w:val="111827"/>
          <w:sz w:val="16"/>
          <w:szCs w:val="16"/>
        </w:rPr>
        <w:t xml:space="preserve">Zhang, W., Bai, H., Wang, Y., Wang, X., Jin, R., Guo, H., Lai, H., Tang, Y. &amp; Wang, Y.* (2024). Identification of mIDH1 R132C/S280F Inhibitors from Natural Products by Integrated Molecular Docking, Pharmacophore Modeling and Molecular Dynamics Simulations. Pharmaceuticals, 17(3), 336. (IF: 4.8, CAS Zone 2, JCR Q1)</w:t>
      </w:r>
    </w:p>
    <w:p>
      <w:pPr>
        <w:pStyle w:val="ListParagraph"/>
        <w:numPr>
          <w:ilvl w:val="0"/>
          <w:numId w:val="4"/>
        </w:numPr>
        <w:spacing w:after="60"/>
        <w:jc w:val="left"/>
      </w:pPr>
      <w:r>
        <w:rPr>
          <w:rFonts w:ascii="Microsoft YaHei" w:cs="Microsoft YaHei" w:eastAsia="Microsoft YaHei" w:hAnsi="Microsoft YaHei"/>
          <w:b w:val="false"/>
          <w:bCs w:val="false"/>
          <w:i w:val="false"/>
          <w:iCs w:val="false"/>
          <w:color w:val="111827"/>
          <w:sz w:val="16"/>
          <w:szCs w:val="16"/>
        </w:rPr>
        <w:t xml:space="preserve">Bai, H., Cheng, Y., Jia, S., Wang, X., Jin, R., Guo, H., Tang, Y., &amp; Wang, Y.* (2025). Machine learning-based QSAR and structure-based virtual screening guided discovery of novel mIDH1 inhibitors from natural products. Journal of Computer-Aided Molecular Design, 39(1), 44. (IF: 3.2, CAS Zone 2, JCR Q2)</w:t>
      </w:r>
    </w:p>
    <w:p>
      <w:pPr>
        <w:pStyle w:val="ListParagraph"/>
        <w:numPr>
          <w:ilvl w:val="0"/>
          <w:numId w:val="4"/>
        </w:numPr>
        <w:spacing w:after="60"/>
        <w:jc w:val="left"/>
      </w:pPr>
      <w:r>
        <w:rPr>
          <w:rFonts w:ascii="Microsoft YaHei" w:cs="Microsoft YaHei" w:eastAsia="Microsoft YaHei" w:hAnsi="Microsoft YaHei"/>
          <w:b w:val="false"/>
          <w:bCs w:val="false"/>
          <w:i w:val="false"/>
          <w:iCs w:val="false"/>
          <w:color w:val="111827"/>
          <w:sz w:val="16"/>
          <w:szCs w:val="16"/>
        </w:rPr>
        <w:t xml:space="preserve">Ge, H., Mao, L., Zhao, J., Wang, Y., Shi, D., Yang, X., Wang, X., Liu, H., &amp; Yao, X.* (2021). Discovery of novel IDO1 inhibitors via structure-based virtual screening and biological assays. Journal of Computer-Aided Molecular Design, 35(5), 679-694. (IF: 3.2, CAS Zone 2, JCR Q2)</w:t>
      </w:r>
    </w:p>
    <w:p>
      <w:pPr>
        <w:pStyle w:val="ListParagraph"/>
        <w:numPr>
          <w:ilvl w:val="0"/>
          <w:numId w:val="4"/>
        </w:numPr>
        <w:spacing w:after="60"/>
        <w:jc w:val="left"/>
      </w:pPr>
      <w:r>
        <w:rPr>
          <w:rFonts w:ascii="Microsoft YaHei" w:cs="Microsoft YaHei" w:eastAsia="Microsoft YaHei" w:hAnsi="Microsoft YaHei"/>
          <w:b w:val="false"/>
          <w:bCs w:val="false"/>
          <w:i w:val="false"/>
          <w:iCs w:val="false"/>
          <w:color w:val="111827"/>
          <w:sz w:val="16"/>
          <w:szCs w:val="16"/>
        </w:rPr>
        <w:t xml:space="preserve">Jiang, D., Du, H., Zhao, H., Deng, Y., Wu, Z., Wang, J., Zeng, Y., Zhang, H., Wang, X., Wang, E., Hou, T.*, &amp; Hsieh, C.-Y.* (2024). Assessing the performance of MM/PBSA and MM/GBSA methods. 10. Prediction reliability of binding affinities and binding poses for RNA–ligand complexes. Physical Chemistry Chemical Physics, 26(13), 10323-10335. (IF: 2.9, CAS Zone 3, JCR Q2)</w:t>
      </w:r>
    </w:p>
    <w:p>
      <w:pPr>
        <w:pStyle w:val="Heading1"/>
        <w:pBdr>
          <w:bottom w:val="single" w:color="9CA3AF" w:sz="4" w:space="3"/>
        </w:pBdr>
        <w:spacing w:after="100" w:before="220"/>
        <w:jc w:val="left"/>
      </w:pPr>
      <w:r>
        <w:rPr>
          <w:rFonts w:ascii="Microsoft YaHei" w:cs="Microsoft YaHei" w:eastAsia="Microsoft YaHei" w:hAnsi="Microsoft YaHei"/>
          <w:b/>
          <w:bCs/>
          <w:i w:val="false"/>
          <w:iCs w:val="false"/>
          <w:color w:val="0F3D5E"/>
          <w:sz w:val="24"/>
          <w:szCs w:val="24"/>
        </w:rPr>
        <w:t xml:space="preserve">授权发明专利 / Granted Invention Patent</w:t>
      </w:r>
    </w:p>
    <w:p>
      <w:pPr>
        <w:spacing w:after="20"/>
        <w:jc w:val="left"/>
      </w:pPr>
      <w:r>
        <w:rPr>
          <w:rFonts w:ascii="Microsoft YaHei" w:cs="Microsoft YaHei" w:eastAsia="Microsoft YaHei" w:hAnsi="Microsoft YaHei"/>
          <w:b w:val="false"/>
          <w:bCs w:val="false"/>
          <w:i w:val="false"/>
          <w:iCs w:val="false"/>
          <w:color w:val="111827"/>
          <w:sz w:val="19"/>
          <w:szCs w:val="19"/>
        </w:rPr>
        <w:t xml:space="preserve">王晓瑞，康玉，侯廷军，谢昌谕，曹东升，邓亚峰，施慧。一种反应条件预测模型训练方法及装置（发明专利）。专利号：CN116227485B。授权公告日：2025.06.24。</w:t>
      </w:r>
    </w:p>
    <w:p>
      <w:pPr>
        <w:spacing w:after="100"/>
        <w:jc w:val="left"/>
      </w:pPr>
      <w:r>
        <w:rPr>
          <w:rFonts w:ascii="Microsoft YaHei" w:cs="Microsoft YaHei" w:eastAsia="Microsoft YaHei" w:hAnsi="Microsoft YaHei"/>
          <w:b w:val="false"/>
          <w:bCs w:val="false"/>
          <w:i/>
          <w:iCs/>
          <w:color w:val="4B5563"/>
          <w:sz w:val="17"/>
          <w:szCs w:val="17"/>
        </w:rPr>
        <w:t xml:space="preserve">Xiaorui Wang, Yu Kang, Tingjun Hou, Chang-Yu Hsieh, Dongsheng Cao, Yafeng Deng, Hui Shi. A training method and device for a reaction condition prediction model (invention patent). Patent No.: CN116227485B. Grant announcement date: June 24, 2025.</w:t>
      </w:r>
    </w:p>
    <w:p>
      <w:pPr>
        <w:pStyle w:val="Heading1"/>
        <w:pBdr>
          <w:bottom w:val="single" w:color="9CA3AF" w:sz="4" w:space="3"/>
        </w:pBdr>
        <w:spacing w:after="100" w:before="220"/>
        <w:jc w:val="left"/>
      </w:pPr>
      <w:r>
        <w:rPr>
          <w:rFonts w:ascii="Microsoft YaHei" w:cs="Microsoft YaHei" w:eastAsia="Microsoft YaHei" w:hAnsi="Microsoft YaHei"/>
          <w:b/>
          <w:bCs/>
          <w:i w:val="false"/>
          <w:iCs w:val="false"/>
          <w:color w:val="0F3D5E"/>
          <w:sz w:val="24"/>
          <w:szCs w:val="24"/>
        </w:rPr>
        <w:t xml:space="preserve">个人荣誉 / Honors</w:t>
      </w:r>
    </w:p>
    <w:p>
      <w:pPr>
        <w:pStyle w:val="ListParagraph"/>
        <w:numPr>
          <w:ilvl w:val="0"/>
          <w:numId w:val="2"/>
        </w:numPr>
        <w:spacing w:after="20"/>
        <w:jc w:val="left"/>
      </w:pPr>
      <w:r>
        <w:rPr>
          <w:rFonts w:ascii="Microsoft YaHei" w:cs="Microsoft YaHei" w:eastAsia="Microsoft YaHei" w:hAnsi="Microsoft YaHei"/>
          <w:b w:val="false"/>
          <w:bCs w:val="false"/>
          <w:i w:val="false"/>
          <w:iCs w:val="false"/>
          <w:color w:val="111827"/>
          <w:sz w:val="19"/>
          <w:szCs w:val="19"/>
        </w:rPr>
        <w:t xml:space="preserve">2017.10 兰州大学本科生三等奖学金</w:t>
      </w:r>
    </w:p>
    <w:p>
      <w:pPr>
        <w:spacing w:after="90"/>
        <w:ind w:left="720"/>
        <w:jc w:val="left"/>
      </w:pPr>
      <w:r>
        <w:rPr>
          <w:rFonts w:ascii="Microsoft YaHei" w:cs="Microsoft YaHei" w:eastAsia="Microsoft YaHei" w:hAnsi="Microsoft YaHei"/>
          <w:b w:val="false"/>
          <w:bCs w:val="false"/>
          <w:i/>
          <w:iCs/>
          <w:color w:val="4B5563"/>
          <w:sz w:val="17"/>
          <w:szCs w:val="17"/>
        </w:rPr>
        <w:t xml:space="preserve">Oct. 2017 Lanzhou University Undergraduate Third-Class Scholarship</w:t>
      </w:r>
    </w:p>
    <w:p>
      <w:pPr>
        <w:pStyle w:val="ListParagraph"/>
        <w:numPr>
          <w:ilvl w:val="0"/>
          <w:numId w:val="2"/>
        </w:numPr>
        <w:spacing w:after="20"/>
        <w:jc w:val="left"/>
      </w:pPr>
      <w:r>
        <w:rPr>
          <w:rFonts w:ascii="Microsoft YaHei" w:cs="Microsoft YaHei" w:eastAsia="Microsoft YaHei" w:hAnsi="Microsoft YaHei"/>
          <w:b w:val="false"/>
          <w:bCs w:val="false"/>
          <w:i w:val="false"/>
          <w:iCs w:val="false"/>
          <w:color w:val="111827"/>
          <w:sz w:val="19"/>
          <w:szCs w:val="19"/>
        </w:rPr>
        <w:t xml:space="preserve">2021-2024 澳门科技大学研究生参与学术全额奖学金</w:t>
      </w:r>
    </w:p>
    <w:p>
      <w:pPr>
        <w:spacing w:after="90"/>
        <w:ind w:left="720"/>
        <w:jc w:val="left"/>
      </w:pPr>
      <w:r>
        <w:rPr>
          <w:rFonts w:ascii="Microsoft YaHei" w:cs="Microsoft YaHei" w:eastAsia="Microsoft YaHei" w:hAnsi="Microsoft YaHei"/>
          <w:b w:val="false"/>
          <w:bCs w:val="false"/>
          <w:i/>
          <w:iCs/>
          <w:color w:val="4B5563"/>
          <w:sz w:val="17"/>
          <w:szCs w:val="17"/>
        </w:rPr>
        <w:t xml:space="preserve">2021-2024 Macau University of Science and Technology Graduate Student Academic Participation Full Scholarship</w:t>
      </w:r>
    </w:p>
    <w:p>
      <w:pPr>
        <w:pStyle w:val="ListParagraph"/>
        <w:numPr>
          <w:ilvl w:val="0"/>
          <w:numId w:val="2"/>
        </w:numPr>
        <w:spacing w:after="20"/>
        <w:jc w:val="left"/>
      </w:pPr>
      <w:r>
        <w:rPr>
          <w:rFonts w:ascii="Microsoft YaHei" w:cs="Microsoft YaHei" w:eastAsia="Microsoft YaHei" w:hAnsi="Microsoft YaHei"/>
          <w:b w:val="false"/>
          <w:bCs w:val="false"/>
          <w:i w:val="false"/>
          <w:iCs w:val="false"/>
          <w:color w:val="111827"/>
          <w:sz w:val="19"/>
          <w:szCs w:val="19"/>
        </w:rPr>
        <w:t xml:space="preserve">2017.09 兰州大学优秀研究生培养奖学金</w:t>
      </w:r>
    </w:p>
    <w:p>
      <w:pPr>
        <w:spacing w:after="90"/>
        <w:ind w:left="720"/>
        <w:jc w:val="left"/>
      </w:pPr>
      <w:r>
        <w:rPr>
          <w:rFonts w:ascii="Microsoft YaHei" w:cs="Microsoft YaHei" w:eastAsia="Microsoft YaHei" w:hAnsi="Microsoft YaHei"/>
          <w:b w:val="false"/>
          <w:bCs w:val="false"/>
          <w:i/>
          <w:iCs/>
          <w:color w:val="4B5563"/>
          <w:sz w:val="17"/>
          <w:szCs w:val="17"/>
        </w:rPr>
        <w:t xml:space="preserve">Sep. 2017 Lanzhou University Outstanding Graduate Student Training Scholarship</w:t>
      </w:r>
    </w:p>
    <w:p>
      <w:pPr>
        <w:pStyle w:val="ListParagraph"/>
        <w:numPr>
          <w:ilvl w:val="0"/>
          <w:numId w:val="2"/>
        </w:numPr>
        <w:spacing w:after="20"/>
        <w:jc w:val="left"/>
      </w:pPr>
      <w:r>
        <w:rPr>
          <w:rFonts w:ascii="Microsoft YaHei" w:cs="Microsoft YaHei" w:eastAsia="Microsoft YaHei" w:hAnsi="Microsoft YaHei"/>
          <w:b w:val="false"/>
          <w:bCs w:val="false"/>
          <w:i w:val="false"/>
          <w:iCs w:val="false"/>
          <w:color w:val="111827"/>
          <w:sz w:val="19"/>
          <w:szCs w:val="19"/>
        </w:rPr>
        <w:t xml:space="preserve">2018-2021 兰州大学研究生学业奖学金</w:t>
      </w:r>
    </w:p>
    <w:p>
      <w:pPr>
        <w:spacing w:after="90"/>
        <w:ind w:left="720"/>
        <w:jc w:val="left"/>
      </w:pPr>
      <w:r>
        <w:rPr>
          <w:rFonts w:ascii="Microsoft YaHei" w:cs="Microsoft YaHei" w:eastAsia="Microsoft YaHei" w:hAnsi="Microsoft YaHei"/>
          <w:b w:val="false"/>
          <w:bCs w:val="false"/>
          <w:i/>
          <w:iCs/>
          <w:color w:val="4B5563"/>
          <w:sz w:val="17"/>
          <w:szCs w:val="17"/>
        </w:rPr>
        <w:t xml:space="preserve">2018-2021 Lanzhou University Graduate Academic Scholarship</w:t>
      </w:r>
    </w:p>
    <w:sectPr>
      <w:footerReference w:type="default" r:id="rId7"/>
      <w:pgSz w:w="11906" w:h="16838" w:orient="portrait"/>
      <w:pgMar w:top="720" w:right="760" w:bottom="720" w:left="7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right"/>
    </w:pPr>
    <w:r>
      <w:rPr>
        <w:rFonts w:ascii="Microsoft YaHei" w:cs="Microsoft YaHei" w:eastAsia="Microsoft YaHei" w:hAnsi="Microsoft YaHei"/>
        <w:b w:val="false"/>
        <w:bCs w:val="false"/>
        <w:i w:val="false"/>
        <w:iCs w:val="false"/>
        <w:color w:val="6B7280"/>
        <w:sz w:val="14"/>
        <w:szCs w:val="14"/>
      </w:rPr>
      <w:t xml:space="preserve">Xiaorui Wang Academic CV | Page </w:t>
    </w:r>
    <w:r>
      <w:rPr>
        <w:rFonts w:ascii="Microsoft YaHei" w:cs="Microsoft YaHei" w:eastAsia="Microsoft YaHei" w:hAnsi="Microsoft YaHei"/>
        <w:color w:val="6B728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abstractNum w:abstractNumId="3" w15:restartNumberingAfterBreak="0">
    <w:multiLevelType w:val="hybridMultilevel"/>
    <w:lvl w:ilvl="0" w15:tentative="1">
      <w:start w:val="1"/>
      <w:numFmt w:val="decimal"/>
      <w:lvlText w:val="%1."/>
      <w:lvlJc w:val="left"/>
      <w:pPr>
        <w:ind w:left="360" w:hanging="260"/>
      </w:pPr>
    </w:lvl>
  </w:abstractNum>
  <w:abstractNum w:abstractNumId="4"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111827"/>
        <w:sz w:val="19"/>
        <w:szCs w:val="19"/>
      </w:rPr>
    </w:rPrDefault>
    <w:pPrDefault>
      <w:pPr>
        <w:spacing w:after="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20"/>
      <w:outlineLvl w:val="0"/>
    </w:pPr>
    <w:rPr>
      <w:rFonts w:ascii="Microsoft YaHei" w:cs="Microsoft YaHei" w:eastAsia="Microsoft YaHei" w:hAnsi="Microsoft YaHei"/>
      <w:b/>
      <w:bCs/>
      <w:color w:val="0F3D5E"/>
      <w:sz w:val="24"/>
      <w:szCs w:val="24"/>
    </w:rPr>
  </w:style>
  <w:style w:type="paragraph" w:styleId="Heading2">
    <w:name w:val="Heading 2"/>
    <w:basedOn w:val="Normal"/>
    <w:next w:val="Normal"/>
    <w:qFormat/>
    <w:pPr>
      <w:spacing w:after="70" w:before="130"/>
      <w:outlineLvl w:val="1"/>
    </w:pPr>
    <w:rPr>
      <w:rFonts w:ascii="Microsoft YaHei" w:cs="Microsoft YaHei" w:eastAsia="Microsoft YaHei" w:hAnsi="Microsoft YaHei"/>
      <w:b/>
      <w:bCs/>
      <w:color w:val="111827"/>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王晓瑞_学术个人简历_中英文双语</dc:title>
  <dc:creator>Codex</dc:creator>
  <dc:description>Bilingual academic CV generated from the supplied resume PDF.</dc:description>
  <cp:lastModifiedBy>Un-named</cp:lastModifiedBy>
  <cp:revision>1</cp:revision>
  <dcterms:created xsi:type="dcterms:W3CDTF">2026-04-26T13:15:58.529Z</dcterms:created>
  <dcterms:modified xsi:type="dcterms:W3CDTF">2026-04-26T13:15:58.530Z</dcterms:modified>
</cp:coreProperties>
</file>

<file path=docProps/custom.xml><?xml version="1.0" encoding="utf-8"?>
<Properties xmlns="http://schemas.openxmlformats.org/officeDocument/2006/custom-properties" xmlns:vt="http://schemas.openxmlformats.org/officeDocument/2006/docPropsVTypes"/>
</file>