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0AF9" w:rsidRDefault="00000000">
      <w:pPr>
        <w:spacing w:after="160"/>
      </w:pPr>
      <w:r>
        <w:rPr>
          <w:b/>
          <w:bCs/>
        </w:rPr>
        <w:t>Reviewer #1:</w:t>
      </w:r>
      <w:r>
        <w:t xml:space="preserve">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br/>
      </w:r>
      <w:r>
        <w:br/>
        <w:t xml:space="preserve"> Main comments</w:t>
      </w:r>
      <w:r>
        <w:br/>
      </w:r>
      <w:r>
        <w:br/>
        <w:t xml:space="preserve"> 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w:t>
      </w:r>
    </w:p>
    <w:p w14:paraId="00000002" w14:textId="77777777" w:rsidR="00610AF9" w:rsidRDefault="00000000">
      <w:pPr>
        <w:spacing w:after="160"/>
      </w:pPr>
      <w:r>
        <w:t>Monkey S adjusted the temporal discounted value based on the go signal, but Monkey T did not, therefore there could be a presumed difference in this inverse coding following presentation of the go signal.</w:t>
      </w:r>
    </w:p>
    <w:p w14:paraId="00000003" w14:textId="77777777" w:rsidR="00610AF9" w:rsidRDefault="00000000">
      <w:pPr>
        <w:spacing w:after="160"/>
        <w:rPr>
          <w:b/>
          <w:bCs/>
          <w:color w:val="0070C0"/>
        </w:rPr>
      </w:pPr>
      <w:r>
        <w:rPr>
          <w:b/>
          <w:bCs/>
          <w:color w:val="0070C0"/>
        </w:rPr>
        <w:t>Siyu Analysis: inverse coding at GO cue</w:t>
      </w:r>
    </w:p>
    <w:p w14:paraId="00000004" w14:textId="77777777" w:rsidR="00610AF9" w:rsidRDefault="00000000">
      <w:pPr>
        <w:spacing w:after="160"/>
        <w:rPr>
          <w:color w:val="EE0000"/>
        </w:rPr>
      </w:pPr>
      <w:r>
        <w:rPr>
          <w:color w:val="EE0000"/>
        </w:rPr>
        <w:t xml:space="preserve">We thank the reviewer for this point.   We have extended the same analysis in the first ?? ms after the go signal. </w:t>
      </w:r>
    </w:p>
    <w:p w14:paraId="00000005" w14:textId="77777777" w:rsidR="00610AF9" w:rsidRDefault="00000000">
      <w:pPr>
        <w:spacing w:after="160"/>
        <w:rPr>
          <w:color w:val="EE0000"/>
        </w:rPr>
      </w:pPr>
      <w:r>
        <w:rPr>
          <w:color w:val="EE0000"/>
        </w:rPr>
        <w:t xml:space="preserve">We can show the plots only to the reviewer. But not in the manuscript. </w:t>
      </w:r>
    </w:p>
    <w:p w14:paraId="00000006" w14:textId="77777777" w:rsidR="00610AF9" w:rsidRDefault="00000000">
      <w:pPr>
        <w:spacing w:after="160"/>
      </w:pPr>
      <w:r>
        <w:rPr>
          <w:b/>
          <w:bCs/>
          <w:color w:val="EE0000"/>
        </w:rPr>
        <w:br/>
      </w:r>
      <w:r>
        <w:t xml:space="preserve"> 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w:t>
      </w:r>
    </w:p>
    <w:p w14:paraId="00000007" w14:textId="77777777" w:rsidR="00610AF9" w:rsidRDefault="00000000">
      <w:pPr>
        <w:spacing w:after="160"/>
        <w:rPr>
          <w:color w:val="EE0000"/>
        </w:rPr>
      </w:pPr>
      <w:r>
        <w:rPr>
          <w:color w:val="EE0000"/>
        </w:rPr>
        <w:t xml:space="preserve">We thank the reviewer for this important point. We agree that differences in recording locations across monkeys could potentially contribute to the difference in the proportion of linearly coding neurons. Although the exact anatomical correspondence between recording sites across animals cannot be established in our dataset, we performed an additional analysis within Monkey S by comparing arrays from different recording locations. In the array that was most comparable to the recording region sampled in Monkey T, we identified only 3 linearly coding neurons out of 44 recorded neurons (~7%), which is substantially lower than the proportion observed in Monkey T. The difference in recording location alone is unlikely to fully explain the </w:t>
      </w:r>
      <w:r>
        <w:rPr>
          <w:color w:val="EE0000"/>
        </w:rPr>
        <w:lastRenderedPageBreak/>
        <w:t xml:space="preserve">difference, although we cannot completely exclude a contribution from anatomical sampling. However, this comparison is based on a small number of linearly coding neurons in Monkey S and should therefore be interpreted cautiously. We have revised the manuscript accordingly: </w:t>
      </w:r>
    </w:p>
    <w:p w14:paraId="00000008" w14:textId="77777777" w:rsidR="00610AF9" w:rsidRDefault="00000000">
      <w:pPr>
        <w:spacing w:after="160"/>
        <w:rPr>
          <w:b/>
          <w:bCs/>
          <w:color w:val="EE0000"/>
        </w:rPr>
      </w:pPr>
      <w:r>
        <w:rPr>
          <w:b/>
          <w:bCs/>
          <w:color w:val="EE0000"/>
        </w:rPr>
        <w:t xml:space="preserve">Please see the lines ??-?? </w:t>
      </w:r>
    </w:p>
    <w:p w14:paraId="00000009" w14:textId="77777777" w:rsidR="00610AF9" w:rsidRDefault="00000000">
      <w:pPr>
        <w:spacing w:after="160"/>
        <w:rPr>
          <w:b/>
          <w:bCs/>
          <w:i/>
          <w:iCs/>
          <w:color w:val="FF0000"/>
        </w:rPr>
      </w:pPr>
      <w:r>
        <w:rPr>
          <w:rFonts w:ascii="Times New Roman" w:eastAsia="Times New Roman" w:hAnsi="Times New Roman" w:cs="Times New Roman"/>
          <w:i/>
          <w:iCs/>
          <w:color w:val="FF0000"/>
          <w:sz w:val="24"/>
          <w:szCs w:val="24"/>
        </w:rPr>
        <w:t>These results suggest that the dlPFC neurons in Monkey S exhibited a lower prevalence in linear value coding and more heterogeneous patterns of value representation, whereas neurons in Monkey T showed a greater proportion  of linear coding of offer value.</w:t>
      </w:r>
      <w:r>
        <w:rPr>
          <w:b/>
          <w:bCs/>
          <w:i/>
          <w:iCs/>
          <w:color w:val="FF0000"/>
        </w:rPr>
        <w:t xml:space="preserve"> </w:t>
      </w:r>
    </w:p>
    <w:p w14:paraId="0000000A" w14:textId="77777777" w:rsidR="00610AF9" w:rsidRDefault="00000000">
      <w:pPr>
        <w:spacing w:after="160"/>
        <w:rPr>
          <w:b/>
          <w:bCs/>
          <w:color w:val="FF0000"/>
        </w:rPr>
      </w:pPr>
      <w:r>
        <w:rPr>
          <w:b/>
          <w:bCs/>
          <w:color w:val="FF0000"/>
        </w:rPr>
        <w:t>We also changed the discussion. Please see lines ??-??:</w:t>
      </w:r>
    </w:p>
    <w:p w14:paraId="0000000B" w14:textId="77777777" w:rsidR="00610AF9" w:rsidRDefault="00000000">
      <w:pPr>
        <w:shd w:val="clear" w:color="auto" w:fill="FFFFFF"/>
        <w:spacing w:line="480" w:lineRule="auto"/>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Additional single-neuron and population-level analyses </w:t>
      </w:r>
      <w:r>
        <w:rPr>
          <w:rFonts w:ascii="Times New Roman" w:eastAsia="Times New Roman" w:hAnsi="Times New Roman" w:cs="Times New Roman"/>
          <w:i/>
          <w:iCs/>
          <w:color w:val="FF0000"/>
          <w:sz w:val="24"/>
          <w:szCs w:val="24"/>
          <w:highlight w:val="yellow"/>
        </w:rPr>
        <w:t>revealed</w:t>
      </w:r>
      <w:r>
        <w:rPr>
          <w:rFonts w:ascii="Times New Roman" w:eastAsia="Times New Roman" w:hAnsi="Times New Roman" w:cs="Times New Roman"/>
          <w:i/>
          <w:iCs/>
          <w:color w:val="FF0000"/>
          <w:sz w:val="24"/>
          <w:szCs w:val="24"/>
        </w:rPr>
        <w:t xml:space="preserve"> the neural differences between the animals in how dlPFC encoded reward and time. In the first analysis, we examined the linearity of value coding. In Monkey S, only 10% of the neurons </w:t>
      </w:r>
      <w:r>
        <w:rPr>
          <w:rFonts w:ascii="Times New Roman" w:eastAsia="Times New Roman" w:hAnsi="Times New Roman" w:cs="Times New Roman"/>
          <w:i/>
          <w:iCs/>
          <w:color w:val="FF0000"/>
          <w:sz w:val="24"/>
          <w:szCs w:val="24"/>
          <w:highlight w:val="yellow"/>
        </w:rPr>
        <w:t>showed linear modulation by discounted value</w:t>
      </w:r>
      <w:r>
        <w:rPr>
          <w:rFonts w:ascii="Times New Roman" w:eastAsia="Times New Roman" w:hAnsi="Times New Roman" w:cs="Times New Roman"/>
          <w:i/>
          <w:iCs/>
          <w:color w:val="FF0000"/>
          <w:sz w:val="24"/>
          <w:szCs w:val="24"/>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r>
        <w:rPr>
          <w:rFonts w:ascii="Times New Roman" w:eastAsia="Times New Roman" w:hAnsi="Times New Roman" w:cs="Times New Roman"/>
          <w:i/>
          <w:iCs/>
          <w:color w:val="FF0000"/>
          <w:sz w:val="24"/>
          <w:szCs w:val="24"/>
          <w:highlight w:val="yellow"/>
        </w:rPr>
        <w:t>a larger proportion of neurons (&gt; 30%) showed linear value coding.</w:t>
      </w:r>
      <w:r>
        <w:rPr>
          <w:rFonts w:ascii="Times New Roman" w:eastAsia="Times New Roman" w:hAnsi="Times New Roman" w:cs="Times New Roman"/>
          <w:i/>
          <w:iCs/>
          <w:color w:val="FF0000"/>
          <w:sz w:val="24"/>
          <w:szCs w:val="24"/>
        </w:rPr>
        <w:t xml:space="preserve"> Population trajectories were qualitatively unentangled and linear, with low-dimensional population trajectories clearly separated by value.</w:t>
      </w:r>
    </w:p>
    <w:p w14:paraId="0000000C" w14:textId="77777777" w:rsidR="00610AF9" w:rsidRDefault="00000000">
      <w:pPr>
        <w:shd w:val="clear" w:color="auto" w:fill="FFFFFF"/>
        <w:spacing w:line="480" w:lineRule="auto"/>
        <w:rPr>
          <w:b/>
          <w:bCs/>
          <w:color w:val="FF0000"/>
        </w:rPr>
      </w:pPr>
      <w:r>
        <w:rPr>
          <w:rFonts w:ascii="Times New Roman" w:eastAsia="Times New Roman" w:hAnsi="Times New Roman" w:cs="Times New Roman"/>
          <w:i/>
          <w:iCs/>
          <w:color w:val="FF0000"/>
          <w:sz w:val="24"/>
          <w:szCs w:val="24"/>
        </w:rPr>
        <w:t>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w:t>
      </w:r>
      <w:r>
        <w:rPr>
          <w:rFonts w:ascii="Times New Roman" w:eastAsia="Times New Roman" w:hAnsi="Times New Roman" w:cs="Times New Roman"/>
          <w:sz w:val="24"/>
          <w:szCs w:val="24"/>
        </w:rPr>
        <w:t xml:space="preserve"> </w:t>
      </w:r>
    </w:p>
    <w:p w14:paraId="0000000D" w14:textId="77777777" w:rsidR="00610AF9" w:rsidRDefault="00000000">
      <w:pPr>
        <w:spacing w:after="160"/>
        <w:rPr>
          <w:b/>
          <w:bCs/>
          <w:highlight w:val="yellow"/>
        </w:rPr>
      </w:pPr>
      <w:r>
        <w:lastRenderedPageBreak/>
        <w:t>Are there any other differences in distributions for the other analyses that might correlate with anatomical location?</w:t>
      </w:r>
    </w:p>
    <w:p w14:paraId="0000000E" w14:textId="77777777" w:rsidR="00610AF9" w:rsidRDefault="00000000">
      <w:pPr>
        <w:spacing w:after="160"/>
        <w:rPr>
          <w:b/>
          <w:bCs/>
          <w:color w:val="FF0000"/>
        </w:rPr>
      </w:pPr>
      <w:r>
        <w:rPr>
          <w:color w:val="FF0000"/>
        </w:rPr>
        <w:t>We repeated a few analyses for the two arrays in monkey S.</w:t>
      </w:r>
      <w:r>
        <w:rPr>
          <w:b/>
          <w:bCs/>
          <w:color w:val="FF0000"/>
        </w:rPr>
        <w:t xml:space="preserve"> </w:t>
      </w:r>
    </w:p>
    <w:p w14:paraId="0000000F" w14:textId="77777777" w:rsidR="00610AF9" w:rsidRDefault="00000000">
      <w:pPr>
        <w:spacing w:after="160"/>
        <w:rPr>
          <w:color w:val="0070C0"/>
        </w:rPr>
      </w:pPr>
      <w:r>
        <w:rPr>
          <w:color w:val="FF0000"/>
        </w:rPr>
        <w:t xml:space="preserve">We found that </w:t>
      </w:r>
    </w:p>
    <w:p w14:paraId="00000010" w14:textId="77777777" w:rsidR="00610AF9" w:rsidRDefault="00000000">
      <w:pPr>
        <w:spacing w:after="160"/>
        <w:rPr>
          <w:color w:val="0070C0"/>
        </w:rPr>
      </w:pPr>
      <w:r>
        <w:rPr>
          <w:color w:val="0070C0"/>
        </w:rPr>
        <w:br/>
      </w:r>
      <w:r>
        <w:t xml:space="preserve"> 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00000011" w14:textId="77777777" w:rsidR="00610AF9" w:rsidRDefault="00000000">
      <w:pPr>
        <w:spacing w:before="240" w:after="240"/>
        <w:rPr>
          <w:color w:val="EE0000"/>
          <w:highlight w:val="yellow"/>
        </w:rPr>
      </w:pPr>
      <w:r>
        <w:rPr>
          <w:color w:val="EE0000"/>
          <w:highlight w:val="yellow"/>
        </w:rPr>
        <w:t>We appreciate this important comment. Unfortunately, we miss this information in Monkey T. We still have some information for Monkey S. we checked the initial sessions in Monkey S and we see that ?????</w:t>
      </w:r>
    </w:p>
    <w:p w14:paraId="00000012" w14:textId="77777777" w:rsidR="00610AF9" w:rsidRDefault="00000000">
      <w:pPr>
        <w:spacing w:before="240" w:after="240"/>
        <w:rPr>
          <w:color w:val="EE0000"/>
          <w:highlight w:val="yellow"/>
        </w:rPr>
      </w:pPr>
      <w:r>
        <w:rPr>
          <w:b/>
          <w:bCs/>
          <w:color w:val="EE0000"/>
          <w:highlight w:val="yellow"/>
        </w:rPr>
        <w:t>I have to check the training of SEAM. I cannot retrieve the one of Tobias.</w:t>
      </w:r>
      <w:r>
        <w:rPr>
          <w:color w:val="EE0000"/>
          <w:highlight w:val="yellow"/>
        </w:rPr>
        <w:t xml:space="preserve"> </w:t>
      </w:r>
    </w:p>
    <w:p w14:paraId="00000013" w14:textId="77777777" w:rsidR="00610AF9" w:rsidRDefault="00000000">
      <w:pPr>
        <w:spacing w:before="240" w:after="240"/>
        <w:rPr>
          <w:color w:val="EE0000"/>
          <w:highlight w:val="yellow"/>
        </w:rPr>
      </w:pPr>
      <w:r>
        <w:rPr>
          <w:color w:val="EE0000"/>
          <w:highlight w:val="yellow"/>
        </w:rPr>
        <w:t>Nevertheless, in the dataset analyzed here, the two monkeys exhibited distinct behavioral strategies in the task, and these differences were accompanied by differences in neural coding. Understanding how behavioral strategies and their neural correlates evolve with experience would require longitudinal studies tracking the same animals across different stages of training.</w:t>
      </w:r>
    </w:p>
    <w:p w14:paraId="00000014" w14:textId="77777777" w:rsidR="00610AF9" w:rsidRDefault="00000000">
      <w:pPr>
        <w:spacing w:after="160"/>
        <w:rPr>
          <w:b/>
          <w:bCs/>
          <w:color w:val="EE0000"/>
        </w:rPr>
      </w:pPr>
      <w:r>
        <w:rPr>
          <w:color w:val="EE0000"/>
        </w:rPr>
        <w:t xml:space="preserve">We have clarified this argument in the discussion. </w:t>
      </w:r>
      <w:r>
        <w:rPr>
          <w:b/>
          <w:bCs/>
          <w:color w:val="EE0000"/>
        </w:rPr>
        <w:t>Please see:</w:t>
      </w:r>
    </w:p>
    <w:p w14:paraId="00000015" w14:textId="77777777" w:rsidR="00610AF9" w:rsidRDefault="00000000">
      <w:pPr>
        <w:spacing w:after="160"/>
      </w:pPr>
      <w: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p>
    <w:p w14:paraId="00000016" w14:textId="77777777" w:rsidR="00610AF9" w:rsidRDefault="00000000">
      <w:pPr>
        <w:spacing w:after="160"/>
        <w:rPr>
          <w:color w:val="FF0000"/>
        </w:rPr>
      </w:pPr>
      <w:r>
        <w:rPr>
          <w:color w:val="FF0000"/>
        </w:rPr>
        <w:t xml:space="preserve">Thank you to the reviewer for this comment. As reported in figure 2 of the current manuscript, both monkeys rank the nine offers from lower to higher discounted value, with a similar pattern, showing that both animals rank the offers based on the delay and reward magnitude. Different offers with different delay and magnitude are accepted in a similar way, showing that animals attribute similar value. We found neural encoding of reward, delay and their interaction in both monkeys as shown in figure S1C-D and Fig S2 A-B. </w:t>
      </w:r>
    </w:p>
    <w:p w14:paraId="00000017" w14:textId="77777777" w:rsidR="00610AF9" w:rsidRDefault="00000000">
      <w:pPr>
        <w:spacing w:after="160"/>
        <w:rPr>
          <w:color w:val="FF0000"/>
        </w:rPr>
      </w:pPr>
      <w:r>
        <w:rPr>
          <w:color w:val="FF0000"/>
        </w:rPr>
        <w:t>We also found that in both monkeys Delay and Magnitude are inversely correlated, as shown in Figure 5, suggesting temporal discounting.</w:t>
      </w:r>
    </w:p>
    <w:p w14:paraId="00000018" w14:textId="77777777" w:rsidR="00610AF9" w:rsidRDefault="00000000">
      <w:pPr>
        <w:spacing w:after="160"/>
        <w:rPr>
          <w:color w:val="0070C0"/>
        </w:rPr>
      </w:pPr>
      <w:r>
        <w:rPr>
          <w:color w:val="FF0000"/>
        </w:rPr>
        <w:t xml:space="preserve">In both animals we did not find choice signal. </w:t>
      </w:r>
    </w:p>
    <w:p w14:paraId="00000019" w14:textId="77777777" w:rsidR="00610AF9" w:rsidRDefault="00000000">
      <w:pPr>
        <w:spacing w:after="160"/>
        <w:rPr>
          <w:color w:val="EE0000"/>
        </w:rPr>
      </w:pPr>
      <w:r>
        <w:rPr>
          <w:color w:val="0070C0"/>
        </w:rPr>
        <w:t>4. Opt-in Opt-out (Siyu can check)</w:t>
      </w:r>
    </w:p>
    <w:p w14:paraId="0000001A" w14:textId="77777777" w:rsidR="00610AF9" w:rsidRDefault="00000000">
      <w:pPr>
        <w:spacing w:after="160"/>
      </w:pPr>
      <w:r>
        <w:t>Other comments</w:t>
      </w:r>
      <w:r>
        <w:br/>
        <w:t xml:space="preserve"> 1. The cues in the task have visual similarities that co-vary with the delay and drops of juice. </w:t>
      </w:r>
      <w:r>
        <w:lastRenderedPageBreak/>
        <w:t>There are visually responsive neurons in dlPFC. Is it possible to at least partially isolate responses due the cue by examining when the same cue is in different "roles" (e.g., behind a purple vs yellow cue or when it's accepted vs rejected?)</w:t>
      </w:r>
    </w:p>
    <w:p w14:paraId="0000001B" w14:textId="77777777" w:rsidR="00610AF9" w:rsidRDefault="00000000">
      <w:pPr>
        <w:ind w:left="720"/>
        <w:rPr>
          <w:color w:val="0070C0"/>
        </w:rPr>
      </w:pPr>
      <w:r>
        <w:rPr>
          <w:color w:val="0070C0"/>
        </w:rPr>
        <w:t>1.</w:t>
      </w:r>
      <w:r>
        <w:rPr>
          <w:rFonts w:ascii="Times New Roman" w:eastAsia="Times New Roman" w:hAnsi="Times New Roman" w:cs="Times New Roman"/>
          <w:color w:val="0070C0"/>
          <w:sz w:val="14"/>
          <w:szCs w:val="14"/>
        </w:rPr>
        <w:t xml:space="preserve">      </w:t>
      </w:r>
      <w:r>
        <w:rPr>
          <w:color w:val="0070C0"/>
        </w:rPr>
        <w:t>Acknowledge the conceptual confound of visual vs delay/drop</w:t>
      </w:r>
    </w:p>
    <w:p w14:paraId="0000001C" w14:textId="77777777" w:rsidR="00610AF9" w:rsidRDefault="00000000">
      <w:pPr>
        <w:spacing w:after="160"/>
        <w:ind w:left="720"/>
        <w:rPr>
          <w:color w:val="0070C0"/>
        </w:rPr>
      </w:pPr>
      <w:r>
        <w:rPr>
          <w:color w:val="0070C0"/>
        </w:rPr>
        <w:t>2.</w:t>
      </w:r>
      <w:r>
        <w:rPr>
          <w:rFonts w:ascii="Times New Roman" w:eastAsia="Times New Roman" w:hAnsi="Times New Roman" w:cs="Times New Roman"/>
          <w:color w:val="0070C0"/>
          <w:sz w:val="14"/>
          <w:szCs w:val="14"/>
        </w:rPr>
        <w:t xml:space="preserve">      </w:t>
      </w:r>
      <w:r>
        <w:rPr>
          <w:color w:val="0070C0"/>
        </w:rPr>
        <w:t>Order of delay/drop suggests it’s more likely not a visual effect</w:t>
      </w:r>
    </w:p>
    <w:p w14:paraId="0000001D" w14:textId="77777777" w:rsidR="00610AF9" w:rsidRDefault="00000000">
      <w:pPr>
        <w:spacing w:after="160"/>
        <w:rPr>
          <w:color w:val="EE0000"/>
        </w:rPr>
      </w:pPr>
      <w:r>
        <w:rPr>
          <w:color w:val="EE0000"/>
        </w:rPr>
        <w:t xml:space="preserve">We thank the reviewer for this point. Because the cue set was constructed by recombining a limited set of simple geometric features encoding reward and delay, visual properties are inherently coupled to task variables. Therefore, as a partial control, we compared neuronal activity elicited by the same offer cue in trials in which the offer was ultimately accepted versus rejected. We did not observe significant differences between these conditions, indicating that the neuronal responses during the offer period were not modulated by the subsequent choice. We acknowledge, however, that this analysis does not rule out the possibility that part of the observed activity reflects visual processing of the cue, and we have added this point as a limitation in the manuscript. </w:t>
      </w:r>
    </w:p>
    <w:p w14:paraId="0000001E" w14:textId="77777777" w:rsidR="00610AF9" w:rsidRDefault="00000000">
      <w:pPr>
        <w:spacing w:after="160"/>
        <w:rPr>
          <w:color w:val="EE0000"/>
        </w:rPr>
      </w:pPr>
      <w:r>
        <w:rPr>
          <w:color w:val="EE0000"/>
        </w:rPr>
        <w:t xml:space="preserve">Please see lines ??-??.  </w:t>
      </w:r>
    </w:p>
    <w:p w14:paraId="0000001F" w14:textId="77777777" w:rsidR="00610AF9" w:rsidRDefault="00000000">
      <w:pPr>
        <w:spacing w:after="160"/>
      </w:pPr>
      <w:r>
        <w:t xml:space="preserve">2. The explanation (in words) of Model 2 was even more simple and straightforward in the methods, whereas it was a little </w:t>
      </w:r>
      <w:r>
        <w:rPr>
          <w:b/>
          <w:bCs/>
        </w:rPr>
        <w:t>hard to follow in the results.</w:t>
      </w:r>
      <w:r>
        <w:t xml:space="preserve"> Would recommend clarifying/rephrasing in the results.</w:t>
      </w:r>
    </w:p>
    <w:p w14:paraId="00000020" w14:textId="77777777" w:rsidR="00610AF9" w:rsidRDefault="00000000">
      <w:pPr>
        <w:shd w:val="clear" w:color="auto" w:fill="FFFFFF"/>
        <w:spacing w:line="48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We thank the reviewer for asking us to clarify this point. We have revised the Results section accordingly as follows: </w:t>
      </w:r>
    </w:p>
    <w:p w14:paraId="00000021" w14:textId="77777777" w:rsidR="00610AF9" w:rsidRDefault="00000000">
      <w:pPr>
        <w:shd w:val="clear" w:color="auto" w:fill="FFFFFF"/>
        <w:spacing w:line="480" w:lineRule="auto"/>
        <w:rPr>
          <w:i/>
          <w:iCs/>
          <w:color w:val="FF0000"/>
        </w:rPr>
      </w:pPr>
      <w:commentRangeStart w:id="0"/>
      <w:commentRangeStart w:id="1"/>
      <w:r>
        <w:rPr>
          <w:rFonts w:ascii="Times New Roman" w:eastAsia="Times New Roman" w:hAnsi="Times New Roman" w:cs="Times New Roman"/>
          <w:i/>
          <w:iCs/>
          <w:color w:val="FF0000"/>
          <w:sz w:val="24"/>
          <w:szCs w:val="24"/>
        </w:rPr>
        <w:t xml:space="preserve">The second simplistic strategy (Model 2; see Methods) assigns a bias directly to the go signal and chooses to accept if the combined value of the delayed reward offer and the go signal bias exceeds a threshold, and chooses to reject otherwise. The go signal bias approximates how much the go signal shifts the tendency to accept or reject an offer and assumes that this shift is independent of the offer value. In other words, the go signal produces the same increase or decrease in acceptance tendency for both favorable and unfavorable offers. </w:t>
      </w:r>
      <w:commentRangeEnd w:id="0"/>
      <w:r>
        <w:rPr>
          <w:rStyle w:val="CommentReference"/>
          <w:i/>
          <w:iCs/>
          <w:color w:val="FF0000"/>
          <w:sz w:val="22"/>
          <w:szCs w:val="22"/>
        </w:rPr>
        <w:commentReference w:id="0"/>
      </w:r>
      <w:commentRangeEnd w:id="1"/>
      <w:r w:rsidR="00097239">
        <w:rPr>
          <w:rStyle w:val="CommentReference"/>
          <w:i/>
          <w:iCs/>
          <w:color w:val="FF0000"/>
          <w:sz w:val="22"/>
          <w:szCs w:val="22"/>
        </w:rPr>
        <w:commentReference w:id="1"/>
      </w:r>
    </w:p>
    <w:p w14:paraId="00000022" w14:textId="77777777" w:rsidR="00610AF9" w:rsidRDefault="00000000">
      <w:pPr>
        <w:spacing w:after="160"/>
      </w:pPr>
      <w:r>
        <w:rPr>
          <w:color w:val="EE0000"/>
        </w:rPr>
        <w:br/>
      </w:r>
      <w:r>
        <w:t xml:space="preserve"> 3. The hand/bar icon on Figure 1 (and the difference between open and closed) is a bit hard to see and it made it a little confusing to initially understand the task.</w:t>
      </w:r>
      <w:r>
        <w:br/>
      </w:r>
    </w:p>
    <w:p w14:paraId="00000023" w14:textId="77777777" w:rsidR="00610AF9" w:rsidRDefault="00000000">
      <w:pPr>
        <w:spacing w:after="160"/>
        <w:rPr>
          <w:color w:val="EE0000"/>
        </w:rPr>
      </w:pPr>
      <w:r>
        <w:rPr>
          <w:color w:val="FF0000"/>
        </w:rPr>
        <w:t>We can make it larger, although we also write holding and release.</w:t>
      </w:r>
      <w:r>
        <w:t xml:space="preserve"> </w:t>
      </w:r>
      <w:r>
        <w:rPr>
          <w:color w:val="EE0000"/>
        </w:rPr>
        <w:br/>
      </w:r>
      <w:r>
        <w:rPr>
          <w:color w:val="EE0000"/>
        </w:rPr>
        <w:br/>
      </w:r>
      <w:r>
        <w:rPr>
          <w:color w:val="EE0000"/>
        </w:rPr>
        <w:br/>
      </w:r>
    </w:p>
    <w:p w14:paraId="6A3B6DF6" w14:textId="77777777" w:rsidR="003E724E" w:rsidRDefault="00000000" w:rsidP="004A0E6E">
      <w:r>
        <w:rPr>
          <w:b/>
          <w:bCs/>
        </w:rPr>
        <w:lastRenderedPageBreak/>
        <w:t>Reviewer #2:</w:t>
      </w:r>
      <w:r>
        <w:t xml:space="preserve">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w:t>
      </w:r>
    </w:p>
    <w:p w14:paraId="66B84B6B" w14:textId="77777777" w:rsidR="003E724E" w:rsidRDefault="00000000" w:rsidP="003E724E">
      <w:pPr>
        <w:rPr>
          <w:color w:val="0070C0"/>
        </w:rPr>
      </w:pPr>
      <w:r>
        <w:t>improve the interpretation of the results.</w:t>
      </w:r>
      <w:r>
        <w:br/>
      </w:r>
    </w:p>
    <w:p w14:paraId="623135B6" w14:textId="5F30B771" w:rsidR="003E724E" w:rsidRPr="003E724E" w:rsidRDefault="003E724E" w:rsidP="004A0E6E">
      <w:pPr>
        <w:rPr>
          <w:color w:val="0070C0"/>
        </w:rPr>
      </w:pPr>
      <w:r>
        <w:rPr>
          <w:color w:val="0070C0"/>
        </w:rPr>
        <w:t>We thank the reviewer for carefully reviewing our manuscript.</w:t>
      </w:r>
      <w:r w:rsidR="00560F8B">
        <w:rPr>
          <w:color w:val="0070C0"/>
        </w:rPr>
        <w:t xml:space="preserve"> We have substantially modified the methods section of the paper, to improve clarity in both the behavioral modeling, and population-based neural analysis. </w:t>
      </w:r>
    </w:p>
    <w:p w14:paraId="7810E274" w14:textId="77777777" w:rsidR="00D8124C" w:rsidRDefault="004A0E6E" w:rsidP="00D8124C">
      <w:r w:rsidRPr="009D215E">
        <w:br/>
        <w:t>1. Clarification of the computational models</w:t>
      </w:r>
      <w:r w:rsidRPr="009D215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4E2D775C" w14:textId="77777777" w:rsidR="00D8124C" w:rsidRDefault="00D8124C" w:rsidP="00D8124C"/>
    <w:p w14:paraId="625946E8" w14:textId="52C7F53A" w:rsidR="00D8124C" w:rsidRDefault="00D8124C" w:rsidP="004A0E6E">
      <w:pPr>
        <w:rPr>
          <w:color w:val="0070C0"/>
        </w:rPr>
      </w:pPr>
      <w:r>
        <w:rPr>
          <w:color w:val="0070C0"/>
        </w:rPr>
        <w:t xml:space="preserve">We thank the reviewer for carefully assessing our behavioral models. We have unified the notations across models to minimize confusion. </w:t>
      </w:r>
      <w:r w:rsidR="00AE77D4">
        <w:rPr>
          <w:color w:val="0070C0"/>
        </w:rPr>
        <w:t xml:space="preserve">In addition, we added a paragraph to describe the common features </w:t>
      </w:r>
      <w:r w:rsidR="00AD4B99">
        <w:rPr>
          <w:color w:val="0070C0"/>
        </w:rPr>
        <w:t>of</w:t>
      </w:r>
      <w:r w:rsidR="00AE77D4">
        <w:rPr>
          <w:color w:val="0070C0"/>
        </w:rPr>
        <w:t xml:space="preserve"> the three models, before </w:t>
      </w:r>
      <w:r w:rsidR="009C5E43">
        <w:rPr>
          <w:color w:val="0070C0"/>
        </w:rPr>
        <w:t xml:space="preserve">diving into each one. </w:t>
      </w:r>
    </w:p>
    <w:p w14:paraId="14ADFCAD" w14:textId="77777777" w:rsidR="009C5E43" w:rsidRDefault="009C5E43" w:rsidP="004A0E6E">
      <w:pPr>
        <w:rPr>
          <w:color w:val="0070C0"/>
        </w:rPr>
      </w:pPr>
    </w:p>
    <w:p w14:paraId="7CE9FD3B" w14:textId="77777777" w:rsidR="006C7F4C" w:rsidRPr="006C7F4C" w:rsidRDefault="009C5E43" w:rsidP="006C7F4C">
      <w:pPr>
        <w:spacing w:line="480" w:lineRule="auto"/>
        <w:ind w:firstLine="360"/>
        <w:rPr>
          <w:rFonts w:ascii="Times New Roman" w:eastAsia="Times New Roman" w:hAnsi="Times New Roman" w:cs="Times New Roman"/>
          <w:color w:val="0070C0"/>
          <w:sz w:val="24"/>
          <w:szCs w:val="24"/>
        </w:rPr>
      </w:pPr>
      <w:r w:rsidRPr="006C7F4C">
        <w:rPr>
          <w:color w:val="0070C0"/>
        </w:rPr>
        <w:t>“</w:t>
      </w:r>
      <w:r w:rsidR="006C7F4C" w:rsidRPr="006C7F4C">
        <w:rPr>
          <w:rFonts w:ascii="Times New Roman" w:eastAsia="Times New Roman" w:hAnsi="Times New Roman" w:cs="Times New Roman"/>
          <w:color w:val="0070C0"/>
          <w:sz w:val="24"/>
          <w:szCs w:val="24"/>
        </w:rPr>
        <w:t xml:space="preserve">. </w:t>
      </w:r>
    </w:p>
    <w:p w14:paraId="37A4CBE0" w14:textId="77777777" w:rsidR="006C7F4C" w:rsidRPr="006C7F4C" w:rsidRDefault="006C7F4C" w:rsidP="006C7F4C">
      <w:pPr>
        <w:spacing w:line="480" w:lineRule="auto"/>
        <w:rPr>
          <w:rFonts w:ascii="Times New Roman" w:eastAsia="Times New Roman" w:hAnsi="Times New Roman" w:cs="Times New Roman"/>
          <w:color w:val="0070C0"/>
          <w:sz w:val="24"/>
          <w:szCs w:val="24"/>
        </w:rPr>
      </w:pPr>
      <w:r w:rsidRPr="006C7F4C">
        <w:rPr>
          <w:rFonts w:ascii="Times New Roman" w:eastAsia="Times New Roman" w:hAnsi="Times New Roman" w:cs="Times New Roman"/>
          <w:color w:val="0070C0"/>
          <w:sz w:val="24"/>
          <w:szCs w:val="24"/>
        </w:rPr>
        <w:t xml:space="preserve">We fitted and compared three behavioral models. Model 1 is a baseline model which assumes that temporal-discounting decisions are made independent of the go-signal, whereas Model 2 and Model 3 make different assumptions about how the go-signal modulates values and decisions. Maximum likelihood estimation was used to estimate the parameters in all models.  </w:t>
      </w:r>
    </w:p>
    <w:p w14:paraId="482E2B90" w14:textId="77777777" w:rsidR="006C7F4C" w:rsidRPr="006C7F4C" w:rsidRDefault="006C7F4C" w:rsidP="006C7F4C">
      <w:pPr>
        <w:spacing w:line="480" w:lineRule="auto"/>
        <w:ind w:firstLine="360"/>
        <w:rPr>
          <w:rFonts w:ascii="Times New Roman" w:eastAsia="Times New Roman" w:hAnsi="Times New Roman" w:cs="Times New Roman"/>
          <w:color w:val="0070C0"/>
          <w:sz w:val="24"/>
          <w:szCs w:val="24"/>
        </w:rPr>
      </w:pPr>
      <w:r w:rsidRPr="006C7F4C">
        <w:rPr>
          <w:rFonts w:ascii="Times New Roman" w:eastAsia="Times New Roman" w:hAnsi="Times New Roman" w:cs="Times New Roman"/>
          <w:color w:val="0070C0"/>
          <w:sz w:val="24"/>
          <w:szCs w:val="24"/>
        </w:rPr>
        <w:t xml:space="preserve">In all three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6C7F4C">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6C7F4C">
        <w:rPr>
          <w:rFonts w:ascii="Times New Roman" w:eastAsia="Times New Roman" w:hAnsi="Times New Roman" w:cs="Times New Roman"/>
          <w:color w:val="0070C0"/>
          <w:sz w:val="24"/>
          <w:szCs w:val="24"/>
        </w:rPr>
        <w:t xml:space="preserve">, and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6C7F4C">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6C7F4C">
        <w:rPr>
          <w:rFonts w:ascii="Times New Roman" w:eastAsia="Times New Roman" w:hAnsi="Times New Roman" w:cs="Times New Roman"/>
          <w:color w:val="0070C0"/>
          <w:sz w:val="24"/>
          <w:szCs w:val="24"/>
        </w:rPr>
        <w:t xml:space="preserve"> using the softmax rule:</w:t>
      </w:r>
    </w:p>
    <w:p w14:paraId="2E4A0F53" w14:textId="77777777" w:rsidR="006C7F4C" w:rsidRPr="006C7F4C" w:rsidRDefault="006C7F4C" w:rsidP="006C7F4C">
      <w:pPr>
        <w:jc w:val="center"/>
        <w:rPr>
          <w:rFonts w:ascii="Cambria Math" w:eastAsia="Cambria Math" w:hAnsi="Cambria Math" w:cs="Cambria Math"/>
          <w:color w:val="0070C0"/>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6A3ABF16" w14:textId="77777777" w:rsidR="006C7F4C" w:rsidRPr="006C7F4C" w:rsidRDefault="006C7F4C" w:rsidP="006C7F4C">
      <w:pPr>
        <w:rPr>
          <w:rFonts w:ascii="Cambria Math" w:eastAsia="Cambria Math" w:hAnsi="Cambria Math" w:cs="Cambria Math"/>
          <w:color w:val="0070C0"/>
        </w:rPr>
      </w:pPr>
      <w:r w:rsidRPr="006C7F4C">
        <w:rPr>
          <w:rFonts w:ascii="Cambria Math" w:eastAsia="Cambria Math" w:hAnsi="Cambria Math" w:cs="Cambria Math"/>
          <w:color w:val="0070C0"/>
        </w:rPr>
        <w:lastRenderedPageBreak/>
        <w:t xml:space="preserve">Here, </w:t>
      </w:r>
      <m:oMath>
        <m:r>
          <w:rPr>
            <w:rFonts w:ascii="Cambria Math" w:eastAsia="Cambria Math" w:hAnsi="Cambria Math" w:cs="Cambria Math"/>
            <w:color w:val="0070C0"/>
          </w:rPr>
          <m:t>σ</m:t>
        </m:r>
      </m:oMath>
      <w:r w:rsidRPr="006C7F4C">
        <w:rPr>
          <w:rFonts w:ascii="Times New Roman" w:eastAsia="Times New Roman" w:hAnsi="Times New Roman" w:cs="Times New Roman"/>
          <w:color w:val="0070C0"/>
          <w:sz w:val="24"/>
          <w:szCs w:val="24"/>
        </w:rPr>
        <w:t xml:space="preserve"> is the decision noise parameter that captures choice stochasticity. </w:t>
      </w:r>
    </w:p>
    <w:p w14:paraId="6AC1AA52" w14:textId="77777777" w:rsidR="006C7F4C" w:rsidRPr="006C7F4C" w:rsidRDefault="006C7F4C" w:rsidP="006C7F4C">
      <w:pPr>
        <w:spacing w:line="480" w:lineRule="auto"/>
        <w:ind w:firstLine="360"/>
        <w:rPr>
          <w:rFonts w:ascii="Times New Roman" w:eastAsia="Times New Roman" w:hAnsi="Times New Roman" w:cs="Times New Roman"/>
          <w:color w:val="0070C0"/>
          <w:sz w:val="24"/>
          <w:szCs w:val="24"/>
        </w:rPr>
      </w:pPr>
      <w:r w:rsidRPr="006C7F4C">
        <w:rPr>
          <w:rFonts w:ascii="Times New Roman" w:eastAsia="Times New Roman" w:hAnsi="Times New Roman" w:cs="Times New Roman"/>
          <w:color w:val="0070C0"/>
          <w:sz w:val="24"/>
          <w:szCs w:val="24"/>
        </w:rPr>
        <w:t xml:space="preserve">Hyperbolic discounting is used to estimate temporally discounted values. A reward </w:t>
      </w:r>
      <m:oMath>
        <m:r>
          <w:rPr>
            <w:rFonts w:ascii="Cambria Math" w:eastAsia="Times New Roman" w:hAnsi="Cambria Math" w:cs="Times New Roman"/>
            <w:color w:val="0070C0"/>
            <w:sz w:val="24"/>
            <w:szCs w:val="24"/>
          </w:rPr>
          <m:t>R</m:t>
        </m:r>
      </m:oMath>
      <w:r w:rsidRPr="006C7F4C">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6C7F4C">
        <w:rPr>
          <w:rFonts w:ascii="Times New Roman" w:eastAsia="Times New Roman" w:hAnsi="Times New Roman" w:cs="Times New Roman"/>
          <w:color w:val="0070C0"/>
          <w:sz w:val="24"/>
          <w:szCs w:val="24"/>
        </w:rPr>
        <w:t xml:space="preserve"> is assumed to have temporally discounted value </w:t>
      </w:r>
      <m:oMath>
        <m:r>
          <w:rPr>
            <w:rFonts w:ascii="Cambria Math" w:eastAsia="Cambria Math" w:hAnsi="Cambria Math" w:cs="Cambria Math"/>
            <w:color w:val="0070C0"/>
          </w:rPr>
          <m:t>DV</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22B00B3F" w14:textId="77777777" w:rsidR="006C7F4C" w:rsidRPr="006C7F4C" w:rsidRDefault="006C7F4C" w:rsidP="006C7F4C">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DV</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5BDC1B0A" w14:textId="6C881989" w:rsidR="00CE64AB" w:rsidRPr="006C7F4C" w:rsidRDefault="006C7F4C" w:rsidP="006C7F4C">
      <w:pPr>
        <w:spacing w:line="480" w:lineRule="auto"/>
        <w:rPr>
          <w:rFonts w:ascii="Times New Roman" w:eastAsia="Times New Roman" w:hAnsi="Times New Roman" w:cs="Times New Roman"/>
          <w:color w:val="0070C0"/>
          <w:sz w:val="24"/>
          <w:szCs w:val="24"/>
        </w:rPr>
      </w:pPr>
      <w:r w:rsidRPr="006C7F4C">
        <w:rPr>
          <w:rFonts w:ascii="Cambria Math" w:eastAsia="Times New Roman" w:hAnsi="Cambria Math" w:cs="Times New Roman"/>
          <w:color w:val="0070C0"/>
        </w:rPr>
        <w:t>𝑤here</w:t>
      </w:r>
      <w:r w:rsidRPr="006C7F4C">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6C7F4C">
        <w:rPr>
          <w:rFonts w:ascii="Times New Roman" w:eastAsia="Times New Roman" w:hAnsi="Times New Roman" w:cs="Times New Roman"/>
          <w:color w:val="0070C0"/>
          <w:sz w:val="24"/>
          <w:szCs w:val="24"/>
        </w:rPr>
        <w:t xml:space="preserve"> is the hyperbolic discounting parameter.</w:t>
      </w:r>
      <w:r w:rsidR="00CE64AB" w:rsidRPr="006C7F4C">
        <w:rPr>
          <w:rFonts w:ascii="Times New Roman" w:eastAsia="Times New Roman" w:hAnsi="Times New Roman" w:cs="Times New Roman"/>
          <w:color w:val="0070C0"/>
          <w:sz w:val="24"/>
          <w:szCs w:val="24"/>
        </w:rPr>
        <w:t xml:space="preserve"> </w:t>
      </w:r>
    </w:p>
    <w:p w14:paraId="68A1F126" w14:textId="6001BFC2" w:rsidR="009C5E43" w:rsidRDefault="009C5E43" w:rsidP="004A0E6E">
      <w:r>
        <w:rPr>
          <w:color w:val="0070C0"/>
        </w:rPr>
        <w:t>”</w:t>
      </w:r>
    </w:p>
    <w:p w14:paraId="4B676249" w14:textId="6AD75809" w:rsidR="00A63C77" w:rsidRPr="00A63C77" w:rsidRDefault="004A0E6E" w:rsidP="004A0E6E">
      <w:r w:rsidRPr="00A63C77">
        <w:br/>
        <w:t>First, the baseline model, which does not incorporate a go-signal-dependent decision process, does not appear to be a reinforcement-learning model as currently described. Rather, it seems to be identical to Model 1, with the parameters V, θ, and β replaced by DV, θ, and σ, respectively. In addition, in Model 1, if the discounted value is being compared against a decision threshold, the exponent term would seem more naturally expressed as DV-θ, rather than -V-θ.</w:t>
      </w:r>
    </w:p>
    <w:p w14:paraId="20DF07FC" w14:textId="77777777" w:rsidR="00A63C77" w:rsidRDefault="00A63C77" w:rsidP="004A0E6E"/>
    <w:p w14:paraId="60EBF517" w14:textId="27C1145E" w:rsidR="004A0E6E" w:rsidRDefault="00A63C77" w:rsidP="004A0E6E">
      <w:pPr>
        <w:rPr>
          <w:color w:val="0070C0"/>
        </w:rPr>
      </w:pPr>
      <w:r>
        <w:rPr>
          <w:color w:val="0070C0"/>
        </w:rPr>
        <w:t xml:space="preserve">We thank the reviewer for carefully examining our behavioral models. The reviewer is correct that the “baseline model” in Figure 2 is equivalent to “Model 1” in Figure 4. The reviewer is also correct that this is not a reinforcement learning model, but rather a </w:t>
      </w:r>
      <w:r w:rsidR="005956AC">
        <w:rPr>
          <w:color w:val="0070C0"/>
        </w:rPr>
        <w:t xml:space="preserve">simple </w:t>
      </w:r>
      <w:r>
        <w:rPr>
          <w:color w:val="0070C0"/>
        </w:rPr>
        <w:t xml:space="preserve">decision-making model. We have </w:t>
      </w:r>
      <w:r w:rsidR="00921DEA">
        <w:rPr>
          <w:color w:val="0070C0"/>
        </w:rPr>
        <w:t>modified</w:t>
      </w:r>
      <w:r>
        <w:rPr>
          <w:color w:val="0070C0"/>
        </w:rPr>
        <w:t xml:space="preserve"> the manuscript </w:t>
      </w:r>
      <w:r w:rsidR="008A4D56">
        <w:rPr>
          <w:color w:val="0070C0"/>
        </w:rPr>
        <w:t>to improve clarity</w:t>
      </w:r>
      <w:r w:rsidR="009F3863">
        <w:rPr>
          <w:color w:val="0070C0"/>
        </w:rPr>
        <w:t>, see below</w:t>
      </w:r>
      <w:r>
        <w:rPr>
          <w:color w:val="0070C0"/>
        </w:rPr>
        <w:t>:</w:t>
      </w:r>
    </w:p>
    <w:p w14:paraId="3FED0663" w14:textId="77777777" w:rsidR="00A63C77" w:rsidRDefault="00A63C77" w:rsidP="004A0E6E">
      <w:pPr>
        <w:rPr>
          <w:color w:val="0070C0"/>
        </w:rPr>
      </w:pPr>
    </w:p>
    <w:p w14:paraId="5900032F" w14:textId="77777777" w:rsidR="00AC4E33" w:rsidRPr="00CC2F32" w:rsidRDefault="00B56FDC" w:rsidP="00AC4E33">
      <w:pPr>
        <w:spacing w:line="480" w:lineRule="auto"/>
        <w:rPr>
          <w:rFonts w:ascii="Times New Roman" w:eastAsia="Times New Roman" w:hAnsi="Times New Roman" w:cs="Times New Roman"/>
          <w:sz w:val="24"/>
          <w:szCs w:val="24"/>
        </w:rPr>
      </w:pPr>
      <w:r w:rsidRPr="008F5372">
        <w:rPr>
          <w:color w:val="0070C0"/>
        </w:rPr>
        <w:t>“</w:t>
      </w:r>
    </w:p>
    <w:p w14:paraId="7086F95D" w14:textId="77777777" w:rsidR="00AC4E33" w:rsidRPr="00AC4E33" w:rsidRDefault="00AC4E33" w:rsidP="00AC4E33">
      <w:pPr>
        <w:numPr>
          <w:ilvl w:val="0"/>
          <w:numId w:val="1"/>
        </w:numPr>
        <w:pBdr>
          <w:top w:val="nil"/>
          <w:left w:val="nil"/>
          <w:bottom w:val="nil"/>
          <w:right w:val="nil"/>
          <w:between w:val="nil"/>
        </w:pBdr>
        <w:shd w:val="clear" w:color="auto" w:fill="FFFFFF"/>
        <w:tabs>
          <w:tab w:val="left" w:pos="270"/>
        </w:tabs>
        <w:spacing w:line="480" w:lineRule="auto"/>
        <w:ind w:left="0" w:firstLine="0"/>
        <w:rPr>
          <w:rFonts w:ascii="Times New Roman" w:eastAsia="Times New Roman" w:hAnsi="Times New Roman" w:cs="Times New Roman"/>
          <w:b/>
          <w:bCs/>
          <w:color w:val="0070C0"/>
          <w:sz w:val="24"/>
          <w:szCs w:val="24"/>
        </w:rPr>
      </w:pPr>
      <w:r w:rsidRPr="00AC4E33">
        <w:rPr>
          <w:rFonts w:ascii="Times New Roman" w:eastAsia="Times New Roman" w:hAnsi="Times New Roman" w:cs="Times New Roman"/>
          <w:b/>
          <w:bCs/>
          <w:color w:val="0070C0"/>
          <w:sz w:val="24"/>
          <w:szCs w:val="24"/>
        </w:rPr>
        <w:t>Model 1</w:t>
      </w:r>
    </w:p>
    <w:p w14:paraId="05195615" w14:textId="77777777" w:rsidR="00AC4E33" w:rsidRPr="00AC4E33" w:rsidRDefault="00AC4E33" w:rsidP="00AC4E33">
      <w:pPr>
        <w:spacing w:line="480" w:lineRule="auto"/>
        <w:rPr>
          <w:rFonts w:ascii="Times New Roman" w:eastAsia="Times New Roman" w:hAnsi="Times New Roman" w:cs="Times New Roman"/>
          <w:color w:val="0070C0"/>
          <w:sz w:val="24"/>
          <w:szCs w:val="24"/>
        </w:rPr>
      </w:pPr>
      <w:r w:rsidRPr="00AC4E33">
        <w:rPr>
          <w:rFonts w:ascii="Times New Roman" w:eastAsia="Times New Roman" w:hAnsi="Times New Roman" w:cs="Times New Roman"/>
          <w:color w:val="0070C0"/>
          <w:sz w:val="24"/>
          <w:szCs w:val="24"/>
        </w:rPr>
        <w:t xml:space="preserve">The temporally discounted values are computed for each of the 9 cues as </w:t>
      </w:r>
    </w:p>
    <w:p w14:paraId="38080952" w14:textId="77777777" w:rsidR="00AC4E33" w:rsidRPr="00AC4E33" w:rsidRDefault="00AC4E33" w:rsidP="00AC4E33">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m:t>DV</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275A5047" w14:textId="77777777" w:rsidR="00AC4E33" w:rsidRPr="00AC4E33" w:rsidRDefault="00AC4E33" w:rsidP="00AC4E33">
      <w:pPr>
        <w:spacing w:line="480" w:lineRule="auto"/>
        <w:rPr>
          <w:rFonts w:ascii="Times New Roman" w:eastAsia="Times New Roman" w:hAnsi="Times New Roman" w:cs="Times New Roman"/>
          <w:color w:val="0070C0"/>
          <w:sz w:val="24"/>
          <w:szCs w:val="24"/>
        </w:rPr>
      </w:pPr>
      <w:r w:rsidRPr="00AC4E33">
        <w:rPr>
          <w:rFonts w:ascii="Times New Roman" w:eastAsia="Times New Roman" w:hAnsi="Times New Roman" w:cs="Times New Roman"/>
          <w:color w:val="0070C0"/>
          <w:sz w:val="24"/>
          <w:szCs w:val="24"/>
        </w:rPr>
        <w:t xml:space="preserve">for the drop and delay associated with each cue.  </w:t>
      </w:r>
    </w:p>
    <w:p w14:paraId="4EC68431" w14:textId="77777777" w:rsidR="00AC4E33" w:rsidRPr="00AC4E33" w:rsidRDefault="00AC4E33" w:rsidP="00AC4E33">
      <w:pPr>
        <w:spacing w:line="480" w:lineRule="auto"/>
        <w:rPr>
          <w:rFonts w:ascii="Times New Roman" w:eastAsia="Times New Roman" w:hAnsi="Times New Roman" w:cs="Times New Roman"/>
          <w:color w:val="0070C0"/>
          <w:sz w:val="24"/>
          <w:szCs w:val="24"/>
        </w:rPr>
      </w:pPr>
      <w:r w:rsidRPr="00AC4E33">
        <w:rPr>
          <w:rFonts w:ascii="Times New Roman" w:eastAsia="Times New Roman" w:hAnsi="Times New Roman" w:cs="Times New Roman"/>
          <w:color w:val="0070C0"/>
          <w:sz w:val="24"/>
          <w:szCs w:val="24"/>
        </w:rPr>
        <w:t xml:space="preserve">In Model 1, we assume that accept/reject decisions are made by comparing the temporally discounted value DV against a decision threshold </w:t>
      </w:r>
      <m:oMath>
        <m:r>
          <w:rPr>
            <w:rFonts w:ascii="Cambria Math" w:eastAsia="Cambria Math" w:hAnsi="Cambria Math" w:cs="Cambria Math"/>
            <w:color w:val="0070C0"/>
          </w:rPr>
          <m:t>θ</m:t>
        </m:r>
      </m:oMath>
      <w:r w:rsidRPr="00AC4E33">
        <w:rPr>
          <w:rFonts w:ascii="Times New Roman" w:eastAsia="Times New Roman" w:hAnsi="Times New Roman" w:cs="Times New Roman"/>
          <w:color w:val="0070C0"/>
        </w:rPr>
        <w:t xml:space="preserve">. </w:t>
      </w:r>
      <w:r w:rsidRPr="00AC4E33">
        <w:rPr>
          <w:rFonts w:ascii="Times New Roman" w:eastAsia="Times New Roman" w:hAnsi="Times New Roman" w:cs="Times New Roman"/>
          <w:color w:val="0070C0"/>
          <w:sz w:val="24"/>
          <w:szCs w:val="24"/>
        </w:rPr>
        <w:t xml:space="preserve">Animals will be more likely to accept an offer when DV is above θ, and more likely to reject otherwise. </w:t>
      </w:r>
    </w:p>
    <w:p w14:paraId="30CA21D2" w14:textId="77777777" w:rsidR="00AC4E33" w:rsidRPr="00AC4E33" w:rsidRDefault="00AC4E33" w:rsidP="00AC4E33">
      <w:pPr>
        <w:spacing w:line="480" w:lineRule="auto"/>
        <w:rPr>
          <w:rFonts w:ascii="Times New Roman" w:eastAsia="Times New Roman" w:hAnsi="Times New Roman" w:cs="Times New Roman"/>
          <w:color w:val="0070C0"/>
          <w:sz w:val="24"/>
          <w:szCs w:val="24"/>
        </w:rPr>
      </w:pPr>
      <w:r w:rsidRPr="00AC4E33">
        <w:rPr>
          <w:rFonts w:ascii="Times New Roman" w:eastAsia="Times New Roman" w:hAnsi="Times New Roman" w:cs="Times New Roman"/>
          <w:color w:val="0070C0"/>
          <w:sz w:val="24"/>
          <w:szCs w:val="24"/>
        </w:rPr>
        <w:t xml:space="preserve">In other words,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=DV(drop, delay)</m:t>
        </m:r>
      </m:oMath>
      <w:r w:rsidRPr="00AC4E33">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AC4E33">
        <w:rPr>
          <w:rFonts w:ascii="Times New Roman" w:eastAsia="Times New Roman" w:hAnsi="Times New Roman" w:cs="Times New Roman"/>
          <w:color w:val="0070C0"/>
          <w:sz w:val="24"/>
          <w:szCs w:val="24"/>
        </w:rPr>
        <w:t xml:space="preserv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AC4E33">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oMath>
      <w:r w:rsidRPr="00AC4E33">
        <w:rPr>
          <w:rFonts w:ascii="Times New Roman" w:eastAsia="Times New Roman" w:hAnsi="Times New Roman" w:cs="Times New Roman"/>
          <w:color w:val="0070C0"/>
          <w:sz w:val="24"/>
          <w:szCs w:val="24"/>
        </w:rPr>
        <w:t>, we have</w:t>
      </w:r>
    </w:p>
    <w:p w14:paraId="55803CD8" w14:textId="77777777" w:rsidR="00AC4E33" w:rsidRPr="00AC4E33" w:rsidRDefault="00AC4E33" w:rsidP="00AC4E33">
      <w:pPr>
        <w:spacing w:after="200"/>
        <w:jc w:val="center"/>
        <w:rPr>
          <w:rFonts w:ascii="Times New Roman" w:eastAsia="Times New Roman" w:hAnsi="Times New Roman" w:cs="Times New Roman"/>
          <w:color w:val="0070C0"/>
          <w:sz w:val="24"/>
          <w:szCs w:val="24"/>
        </w:rPr>
      </w:pPr>
      <m:oMathPara>
        <m:oMath>
          <m:r>
            <w:rPr>
              <w:rFonts w:ascii="Cambria Math" w:eastAsia="Cambria Math" w:hAnsi="Cambria Math" w:cs="Cambria Math"/>
              <w:color w:val="0070C0"/>
            </w:rPr>
            <w:lastRenderedPageBreak/>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m:oMathPara>
    </w:p>
    <w:p w14:paraId="41702B25" w14:textId="33AB1637" w:rsidR="0068781C" w:rsidRPr="0068781C" w:rsidRDefault="0068781C" w:rsidP="00AC4E33">
      <w:pPr>
        <w:spacing w:line="480" w:lineRule="auto"/>
        <w:rPr>
          <w:color w:val="0070C0"/>
        </w:rPr>
      </w:pPr>
    </w:p>
    <w:p w14:paraId="3AFADFA5" w14:textId="0807A11E" w:rsidR="00A63C77" w:rsidRPr="008F5372" w:rsidRDefault="00B56FDC" w:rsidP="00B56FDC">
      <w:pPr>
        <w:rPr>
          <w:color w:val="0070C0"/>
        </w:rPr>
      </w:pPr>
      <w:r w:rsidRPr="008F5372">
        <w:rPr>
          <w:color w:val="0070C0"/>
        </w:rPr>
        <w:t>”</w:t>
      </w:r>
    </w:p>
    <w:p w14:paraId="1A62F1E6" w14:textId="77777777" w:rsidR="00A63C77" w:rsidRDefault="00A63C77" w:rsidP="004A0E6E"/>
    <w:p w14:paraId="57266911" w14:textId="77777777" w:rsidR="004A0E6E" w:rsidRDefault="004A0E6E" w:rsidP="004A0E6E">
      <w:r w:rsidRPr="009D215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w:t>
      </w:r>
      <w:r>
        <w:t xml:space="preserve"> </w:t>
      </w:r>
      <w:r w:rsidRPr="009D215E">
        <w:t xml:space="preserve">as the exponent of the softmax function. </w:t>
      </w:r>
    </w:p>
    <w:p w14:paraId="779998B9" w14:textId="77777777" w:rsidR="004A0E6E" w:rsidRPr="00F45A7C" w:rsidRDefault="004A0E6E" w:rsidP="004A0E6E">
      <w:r w:rsidRPr="00F45A7C">
        <w:t xml:space="preserve">This expression is difficult to interpret because U is not defined, and β is also used as the inverse-temperature parameter in the baseline model. To improve clarity, the authors may wish to define all variables explicitly and use distinct notation for different quantities. </w:t>
      </w:r>
    </w:p>
    <w:p w14:paraId="5A84F275" w14:textId="77777777" w:rsidR="004A0E6E" w:rsidRDefault="004A0E6E" w:rsidP="004A0E6E">
      <w:r w:rsidRPr="009D215E">
        <w:t>If the intended model is a threshold-based comparison of a bias-modulated discounted value, the exponent might be more clearly written as:</w:t>
      </w:r>
      <w:r w:rsidRPr="009D215E">
        <w:br/>
        <w:t>(DV±Bias-θ)/σ</w:t>
      </w:r>
      <w:r w:rsidRPr="009D215E">
        <w:br/>
      </w:r>
      <w:r w:rsidRPr="009D215E">
        <w:br/>
        <w:t>where DV</w:t>
      </w:r>
      <w:r>
        <w:t xml:space="preserve"> </w:t>
      </w:r>
      <w:r w:rsidRPr="009D215E">
        <w:t>is the discounted value, Bias</w:t>
      </w:r>
      <w:r>
        <w:t xml:space="preserve"> </w:t>
      </w:r>
      <w:r w:rsidRPr="009D215E">
        <w:t>is the go-signal-dependent bias, θ</w:t>
      </w:r>
      <w:r>
        <w:t xml:space="preserve"> </w:t>
      </w:r>
      <w:r w:rsidRPr="009D215E">
        <w:t>is the decision threshold, and σ</w:t>
      </w:r>
      <w:r>
        <w:t xml:space="preserve"> </w:t>
      </w:r>
      <w:r w:rsidRPr="009D215E">
        <w:t>controls choice stochasticity.</w:t>
      </w:r>
    </w:p>
    <w:p w14:paraId="01C425E5" w14:textId="77777777" w:rsidR="00F45A7C" w:rsidRDefault="00F45A7C" w:rsidP="004A0E6E"/>
    <w:p w14:paraId="5D3AB364" w14:textId="77777777" w:rsidR="00B760A3" w:rsidRDefault="00F45A7C" w:rsidP="004A0E6E">
      <w:pPr>
        <w:rPr>
          <w:color w:val="0070C0"/>
        </w:rPr>
      </w:pPr>
      <w:r>
        <w:rPr>
          <w:color w:val="0070C0"/>
        </w:rPr>
        <w:t xml:space="preserve">We apologize for the </w:t>
      </w:r>
      <w:r w:rsidR="00511D22">
        <w:rPr>
          <w:color w:val="0070C0"/>
        </w:rPr>
        <w:t>lack of clarity in our description. The reviewer understood our model correctly. We have</w:t>
      </w:r>
      <w:r w:rsidR="00B760A3">
        <w:rPr>
          <w:color w:val="0070C0"/>
        </w:rPr>
        <w:t xml:space="preserve"> modified the manuscript to improve the clarity:</w:t>
      </w:r>
    </w:p>
    <w:p w14:paraId="2E2E5567" w14:textId="77777777" w:rsidR="00B760A3" w:rsidRDefault="00B760A3" w:rsidP="004A0E6E">
      <w:pPr>
        <w:rPr>
          <w:color w:val="0070C0"/>
        </w:rPr>
      </w:pPr>
    </w:p>
    <w:p w14:paraId="7D8B1B79" w14:textId="77777777" w:rsidR="008D00E8" w:rsidRPr="008D00E8" w:rsidRDefault="00B760A3" w:rsidP="008D00E8">
      <w:pPr>
        <w:numPr>
          <w:ilvl w:val="0"/>
          <w:numId w:val="1"/>
        </w:numPr>
        <w:pBdr>
          <w:top w:val="nil"/>
          <w:left w:val="nil"/>
          <w:bottom w:val="nil"/>
          <w:right w:val="nil"/>
          <w:between w:val="nil"/>
        </w:pBdr>
        <w:shd w:val="clear" w:color="auto" w:fill="FFFFFF"/>
        <w:tabs>
          <w:tab w:val="left" w:pos="270"/>
        </w:tabs>
        <w:spacing w:line="480" w:lineRule="auto"/>
        <w:ind w:left="0" w:firstLine="0"/>
        <w:rPr>
          <w:rFonts w:ascii="Times New Roman" w:eastAsia="Times New Roman" w:hAnsi="Times New Roman" w:cs="Times New Roman"/>
          <w:b/>
          <w:bCs/>
          <w:color w:val="0070C0"/>
          <w:sz w:val="24"/>
          <w:szCs w:val="24"/>
        </w:rPr>
      </w:pPr>
      <w:r>
        <w:rPr>
          <w:color w:val="0070C0"/>
        </w:rPr>
        <w:t>“</w:t>
      </w:r>
    </w:p>
    <w:p w14:paraId="5CA9DA01" w14:textId="77777777" w:rsidR="008D00E8" w:rsidRPr="008D00E8" w:rsidRDefault="008D00E8" w:rsidP="008D00E8">
      <w:pPr>
        <w:spacing w:line="480" w:lineRule="auto"/>
        <w:rPr>
          <w:rFonts w:ascii="Times New Roman" w:eastAsia="Times New Roman" w:hAnsi="Times New Roman" w:cs="Times New Roman"/>
          <w:color w:val="0070C0"/>
          <w:sz w:val="24"/>
          <w:szCs w:val="24"/>
        </w:rPr>
      </w:pPr>
      <w:r w:rsidRPr="008D00E8">
        <w:rPr>
          <w:rFonts w:ascii="Times New Roman" w:eastAsia="Times New Roman" w:hAnsi="Times New Roman" w:cs="Times New Roman"/>
          <w:color w:val="0070C0"/>
          <w:sz w:val="24"/>
          <w:szCs w:val="24"/>
        </w:rPr>
        <w:t xml:space="preserve">In Model 2, we assume that the go-signals have additive values. In other words, the go-signal may increase or decrease the value of the reward offer by a constant amount, independent of the discounted value of the reward offer. The additive value is parameterized symmetrically for the two go-signals: </w:t>
      </w:r>
      <m:oMath>
        <m:r>
          <w:rPr>
            <w:rFonts w:ascii="Cambria Math" w:eastAsia="Times New Roman" w:hAnsi="Cambria Math" w:cs="Times New Roman"/>
            <w:color w:val="0070C0"/>
            <w:sz w:val="24"/>
            <w:szCs w:val="24"/>
          </w:rPr>
          <m:t>β</m:t>
        </m:r>
      </m:oMath>
      <w:r w:rsidRPr="008D00E8">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8D00E8">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8D00E8">
        <w:rPr>
          <w:rFonts w:ascii="Times New Roman" w:eastAsia="Times New Roman" w:hAnsi="Times New Roman" w:cs="Times New Roman"/>
          <w:color w:val="0070C0"/>
          <w:sz w:val="24"/>
          <w:szCs w:val="24"/>
        </w:rPr>
        <w:t xml:space="preserve"> is the sum of the discounted value of the offer, and the additive value of the go-signal:</w:t>
      </w:r>
    </w:p>
    <w:p w14:paraId="7B1D4B86" w14:textId="77777777" w:rsidR="008D00E8" w:rsidRPr="008D00E8" w:rsidRDefault="00000000" w:rsidP="008D00E8">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2DE75ADA" w14:textId="77777777" w:rsidR="008D00E8" w:rsidRPr="008D00E8" w:rsidRDefault="008D00E8" w:rsidP="008D00E8">
      <w:pPr>
        <w:rPr>
          <w:rFonts w:ascii="Cambria Math" w:eastAsia="Cambria Math" w:hAnsi="Cambria Math" w:cs="Cambria Math"/>
          <w:color w:val="0070C0"/>
        </w:rPr>
      </w:pPr>
      <w:r w:rsidRPr="008D00E8">
        <w:rPr>
          <w:rFonts w:ascii="Times New Roman" w:eastAsia="Times New Roman" w:hAnsi="Times New Roman" w:cs="Times New Roman"/>
          <w:color w:val="0070C0"/>
          <w:sz w:val="24"/>
          <w:szCs w:val="24"/>
        </w:rPr>
        <w:t xml:space="preserve">whereas, as in Model 1, 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8D00E8">
        <w:rPr>
          <w:rFonts w:ascii="Times New Roman" w:eastAsia="Times New Roman" w:hAnsi="Times New Roman" w:cs="Times New Roman"/>
          <w:color w:val="0070C0"/>
          <w:sz w:val="24"/>
          <w:szCs w:val="24"/>
        </w:rPr>
        <w:t xml:space="preserve"> equals the decision threshold </w:t>
      </w:r>
      <m:oMath>
        <m:r>
          <w:rPr>
            <w:rFonts w:ascii="Cambria Math" w:eastAsia="Times New Roman" w:hAnsi="Cambria Math" w:cs="Times New Roman"/>
            <w:color w:val="0070C0"/>
            <w:sz w:val="24"/>
            <w:szCs w:val="24"/>
          </w:rPr>
          <m:t>θ</m:t>
        </m:r>
      </m:oMath>
    </w:p>
    <w:p w14:paraId="1F952AC0" w14:textId="77777777" w:rsidR="008D00E8" w:rsidRPr="008D00E8" w:rsidRDefault="008D00E8" w:rsidP="008D00E8">
      <w:pPr>
        <w:spacing w:line="480" w:lineRule="auto"/>
        <w:rPr>
          <w:rFonts w:ascii="Times New Roman" w:eastAsia="Times New Roman" w:hAnsi="Times New Roman" w:cs="Times New Roman"/>
          <w:color w:val="0070C0"/>
          <w:sz w:val="24"/>
          <w:szCs w:val="24"/>
        </w:rPr>
      </w:pPr>
      <w:r w:rsidRPr="008D00E8">
        <w:rPr>
          <w:rFonts w:ascii="Times New Roman" w:eastAsia="Times New Roman" w:hAnsi="Times New Roman" w:cs="Times New Roman"/>
          <w:color w:val="0070C0"/>
          <w:sz w:val="24"/>
          <w:szCs w:val="24"/>
        </w:rPr>
        <w:t xml:space="preserve">The acceptance probability is then: </w:t>
      </w:r>
    </w:p>
    <w:p w14:paraId="60BA2A15" w14:textId="5EBE4885" w:rsidR="008D00E8" w:rsidRPr="008D00E8" w:rsidRDefault="008D00E8" w:rsidP="008D00E8">
      <w:pPr>
        <w:jc w:val="center"/>
        <w:rPr>
          <w:rFonts w:ascii="Cambria Math" w:eastAsia="Cambria Math" w:hAnsi="Cambria Math" w:cs="Cambria Math"/>
          <w:color w:val="0070C0"/>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45107CAE" w14:textId="77CAFDB9" w:rsidR="00F45A7C" w:rsidRPr="00CE768E" w:rsidRDefault="00B760A3" w:rsidP="00CE768E">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39565915" w14:textId="32527C9E" w:rsidR="004A0E6E" w:rsidRDefault="004A0E6E" w:rsidP="004A0E6E">
      <w:r w:rsidRPr="009D215E">
        <w:lastRenderedPageBreak/>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9D215E">
        <w:br/>
        <w:t xml:space="preserve">This "total value" formulation would benefit from further clarification. </w:t>
      </w:r>
    </w:p>
    <w:p w14:paraId="40A447A8" w14:textId="77777777" w:rsidR="004A0E6E" w:rsidRDefault="004A0E6E" w:rsidP="004A0E6E">
      <w:r w:rsidRPr="009D215E">
        <w:t>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9D215E">
        <w:br/>
        <w:t>V_"accept" -V_"reject"</w:t>
      </w:r>
      <w:r w:rsidRPr="009D215E">
        <w:br/>
      </w:r>
      <w:r w:rsidRPr="009D215E">
        <w:br/>
        <w:t>Under this interpretation, for the yellow go signal, the value of accepting would be the recalculated discounted value of the offer incorporating the additional delay:</w:t>
      </w:r>
      <w:r w:rsidRPr="009D215E">
        <w:br/>
      </w:r>
      <w:r w:rsidRPr="001E79B6">
        <w:rPr>
          <w:b/>
          <w:bCs/>
        </w:rPr>
        <w:t>V_"accept,yellow" =R/(1+k(D+ΔT))</w:t>
      </w:r>
      <w:r w:rsidRPr="009D215E">
        <w:br/>
      </w:r>
      <w:r w:rsidRPr="009D215E">
        <w:br/>
        <w:t>For the purple go signal, the value of accepting would be the original discounted value of the offer:</w:t>
      </w:r>
      <w:r w:rsidRPr="009D215E">
        <w:br/>
      </w:r>
      <w:r w:rsidRPr="001E79B6">
        <w:rPr>
          <w:b/>
          <w:bCs/>
        </w:rPr>
        <w:t>V_"accept,purple" =DV</w:t>
      </w:r>
      <w:r w:rsidRPr="009D215E">
        <w:br/>
      </w:r>
      <w:r w:rsidRPr="009D215E">
        <w:br/>
        <w:t>The value of rejecting would also depend on the go-signal condition. For the yellow go signal, if the monkey can reject the offer immediately, then:</w:t>
      </w:r>
      <w:r w:rsidRPr="009D215E">
        <w:br/>
        <w:t>V</w:t>
      </w:r>
      <w:r w:rsidRPr="001E79B6">
        <w:rPr>
          <w:b/>
          <w:bCs/>
        </w:rPr>
        <w:t>_"reject,yellow" =θ</w:t>
      </w:r>
      <w:r w:rsidRPr="009D215E">
        <w:br/>
      </w:r>
      <w:r w:rsidRPr="009D215E">
        <w:br/>
        <w:t>For the purple go signal, if rejection is associated with an additional delay, then the rejection value should be discounted as:</w:t>
      </w:r>
      <w:r w:rsidRPr="009D215E">
        <w:br/>
      </w:r>
      <w:r w:rsidRPr="001E79B6">
        <w:rPr>
          <w:b/>
          <w:bCs/>
        </w:rPr>
        <w:t>V_"reject,purple" =θ/(1+kΔT)</w:t>
      </w:r>
      <w:r w:rsidRPr="009D215E">
        <w:br/>
      </w:r>
      <w:r w:rsidRPr="009D215E">
        <w:br/>
        <w:t>Thus, if this is the intended decision process, the softmax exponent should be based on the difference between the value of accepting and the value of rejecting, with each term defined according to the specific go-signal condition.</w:t>
      </w:r>
    </w:p>
    <w:p w14:paraId="4A3A89BF" w14:textId="5710C2C6" w:rsidR="00D8124C" w:rsidRDefault="00BB0A2C" w:rsidP="004A0E6E">
      <w:pPr>
        <w:rPr>
          <w:color w:val="0070C0"/>
        </w:rPr>
      </w:pPr>
      <w:r>
        <w:rPr>
          <w:color w:val="0070C0"/>
        </w:rPr>
        <w:t xml:space="preserve">The reviewer understood our model </w:t>
      </w:r>
      <w:r w:rsidR="00F55703">
        <w:rPr>
          <w:color w:val="0070C0"/>
        </w:rPr>
        <w:t>correctly</w:t>
      </w:r>
      <w:r w:rsidR="00D8124C">
        <w:rPr>
          <w:color w:val="0070C0"/>
        </w:rPr>
        <w:t xml:space="preserve"> in general. There is a small difference in w</w:t>
      </w:r>
      <w:r>
        <w:rPr>
          <w:color w:val="0070C0"/>
        </w:rPr>
        <w:t xml:space="preserve"> </w:t>
      </w:r>
    </w:p>
    <w:p w14:paraId="575C670F" w14:textId="77777777" w:rsidR="00D8124C" w:rsidRDefault="00D8124C" w:rsidP="004A0E6E">
      <w:pPr>
        <w:rPr>
          <w:color w:val="0070C0"/>
        </w:rPr>
      </w:pPr>
    </w:p>
    <w:p w14:paraId="58962C9C" w14:textId="42C33F33" w:rsidR="003043C8" w:rsidRDefault="00BB0A2C" w:rsidP="004A0E6E">
      <w:pPr>
        <w:rPr>
          <w:color w:val="0070C0"/>
        </w:rPr>
      </w:pPr>
      <w:r>
        <w:rPr>
          <w:color w:val="0070C0"/>
        </w:rPr>
        <w:t xml:space="preserve">We have modified the description of Model 3 based on the reviewer’s </w:t>
      </w:r>
      <w:r w:rsidR="003043C8">
        <w:rPr>
          <w:color w:val="0070C0"/>
        </w:rPr>
        <w:t xml:space="preserve">comment and </w:t>
      </w:r>
      <w:r w:rsidR="00F25741">
        <w:rPr>
          <w:color w:val="0070C0"/>
        </w:rPr>
        <w:t xml:space="preserve">hopefully have improved the clarity of </w:t>
      </w:r>
      <w:r w:rsidR="005441B3">
        <w:rPr>
          <w:color w:val="0070C0"/>
        </w:rPr>
        <w:t>our description</w:t>
      </w:r>
      <w:r w:rsidR="00F25741">
        <w:rPr>
          <w:color w:val="0070C0"/>
        </w:rPr>
        <w:t xml:space="preserve">. </w:t>
      </w:r>
    </w:p>
    <w:p w14:paraId="0372C713" w14:textId="77777777" w:rsidR="00F1439E" w:rsidRDefault="00F1439E" w:rsidP="004A0E6E">
      <w:pPr>
        <w:rPr>
          <w:color w:val="0070C0"/>
        </w:rPr>
      </w:pPr>
    </w:p>
    <w:p w14:paraId="07BEDB04" w14:textId="26EB3542" w:rsidR="00D107FE" w:rsidRDefault="00F1439E" w:rsidP="004A0E6E">
      <w:pPr>
        <w:rPr>
          <w:color w:val="0070C0"/>
        </w:rPr>
      </w:pPr>
      <w:r>
        <w:rPr>
          <w:color w:val="0070C0"/>
        </w:rPr>
        <w:t>In the original manuscript, we used U to reflect total value for accepting, and we wrote U = V + VF, with the intention to say that the total value</w:t>
      </w:r>
      <w:r w:rsidR="00B3388C">
        <w:rPr>
          <w:color w:val="0070C0"/>
        </w:rPr>
        <w:t xml:space="preserve"> for accepting</w:t>
      </w:r>
      <w:r>
        <w:rPr>
          <w:color w:val="0070C0"/>
        </w:rPr>
        <w:t xml:space="preserve"> is the sum of the immediate discounted value of the offer</w:t>
      </w:r>
      <w:r w:rsidR="00C46F0F">
        <w:rPr>
          <w:color w:val="0070C0"/>
        </w:rPr>
        <w:t xml:space="preserve"> (V)</w:t>
      </w:r>
      <w:r>
        <w:rPr>
          <w:color w:val="0070C0"/>
        </w:rPr>
        <w:t>, and the expected discounted value of future rewards</w:t>
      </w:r>
      <w:r w:rsidR="009264B5">
        <w:rPr>
          <w:color w:val="0070C0"/>
        </w:rPr>
        <w:t xml:space="preserve"> </w:t>
      </w:r>
      <w:r w:rsidR="0077410C">
        <w:rPr>
          <w:color w:val="0070C0"/>
        </w:rPr>
        <w:t>from</w:t>
      </w:r>
      <w:r w:rsidR="001D7C79">
        <w:rPr>
          <w:color w:val="0070C0"/>
        </w:rPr>
        <w:t xml:space="preserve"> </w:t>
      </w:r>
      <w:r w:rsidR="004D6928">
        <w:rPr>
          <w:color w:val="0070C0"/>
        </w:rPr>
        <w:t>subsequent</w:t>
      </w:r>
      <w:r w:rsidR="001D7C79">
        <w:rPr>
          <w:color w:val="0070C0"/>
        </w:rPr>
        <w:t xml:space="preserve"> trials</w:t>
      </w:r>
      <w:r w:rsidR="00C46F0F">
        <w:rPr>
          <w:color w:val="0070C0"/>
        </w:rPr>
        <w:t xml:space="preserve"> (VF). T</w:t>
      </w:r>
      <w:r w:rsidR="009264B5">
        <w:rPr>
          <w:color w:val="0070C0"/>
        </w:rPr>
        <w:t xml:space="preserve">his might </w:t>
      </w:r>
      <w:r w:rsidR="00B2380A">
        <w:rPr>
          <w:color w:val="0070C0"/>
        </w:rPr>
        <w:t xml:space="preserve">have </w:t>
      </w:r>
      <w:r w:rsidR="009264B5">
        <w:rPr>
          <w:color w:val="0070C0"/>
        </w:rPr>
        <w:t>cause</w:t>
      </w:r>
      <w:r w:rsidR="00B2380A">
        <w:rPr>
          <w:color w:val="0070C0"/>
        </w:rPr>
        <w:t>d</w:t>
      </w:r>
      <w:r w:rsidR="009264B5">
        <w:rPr>
          <w:color w:val="0070C0"/>
        </w:rPr>
        <w:t xml:space="preserve"> confusion </w:t>
      </w:r>
      <w:r w:rsidR="00B2380A">
        <w:rPr>
          <w:color w:val="0070C0"/>
        </w:rPr>
        <w:t>that</w:t>
      </w:r>
      <w:r w:rsidR="009264B5">
        <w:rPr>
          <w:color w:val="0070C0"/>
        </w:rPr>
        <w:t xml:space="preserve"> sum, instead of subtraction, appear</w:t>
      </w:r>
      <w:r w:rsidR="00C46F0F">
        <w:rPr>
          <w:color w:val="0070C0"/>
        </w:rPr>
        <w:t>ed</w:t>
      </w:r>
      <w:r w:rsidR="009264B5">
        <w:rPr>
          <w:color w:val="0070C0"/>
        </w:rPr>
        <w:t xml:space="preserve"> in the softmax</w:t>
      </w:r>
      <w:r>
        <w:rPr>
          <w:color w:val="0070C0"/>
        </w:rPr>
        <w:t xml:space="preserve">. </w:t>
      </w:r>
      <w:r w:rsidR="00D107FE">
        <w:rPr>
          <w:color w:val="0070C0"/>
        </w:rPr>
        <w:t xml:space="preserve">We have adopted the reviewer’s suggestion, and clearly defined </w:t>
      </w:r>
      <w:r w:rsidR="00E6523E">
        <w:rPr>
          <w:color w:val="0070C0"/>
        </w:rPr>
        <w:t xml:space="preserve">the </w:t>
      </w:r>
      <w:r w:rsidR="00D107FE">
        <w:rPr>
          <w:color w:val="0070C0"/>
        </w:rPr>
        <w:t xml:space="preserve">total value for accepting </w:t>
      </w:r>
      <m:oMath>
        <m:r>
          <w:rPr>
            <w:rFonts w:ascii="Cambria Math" w:hAnsi="Cambria Math"/>
            <w:color w:val="0070C0"/>
          </w:rPr>
          <m:t>T</m:t>
        </m:r>
        <m:sSup>
          <m:sSupPr>
            <m:ctrlPr>
              <w:rPr>
                <w:rFonts w:ascii="Cambria Math" w:hAnsi="Cambria Math"/>
                <w:i/>
                <w:color w:val="0070C0"/>
              </w:rPr>
            </m:ctrlPr>
          </m:sSupPr>
          <m:e>
            <m:r>
              <w:rPr>
                <w:rFonts w:ascii="Cambria Math" w:hAnsi="Cambria Math"/>
                <w:color w:val="0070C0"/>
              </w:rPr>
              <m:t>V</m:t>
            </m:r>
          </m:e>
          <m:sup>
            <m:r>
              <w:rPr>
                <w:rFonts w:ascii="Cambria Math" w:hAnsi="Cambria Math"/>
                <w:color w:val="0070C0"/>
              </w:rPr>
              <m:t>accept</m:t>
            </m:r>
          </m:sup>
        </m:sSup>
        <m:r>
          <w:rPr>
            <w:rFonts w:ascii="Cambria Math" w:hAnsi="Cambria Math"/>
            <w:color w:val="0070C0"/>
          </w:rPr>
          <m:t xml:space="preserve"> </m:t>
        </m:r>
      </m:oMath>
      <w:r w:rsidR="00D107FE">
        <w:rPr>
          <w:color w:val="0070C0"/>
        </w:rPr>
        <w:t>and total value for rejecting</w:t>
      </w:r>
      <w:r w:rsidR="00223A69">
        <w:rPr>
          <w:color w:val="0070C0"/>
        </w:rPr>
        <w:t xml:space="preserve"> </w:t>
      </w:r>
      <m:oMath>
        <m:r>
          <w:rPr>
            <w:rFonts w:ascii="Cambria Math" w:hAnsi="Cambria Math"/>
            <w:color w:val="0070C0"/>
          </w:rPr>
          <m:t>T</m:t>
        </m:r>
        <m:sSup>
          <m:sSupPr>
            <m:ctrlPr>
              <w:rPr>
                <w:rFonts w:ascii="Cambria Math" w:hAnsi="Cambria Math"/>
                <w:i/>
                <w:color w:val="0070C0"/>
              </w:rPr>
            </m:ctrlPr>
          </m:sSupPr>
          <m:e>
            <m:r>
              <w:rPr>
                <w:rFonts w:ascii="Cambria Math" w:hAnsi="Cambria Math"/>
                <w:color w:val="0070C0"/>
              </w:rPr>
              <m:t>V</m:t>
            </m:r>
          </m:e>
          <m:sup>
            <m:r>
              <w:rPr>
                <w:rFonts w:ascii="Cambria Math" w:hAnsi="Cambria Math"/>
                <w:color w:val="0070C0"/>
              </w:rPr>
              <m:t>reject</m:t>
            </m:r>
          </m:sup>
        </m:sSup>
      </m:oMath>
      <w:r w:rsidR="00D107FE">
        <w:rPr>
          <w:color w:val="0070C0"/>
        </w:rPr>
        <w:t>, and enter</w:t>
      </w:r>
      <w:r w:rsidR="00C06117">
        <w:rPr>
          <w:color w:val="0070C0"/>
        </w:rPr>
        <w:t>ed</w:t>
      </w:r>
      <w:r w:rsidR="00D107FE">
        <w:rPr>
          <w:color w:val="0070C0"/>
        </w:rPr>
        <w:t xml:space="preserve"> </w:t>
      </w:r>
      <m:oMath>
        <m:r>
          <w:rPr>
            <w:rFonts w:ascii="Cambria Math" w:hAnsi="Cambria Math"/>
            <w:color w:val="0070C0"/>
          </w:rPr>
          <m:t>T</m:t>
        </m:r>
        <m:sSup>
          <m:sSupPr>
            <m:ctrlPr>
              <w:rPr>
                <w:rFonts w:ascii="Cambria Math" w:hAnsi="Cambria Math"/>
                <w:i/>
                <w:color w:val="0070C0"/>
              </w:rPr>
            </m:ctrlPr>
          </m:sSupPr>
          <m:e>
            <m:r>
              <w:rPr>
                <w:rFonts w:ascii="Cambria Math" w:hAnsi="Cambria Math"/>
                <w:color w:val="0070C0"/>
              </w:rPr>
              <m:t>V</m:t>
            </m:r>
          </m:e>
          <m:sup>
            <m:r>
              <w:rPr>
                <w:rFonts w:ascii="Cambria Math" w:hAnsi="Cambria Math"/>
                <w:color w:val="0070C0"/>
              </w:rPr>
              <m:t>accept</m:t>
            </m:r>
          </m:sup>
        </m:sSup>
        <m:r>
          <w:rPr>
            <w:rFonts w:ascii="Cambria Math" w:hAnsi="Cambria Math"/>
            <w:color w:val="0070C0"/>
          </w:rPr>
          <m:t>-T</m:t>
        </m:r>
        <m:sSup>
          <m:sSupPr>
            <m:ctrlPr>
              <w:rPr>
                <w:rFonts w:ascii="Cambria Math" w:hAnsi="Cambria Math"/>
                <w:i/>
                <w:color w:val="0070C0"/>
              </w:rPr>
            </m:ctrlPr>
          </m:sSupPr>
          <m:e>
            <m:r>
              <w:rPr>
                <w:rFonts w:ascii="Cambria Math" w:hAnsi="Cambria Math"/>
                <w:color w:val="0070C0"/>
              </w:rPr>
              <m:t>V</m:t>
            </m:r>
          </m:e>
          <m:sup>
            <m:r>
              <w:rPr>
                <w:rFonts w:ascii="Cambria Math" w:hAnsi="Cambria Math"/>
                <w:color w:val="0070C0"/>
              </w:rPr>
              <m:t>reject</m:t>
            </m:r>
          </m:sup>
        </m:sSup>
      </m:oMath>
      <w:r w:rsidR="00D107FE">
        <w:rPr>
          <w:color w:val="0070C0"/>
        </w:rPr>
        <w:t xml:space="preserve"> in the softmax. </w:t>
      </w:r>
    </w:p>
    <w:p w14:paraId="313A25D9" w14:textId="77777777" w:rsidR="00D107FE" w:rsidRDefault="00D107FE" w:rsidP="004A0E6E">
      <w:pPr>
        <w:rPr>
          <w:color w:val="0070C0"/>
        </w:rPr>
      </w:pPr>
    </w:p>
    <w:p w14:paraId="2BF6BA5E" w14:textId="7C5FAC1C" w:rsidR="00F1439E" w:rsidRDefault="00D107FE" w:rsidP="004A0E6E">
      <w:pPr>
        <w:rPr>
          <w:color w:val="0070C0"/>
        </w:rPr>
      </w:pPr>
      <w:r>
        <w:rPr>
          <w:color w:val="0070C0"/>
        </w:rPr>
        <w:lastRenderedPageBreak/>
        <w:t>Here is the updated description:</w:t>
      </w:r>
    </w:p>
    <w:p w14:paraId="53CB002F" w14:textId="77777777" w:rsidR="00D107FE" w:rsidRDefault="00D107FE" w:rsidP="004A0E6E">
      <w:pPr>
        <w:rPr>
          <w:color w:val="0070C0"/>
        </w:rPr>
      </w:pPr>
      <w:r>
        <w:rPr>
          <w:color w:val="0070C0"/>
        </w:rPr>
        <w:t>“</w:t>
      </w:r>
    </w:p>
    <w:p w14:paraId="5C525F94" w14:textId="77777777" w:rsidR="00D107FE" w:rsidRDefault="00D107FE" w:rsidP="004A0E6E">
      <w:pPr>
        <w:rPr>
          <w:color w:val="0070C0"/>
        </w:rPr>
      </w:pPr>
    </w:p>
    <w:p w14:paraId="4B9A0B15" w14:textId="2DD2DAA6" w:rsidR="00BB0A2C" w:rsidRPr="00D107FE" w:rsidRDefault="00D107FE" w:rsidP="004A0E6E">
      <w:pPr>
        <w:rPr>
          <w:color w:val="0070C0"/>
        </w:rPr>
      </w:pPr>
      <w:r>
        <w:rPr>
          <w:color w:val="0070C0"/>
        </w:rPr>
        <w:t>”</w:t>
      </w:r>
    </w:p>
    <w:p w14:paraId="795DC761" w14:textId="77777777" w:rsidR="004A0E6E" w:rsidRDefault="004A0E6E" w:rsidP="004A0E6E">
      <w:r w:rsidRPr="009D215E">
        <w:br/>
      </w:r>
      <w:r w:rsidRPr="001E79B6">
        <w:rPr>
          <w:b/>
          <w:bCs/>
        </w:rPr>
        <w:t>More generally, the manuscript would be strengthened by explicitly describing the differential predictions generated by the three models and by reporting the estimated parameters of the best-fitting model</w:t>
      </w:r>
      <w:r w:rsidRPr="009D215E">
        <w:t xml:space="preserve">. </w:t>
      </w:r>
    </w:p>
    <w:p w14:paraId="22467627" w14:textId="77777777" w:rsidR="00097239" w:rsidRDefault="00097239" w:rsidP="004A0E6E">
      <w:pPr>
        <w:rPr>
          <w:b/>
          <w:bCs/>
        </w:rPr>
      </w:pPr>
    </w:p>
    <w:p w14:paraId="064F0F46" w14:textId="664FE664" w:rsidR="004A0E6E" w:rsidRPr="00806422" w:rsidRDefault="004A0E6E" w:rsidP="004A0E6E">
      <w:pPr>
        <w:rPr>
          <w:b/>
          <w:bCs/>
        </w:rPr>
      </w:pPr>
      <w:r w:rsidRPr="00806422">
        <w:rPr>
          <w:b/>
          <w:bCs/>
        </w:rPr>
        <w:t>In the absence of these details, it is difficult to assess how the models were fit to the data and how the resulting model comparison supports the authors' interpretation, particularly given the apparent inconsistencies in the current model formulations.</w:t>
      </w:r>
    </w:p>
    <w:p w14:paraId="042F7842" w14:textId="77777777" w:rsidR="00097239" w:rsidRPr="00931593" w:rsidRDefault="004A0E6E" w:rsidP="00097239">
      <w:pPr>
        <w:rPr>
          <w:color w:val="0070C0"/>
        </w:rPr>
      </w:pPr>
      <w:r w:rsidRPr="009D215E">
        <w:br/>
      </w:r>
      <w:r w:rsidR="00097239">
        <w:rPr>
          <w:color w:val="0070C0"/>
        </w:rPr>
        <w:t>Show model-fit parameters</w:t>
      </w:r>
    </w:p>
    <w:p w14:paraId="0000002D" w14:textId="2C253765" w:rsidR="00610AF9" w:rsidRDefault="004A0E6E" w:rsidP="004A0E6E">
      <w:pPr>
        <w:spacing w:after="160"/>
        <w:rPr>
          <w:b/>
          <w:bCs/>
        </w:rPr>
      </w:pPr>
      <w:r>
        <w:rPr>
          <w:b/>
          <w:bCs/>
        </w:rPr>
        <w:br/>
      </w:r>
    </w:p>
    <w:p w14:paraId="0000002E" w14:textId="77777777" w:rsidR="00610AF9" w:rsidRDefault="00000000">
      <w:pPr>
        <w:spacing w:after="160"/>
      </w:pPr>
      <w:r>
        <w:rPr>
          <w:b/>
          <w:bCs/>
        </w:rPr>
        <w:br/>
      </w:r>
      <w:r>
        <w:t xml:space="preserve"> 2. Clarification of population coding dimensions</w:t>
      </w:r>
      <w:r>
        <w:br/>
        <w:t xml:space="preserve"> In reporting neural modulation by reward and delay, the authors repeatedly refer to "population coding dimensions" based on beta coefficients from an ANOVA analysis. </w:t>
      </w:r>
      <w:r>
        <w:rPr>
          <w:b/>
          <w:bCs/>
        </w:rPr>
        <w:t>This approach would benefit from further clarification.</w:t>
      </w:r>
      <w:r>
        <w:t xml:space="preserve"> In particular, beta coefficients are typically associated with regression models rather than ANOVA, so it would be helpful for the authors to explain how these beta coefficients were obtained from the ANOVA analysis and what specific quantities they represent.</w:t>
      </w:r>
    </w:p>
    <w:p w14:paraId="0000002F" w14:textId="77777777" w:rsidR="00610AF9" w:rsidRDefault="00000000">
      <w:pPr>
        <w:spacing w:after="160"/>
        <w:rPr>
          <w:color w:val="FF0000"/>
        </w:rPr>
      </w:pPr>
      <w:r>
        <w:rPr>
          <w:color w:val="FF0000"/>
        </w:rPr>
        <w:t>We need to clarify the beta coefficient from the anova. It look like on the methods we say:</w:t>
      </w:r>
    </w:p>
    <w:p w14:paraId="00000030" w14:textId="77777777" w:rsidR="00610AF9" w:rsidRDefault="00000000">
      <w:pPr>
        <w:spacing w:line="48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00000031" w14:textId="77777777" w:rsidR="00610AF9" w:rsidRDefault="00000000">
      <w:pPr>
        <w:spacing w:line="48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00000032" w14:textId="77777777" w:rsidR="00610AF9" w:rsidRDefault="00000000">
      <w:pPr>
        <w:spacing w:line="48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 significance threshold of 0.05 (uncorrected) was used.</w:t>
      </w:r>
    </w:p>
    <w:p w14:paraId="00000033" w14:textId="77777777" w:rsidR="00610AF9" w:rsidRDefault="00610AF9">
      <w:pPr>
        <w:spacing w:line="480" w:lineRule="auto"/>
        <w:rPr>
          <w:rFonts w:ascii="Times New Roman" w:eastAsia="Times New Roman" w:hAnsi="Times New Roman" w:cs="Times New Roman"/>
          <w:b/>
          <w:bCs/>
          <w:color w:val="FF0000"/>
          <w:sz w:val="24"/>
          <w:szCs w:val="24"/>
        </w:rPr>
      </w:pPr>
    </w:p>
    <w:p w14:paraId="00000034" w14:textId="77777777" w:rsidR="00610AF9" w:rsidRDefault="00000000">
      <w:pPr>
        <w:spacing w:line="48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This part should be clarified ad then i think we should be ok. </w:t>
      </w:r>
    </w:p>
    <w:p w14:paraId="00000035" w14:textId="77777777" w:rsidR="00610AF9" w:rsidRDefault="00610AF9">
      <w:pPr>
        <w:spacing w:after="160"/>
        <w:rPr>
          <w:color w:val="FF0000"/>
        </w:rPr>
      </w:pPr>
    </w:p>
    <w:p w14:paraId="00000036" w14:textId="77777777" w:rsidR="00610AF9" w:rsidRDefault="00000000">
      <w:pPr>
        <w:spacing w:after="160"/>
      </w:pPr>
      <w:r>
        <w:rPr>
          <w:b/>
          <w:bCs/>
        </w:rPr>
        <w:t>In addition, the definition of "population coding dimensions" should be clarified. For example, are these dimensions intended to represent coordinates or axes defining a subspace of high-dimensional neural activity?</w:t>
      </w:r>
      <w:r>
        <w:t xml:space="preserve"> Providing a more explicit description of how these dimensions were constructed and how they should be interpreted would make the neural population analyses and the corresponding figures much easier to evaluate.</w:t>
      </w:r>
    </w:p>
    <w:p w14:paraId="00000037" w14:textId="77777777" w:rsidR="00610AF9" w:rsidRDefault="00000000">
      <w:pPr>
        <w:spacing w:after="160"/>
        <w:rPr>
          <w:color w:val="EE0000"/>
        </w:rPr>
      </w:pPr>
      <w:r>
        <w:rPr>
          <w:color w:val="EE0000"/>
        </w:rPr>
        <w:t xml:space="preserve">This comment is related somehow to the comment above. </w:t>
      </w:r>
    </w:p>
    <w:p w14:paraId="00000038" w14:textId="77777777" w:rsidR="00610AF9" w:rsidRDefault="00000000">
      <w:pPr>
        <w:spacing w:after="160"/>
        <w:rPr>
          <w:color w:val="EE0000"/>
        </w:rPr>
      </w:pPr>
      <w:r>
        <w:rPr>
          <w:color w:val="EE0000"/>
        </w:rPr>
        <w:t xml:space="preserve">It is a </w:t>
      </w:r>
      <w:r>
        <w:rPr>
          <w:b/>
          <w:bCs/>
          <w:color w:val="EE0000"/>
        </w:rPr>
        <w:t>coordinate axis / vector in neural state space</w:t>
      </w:r>
      <w:r>
        <w:rPr>
          <w:color w:val="EE0000"/>
        </w:rPr>
        <w:t xml:space="preserve"> in our case, correct, Siyu?</w:t>
      </w:r>
    </w:p>
    <w:p w14:paraId="00000039" w14:textId="77777777" w:rsidR="00610AF9" w:rsidRDefault="00000000">
      <w:pPr>
        <w:spacing w:after="160"/>
        <w:rPr>
          <w:color w:val="EE0000"/>
        </w:rPr>
      </w:pPr>
      <w:r>
        <w:rPr>
          <w:color w:val="EE0000"/>
        </w:rPr>
        <w:t xml:space="preserve">We can modify the paragraph in the methods accordingly.  </w:t>
      </w:r>
      <w:r>
        <w:rPr>
          <w:color w:val="EE0000"/>
        </w:rPr>
        <w:br/>
      </w:r>
      <w:r>
        <w:rPr>
          <w:color w:val="EE0000"/>
        </w:rPr>
        <w:br/>
      </w:r>
    </w:p>
    <w:p w14:paraId="0000003A" w14:textId="77777777" w:rsidR="00610AF9" w:rsidRDefault="00000000">
      <w:pPr>
        <w:spacing w:after="160"/>
      </w:pPr>
      <w:r>
        <w:rPr>
          <w:color w:val="EE0000"/>
        </w:rPr>
        <w:t xml:space="preserve"> </w:t>
      </w:r>
      <w:r>
        <w:t>3. Clarification of the analysis relating go-signal modulation to recalculated discounted value</w:t>
      </w:r>
      <w:r>
        <w:br/>
        <w:t xml:space="preserve"> 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br/>
        <w:t>First, in the figure corresponding to this analysis, the authors correlate "inferred time" with reward and delay modulation.</w:t>
      </w:r>
    </w:p>
    <w:p w14:paraId="0000003B" w14:textId="77777777" w:rsidR="00610AF9" w:rsidRDefault="00000000">
      <w:pPr>
        <w:spacing w:after="160"/>
      </w:pPr>
      <w:r>
        <w:t>However, the manuscript does not clearly describe what "</w:t>
      </w:r>
      <w:r>
        <w:rPr>
          <w:color w:val="EE0000"/>
        </w:rPr>
        <w:t>inferred time</w:t>
      </w:r>
      <w:r>
        <w:t>" measures or how it was estimated. Providing a more explicit definition of this variable would help readers interpret the analysis.</w:t>
      </w:r>
    </w:p>
    <w:p w14:paraId="0000003C" w14:textId="77777777" w:rsidR="00610AF9" w:rsidRDefault="00000000">
      <w:pPr>
        <w:spacing w:after="160"/>
        <w:rPr>
          <w:b/>
          <w:bCs/>
          <w:color w:val="FF0000"/>
        </w:rPr>
      </w:pPr>
      <w:r>
        <w:rPr>
          <w:b/>
          <w:bCs/>
          <w:color w:val="FF0000"/>
        </w:rPr>
        <w:t xml:space="preserve">The figure may be incorrect, may be from previous versions. </w:t>
      </w:r>
    </w:p>
    <w:p w14:paraId="0000003D" w14:textId="77777777" w:rsidR="00610AF9" w:rsidRDefault="00000000">
      <w:pPr>
        <w:spacing w:after="160"/>
        <w:rPr>
          <w:b/>
          <w:bCs/>
          <w:color w:val="FF0000"/>
        </w:rPr>
      </w:pPr>
      <w:r>
        <w:rPr>
          <w:b/>
          <w:bCs/>
          <w:color w:val="FF0000"/>
        </w:rPr>
        <w:t xml:space="preserve">We need to change it accordingly. </w:t>
      </w:r>
    </w:p>
    <w:p w14:paraId="0000003E" w14:textId="77777777" w:rsidR="00610AF9" w:rsidRDefault="00000000">
      <w:pPr>
        <w:spacing w:after="160"/>
        <w:rPr>
          <w:b/>
          <w:bCs/>
        </w:rPr>
      </w:pPr>
      <w:r>
        <w:rPr>
          <w:b/>
          <w:bCs/>
        </w:rP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w:t>
      </w:r>
    </w:p>
    <w:p w14:paraId="0000003F" w14:textId="77777777" w:rsidR="00610AF9" w:rsidRDefault="00610AF9">
      <w:pPr>
        <w:spacing w:after="160"/>
      </w:pPr>
    </w:p>
    <w:p w14:paraId="00000040" w14:textId="77777777" w:rsidR="00610AF9" w:rsidRDefault="00000000">
      <w:pPr>
        <w:spacing w:after="160"/>
        <w:rPr>
          <w:b/>
          <w:bCs/>
        </w:rPr>
      </w:pPr>
      <w:r>
        <w:t>In addition, Figures S1 and S2 appear to show that dlPFC neurons exhibit little modulation by the go signal itself. Given this, it is difficult to understand how go-signal-related neural modulation was analyzed in relation to the proposed recalculated discounted value.</w:t>
      </w:r>
      <w:r>
        <w:br/>
        <w:t xml:space="preserve"> If the authors' interpretation is that dlPFC neurons encode an adjustment of discounted value after the go signal</w:t>
      </w:r>
      <w:r>
        <w:rPr>
          <w:b/>
          <w:bCs/>
        </w:rPr>
        <w:t xml:space="preserve">, it would be helpful to show this more directly. For example, the </w:t>
      </w:r>
      <w:r>
        <w:rPr>
          <w:b/>
          <w:bCs/>
        </w:rPr>
        <w:lastRenderedPageBreak/>
        <w:t>analysis would be more compelling if it demonstrated how neural activity changes from the pre-go-signal to post-go-signal period in a way that reflects the proposed value adjustment.</w:t>
      </w:r>
    </w:p>
    <w:p w14:paraId="00000041" w14:textId="77777777" w:rsidR="00610AF9" w:rsidRDefault="00000000">
      <w:pPr>
        <w:spacing w:after="160"/>
        <w:rPr>
          <w:color w:val="FF0000"/>
        </w:rPr>
      </w:pPr>
      <w:r>
        <w:rPr>
          <w:color w:val="FF0000"/>
        </w:rPr>
        <w:t xml:space="preserve">No, figure S1 and S2 show that there is no choice effect. Choice is the real choice the animal made. </w:t>
      </w:r>
    </w:p>
    <w:p w14:paraId="00000042" w14:textId="77777777" w:rsidR="00610AF9" w:rsidRDefault="00000000">
      <w:pPr>
        <w:spacing w:after="160"/>
        <w:rPr>
          <w:b/>
          <w:bCs/>
        </w:rPr>
      </w:pPr>
      <w:r>
        <w:rPr>
          <w:b/>
          <w:bCs/>
          <w:color w:val="0070C0"/>
        </w:rPr>
        <w:t xml:space="preserve">Siyu Analysis: </w:t>
      </w:r>
      <w:r>
        <w:rPr>
          <w:color w:val="0070C0"/>
        </w:rPr>
        <w:t>Contrast activity between [-200 0 ] vs [0 200] around GO cue.</w:t>
      </w:r>
      <w:r>
        <w:rPr>
          <w:color w:val="0070C0"/>
        </w:rPr>
        <w:br/>
      </w:r>
      <w:r>
        <w:rPr>
          <w:color w:val="0070C0"/>
        </w:rPr>
        <w:br/>
        <w:t xml:space="preserve"> </w:t>
      </w:r>
      <w:r>
        <w:t>4. Relating individual differences in neural modulation to behavioral strategy</w:t>
      </w:r>
      <w:r>
        <w:br/>
        <w:t xml:space="preserve"> The authors report that the two monkeys may have used different behavioral strategies and also describe individual differences in several aspects of neural modulation. It would be helpful if the authors could further discuss how these individual differences in neural activity might relate to the observed differences in decision strategy. </w:t>
      </w:r>
      <w:r>
        <w:rPr>
          <w:b/>
          <w:bCs/>
        </w:rPr>
        <w:t>For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00000043" w14:textId="77777777" w:rsidR="00610AF9" w:rsidRDefault="00000000">
      <w:pPr>
        <w:spacing w:after="160"/>
        <w:rPr>
          <w:b/>
          <w:bCs/>
          <w:color w:val="0070C0"/>
        </w:rPr>
      </w:pPr>
      <w:r>
        <w:rPr>
          <w:b/>
          <w:bCs/>
          <w:color w:val="0070C0"/>
        </w:rPr>
        <w:t>Explain the link between Model 3 and neural result Fig 6 for Monkey S and not monkey T.</w:t>
      </w:r>
    </w:p>
    <w:p w14:paraId="00000044" w14:textId="77777777" w:rsidR="00610AF9" w:rsidRDefault="00000000">
      <w:pPr>
        <w:spacing w:after="160"/>
        <w:rPr>
          <w:color w:val="EE0000"/>
        </w:rPr>
      </w:pPr>
      <w:r>
        <w:rPr>
          <w:color w:val="EE000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6-07-15T17:13:00Z" w:initials="">
    <w:p w14:paraId="00000047" w14:textId="77777777" w:rsidR="00610AF9" w:rsidRDefault="004A0E6E">
      <w:pPr>
        <w:widowControl w:val="0"/>
        <w:pBdr>
          <w:top w:val="nil"/>
          <w:left w:val="nil"/>
          <w:bottom w:val="nil"/>
          <w:right w:val="nil"/>
          <w:between w:val="nil"/>
        </w:pBdr>
        <w:spacing w:line="240" w:lineRule="auto"/>
        <w:rPr>
          <w:color w:val="000000"/>
        </w:rPr>
      </w:pPr>
      <w:r>
        <w:rPr>
          <w:rStyle w:val="CommentReference"/>
        </w:rPr>
        <w:annotationRef/>
      </w:r>
      <w:r>
        <w:rPr>
          <w:color w:val="000000"/>
        </w:rPr>
        <w:t>Please Siyu double check!</w:t>
      </w:r>
    </w:p>
  </w:comment>
  <w:comment w:id="1" w:author="Siyu Wang" w:date="2026-07-24T11:15:00Z" w:initials="SW">
    <w:p w14:paraId="4889BF48" w14:textId="77777777" w:rsidR="00097239" w:rsidRDefault="00097239" w:rsidP="00097239">
      <w:pPr>
        <w:pStyle w:val="CommentText"/>
      </w:pPr>
      <w:r>
        <w:rPr>
          <w:rStyle w:val="CommentReference"/>
        </w:rPr>
        <w:annotationRef/>
      </w:r>
      <w:r>
        <w:t>Rewritten!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7" w15:done="0"/>
  <w15:commentEx w15:paraId="4889BF48" w15:paraIdParent="000000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28BFB7" w16cex:dateUtc="2026-07-24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7" w16cid:durableId="00000047"/>
  <w16cid:commentId w16cid:paraId="4889BF48" w16cid:durableId="7428BF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2ECCF14-F246-4537-8246-541BA4C6D038}"/>
    <w:embedItalic r:id="rId2" w:fontKey="{84861C76-432C-4835-B337-96F0B90160A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9F61A26-BEBB-4239-A0E7-FEC28D641788}"/>
  </w:font>
  <w:font w:name="Cambria">
    <w:panose1 w:val="02040503050406030204"/>
    <w:charset w:val="00"/>
    <w:family w:val="roman"/>
    <w:pitch w:val="variable"/>
    <w:sig w:usb0="E00006FF" w:usb1="420024FF" w:usb2="02000000" w:usb3="00000000" w:csb0="0000019F" w:csb1="00000000"/>
    <w:embedRegular r:id="rId4" w:fontKey="{694F6682-3C23-42C8-B610-1558301FB4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97239"/>
    <w:rsid w:val="000D718E"/>
    <w:rsid w:val="000F09E9"/>
    <w:rsid w:val="00157515"/>
    <w:rsid w:val="001D7C79"/>
    <w:rsid w:val="00223A69"/>
    <w:rsid w:val="003043C8"/>
    <w:rsid w:val="003E724E"/>
    <w:rsid w:val="004772E0"/>
    <w:rsid w:val="004A0E6E"/>
    <w:rsid w:val="004D6928"/>
    <w:rsid w:val="00511D22"/>
    <w:rsid w:val="005343C2"/>
    <w:rsid w:val="005441B3"/>
    <w:rsid w:val="00560F8B"/>
    <w:rsid w:val="005956AC"/>
    <w:rsid w:val="00610AF9"/>
    <w:rsid w:val="0068781C"/>
    <w:rsid w:val="006A2BE0"/>
    <w:rsid w:val="006C7F4C"/>
    <w:rsid w:val="00715A0F"/>
    <w:rsid w:val="0077410C"/>
    <w:rsid w:val="00780648"/>
    <w:rsid w:val="007A2088"/>
    <w:rsid w:val="008A4D56"/>
    <w:rsid w:val="008C429A"/>
    <w:rsid w:val="008D00E8"/>
    <w:rsid w:val="008F5372"/>
    <w:rsid w:val="00921DEA"/>
    <w:rsid w:val="009264B5"/>
    <w:rsid w:val="00940F58"/>
    <w:rsid w:val="009C5E43"/>
    <w:rsid w:val="009F3863"/>
    <w:rsid w:val="00A177A5"/>
    <w:rsid w:val="00A63C77"/>
    <w:rsid w:val="00AA4C13"/>
    <w:rsid w:val="00AC4E33"/>
    <w:rsid w:val="00AD4B99"/>
    <w:rsid w:val="00AE32A1"/>
    <w:rsid w:val="00AE3BB9"/>
    <w:rsid w:val="00AE77D4"/>
    <w:rsid w:val="00AF1B42"/>
    <w:rsid w:val="00B2380A"/>
    <w:rsid w:val="00B3388C"/>
    <w:rsid w:val="00B56FDC"/>
    <w:rsid w:val="00B760A3"/>
    <w:rsid w:val="00BB0A2C"/>
    <w:rsid w:val="00BE0403"/>
    <w:rsid w:val="00C06117"/>
    <w:rsid w:val="00C46F0F"/>
    <w:rsid w:val="00CE64AB"/>
    <w:rsid w:val="00CE768E"/>
    <w:rsid w:val="00D107FE"/>
    <w:rsid w:val="00D8124C"/>
    <w:rsid w:val="00D915EA"/>
    <w:rsid w:val="00DD4EAE"/>
    <w:rsid w:val="00E6523E"/>
    <w:rsid w:val="00F1439E"/>
    <w:rsid w:val="00F25741"/>
    <w:rsid w:val="00F45A7C"/>
    <w:rsid w:val="00F55703"/>
    <w:rsid w:val="00FB7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3662</Words>
  <Characters>20879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128</cp:revision>
  <dcterms:created xsi:type="dcterms:W3CDTF">2026-07-19T14:09:00Z</dcterms:created>
  <dcterms:modified xsi:type="dcterms:W3CDTF">2026-07-24T15:16:00Z</dcterms:modified>
</cp:coreProperties>
</file>