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610AF9" w:rsidRDefault="00000000">
      <w:pPr>
        <w:spacing w:after="160"/>
      </w:pPr>
      <w:r>
        <w:rPr>
          <w:b/>
          <w:bCs/>
        </w:rPr>
        <w:t>Reviewer #1:</w:t>
      </w:r>
      <w:r>
        <w:t xml:space="preserve"> The manuscript addresses the question of whether there is a temporal discounting computation carried out in the prefrontal cortex, and if this is universal or strategy specific. Two monkeys were trained on a two-step temporal discounting task, and neural recordings were conducted in the dlPFC with seven recordings from one monkey and sixteen from the other. The monkeys showed different strategies for temporal discounting, with only Monkey S adjusting the temporally discounted value based on the go signal. The encoding of reward and delay in dlFPC appeared to be integrated in Monkey S, but encoded independently in the Monkey T, reflecting their different temporal discounting strategies. Both monkeys perform temporal discounting; however, the two-step design of the task doesn't impose a necessity for the animals to update primary temporal discounting computations, demonstrated by the monkeys' use of different strategies. The results are interesting and most of my questions are centered on trying to clarify similarities and differences across the animals.</w:t>
      </w:r>
      <w:r>
        <w:br/>
      </w:r>
      <w:r>
        <w:br/>
        <w:t xml:space="preserve"> Main comments</w:t>
      </w:r>
      <w:r>
        <w:br/>
      </w:r>
      <w:r>
        <w:br/>
        <w:t xml:space="preserve"> 1. Monkey T didn't seem to integrate the delay presented by the go signal with the evaluation of reward and delay of the original offer, and encoded reward and delay independently. Inverse coding of reward and delay following cue onset, during the 'evaluation period,' provides evidence for temporal discounting computations in both monkeys, however does this inverse coding persist following the go signal?</w:t>
      </w:r>
    </w:p>
    <w:p w14:paraId="00000002" w14:textId="77777777" w:rsidR="00610AF9" w:rsidRDefault="00000000">
      <w:pPr>
        <w:spacing w:after="160"/>
      </w:pPr>
      <w:r>
        <w:t>Monkey S adjusted the temporal discounted value based on the go signal, but Monkey T did not, therefore there could be a presumed difference in this inverse coding following presentation of the go signal.</w:t>
      </w:r>
    </w:p>
    <w:p w14:paraId="00000003" w14:textId="77777777" w:rsidR="00610AF9" w:rsidRDefault="00000000">
      <w:pPr>
        <w:spacing w:after="160"/>
        <w:rPr>
          <w:b/>
          <w:bCs/>
          <w:color w:val="0070C0"/>
        </w:rPr>
      </w:pPr>
      <w:r>
        <w:rPr>
          <w:b/>
          <w:bCs/>
          <w:color w:val="0070C0"/>
        </w:rPr>
        <w:t>Siyu Analysis: inverse coding at GO cue</w:t>
      </w:r>
    </w:p>
    <w:p w14:paraId="00000004" w14:textId="77777777" w:rsidR="00610AF9" w:rsidRDefault="00000000">
      <w:pPr>
        <w:spacing w:after="160"/>
        <w:rPr>
          <w:color w:val="EE0000"/>
        </w:rPr>
      </w:pPr>
      <w:r>
        <w:rPr>
          <w:color w:val="EE0000"/>
        </w:rPr>
        <w:t xml:space="preserve">We thank the reviewer for this point.   We have extended the same analysis in the first ?? ms after the go signal. </w:t>
      </w:r>
    </w:p>
    <w:p w14:paraId="00000005" w14:textId="77777777" w:rsidR="00610AF9" w:rsidRDefault="00000000">
      <w:pPr>
        <w:spacing w:after="160"/>
        <w:rPr>
          <w:color w:val="EE0000"/>
        </w:rPr>
      </w:pPr>
      <w:r>
        <w:rPr>
          <w:color w:val="EE0000"/>
        </w:rPr>
        <w:t xml:space="preserve">We can show the plots only to the reviewer. But not in the manuscript. </w:t>
      </w:r>
    </w:p>
    <w:p w14:paraId="00000006" w14:textId="77777777" w:rsidR="00610AF9" w:rsidRDefault="00000000">
      <w:pPr>
        <w:spacing w:after="160"/>
      </w:pPr>
      <w:r>
        <w:rPr>
          <w:b/>
          <w:bCs/>
          <w:color w:val="EE0000"/>
        </w:rPr>
        <w:br/>
      </w:r>
      <w:r>
        <w:t xml:space="preserve"> 2. Recording sites on Monkey S and Monkey T were quite different. Do the differences in the linearity of coding between the monkeys (10% in Monkey S and 33% in Monkey T) reflect a true difference in linear processing, or is it due to the neurons being sampled from different sites? Is this difference in coding demonstrated in the neurons that are sampled from overlapping areas recorded across the two monkeys?</w:t>
      </w:r>
    </w:p>
    <w:p w14:paraId="00000007" w14:textId="77777777" w:rsidR="00610AF9" w:rsidRDefault="00000000">
      <w:pPr>
        <w:spacing w:after="160"/>
        <w:rPr>
          <w:color w:val="EE0000"/>
        </w:rPr>
      </w:pPr>
      <w:r>
        <w:rPr>
          <w:color w:val="EE0000"/>
        </w:rPr>
        <w:t xml:space="preserve">We thank the reviewer for this important point. We agree that differences in recording locations across monkeys could potentially contribute to the difference in the proportion of linearly coding neurons. Although the exact anatomical correspondence between recording sites across animals cannot be established in our dataset, we performed an additional analysis within Monkey S by comparing arrays from different recording locations. In the array that was most comparable to the recording region sampled in Monkey T, we identified only 3 linearly coding neurons out of 44 recorded neurons (~7%), which is substantially lower than the proportion observed in Monkey T. The difference in recording location alone is unlikely to fully explain the </w:t>
      </w:r>
      <w:r>
        <w:rPr>
          <w:color w:val="EE0000"/>
        </w:rPr>
        <w:lastRenderedPageBreak/>
        <w:t xml:space="preserve">difference, although we cannot completely exclude a contribution from anatomical sampling. However, this comparison is based on a small number of linearly coding neurons in Monkey S and should therefore be interpreted cautiously. We have revised the manuscript accordingly: </w:t>
      </w:r>
    </w:p>
    <w:p w14:paraId="00000008" w14:textId="77777777" w:rsidR="00610AF9" w:rsidRDefault="00000000">
      <w:pPr>
        <w:spacing w:after="160"/>
        <w:rPr>
          <w:b/>
          <w:bCs/>
          <w:color w:val="EE0000"/>
        </w:rPr>
      </w:pPr>
      <w:r>
        <w:rPr>
          <w:b/>
          <w:bCs/>
          <w:color w:val="EE0000"/>
        </w:rPr>
        <w:t xml:space="preserve">Please see the lines ??-?? </w:t>
      </w:r>
    </w:p>
    <w:p w14:paraId="00000009" w14:textId="77777777" w:rsidR="00610AF9" w:rsidRDefault="00000000">
      <w:pPr>
        <w:spacing w:after="160"/>
        <w:rPr>
          <w:b/>
          <w:bCs/>
          <w:i/>
          <w:iCs/>
          <w:color w:val="FF0000"/>
        </w:rPr>
      </w:pPr>
      <w:r>
        <w:rPr>
          <w:rFonts w:ascii="Times New Roman" w:eastAsia="Times New Roman" w:hAnsi="Times New Roman" w:cs="Times New Roman"/>
          <w:i/>
          <w:iCs/>
          <w:color w:val="FF0000"/>
          <w:sz w:val="24"/>
          <w:szCs w:val="24"/>
        </w:rPr>
        <w:t>These results suggest that the dlPFC neurons in Monkey S exhibited a lower prevalence in linear value coding and more heterogeneous patterns of value representation, whereas neurons in Monkey T showed a greater proportion  of linear coding of offer value.</w:t>
      </w:r>
      <w:r>
        <w:rPr>
          <w:b/>
          <w:bCs/>
          <w:i/>
          <w:iCs/>
          <w:color w:val="FF0000"/>
        </w:rPr>
        <w:t xml:space="preserve"> </w:t>
      </w:r>
    </w:p>
    <w:p w14:paraId="0000000A" w14:textId="77777777" w:rsidR="00610AF9" w:rsidRDefault="00000000">
      <w:pPr>
        <w:spacing w:after="160"/>
        <w:rPr>
          <w:b/>
          <w:bCs/>
          <w:color w:val="FF0000"/>
        </w:rPr>
      </w:pPr>
      <w:r>
        <w:rPr>
          <w:b/>
          <w:bCs/>
          <w:color w:val="FF0000"/>
        </w:rPr>
        <w:t>We also changed the discussion. Please see lines ??-??:</w:t>
      </w:r>
    </w:p>
    <w:p w14:paraId="0000000B" w14:textId="77777777" w:rsidR="00610AF9" w:rsidRDefault="00000000">
      <w:pPr>
        <w:shd w:val="clear" w:color="auto" w:fill="FFFFFF"/>
        <w:spacing w:line="480" w:lineRule="auto"/>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 xml:space="preserve">Additional single-neuron and population-level analyses </w:t>
      </w:r>
      <w:r>
        <w:rPr>
          <w:rFonts w:ascii="Times New Roman" w:eastAsia="Times New Roman" w:hAnsi="Times New Roman" w:cs="Times New Roman"/>
          <w:i/>
          <w:iCs/>
          <w:color w:val="FF0000"/>
          <w:sz w:val="24"/>
          <w:szCs w:val="24"/>
          <w:highlight w:val="yellow"/>
        </w:rPr>
        <w:t>revealed</w:t>
      </w:r>
      <w:r>
        <w:rPr>
          <w:rFonts w:ascii="Times New Roman" w:eastAsia="Times New Roman" w:hAnsi="Times New Roman" w:cs="Times New Roman"/>
          <w:i/>
          <w:iCs/>
          <w:color w:val="FF0000"/>
          <w:sz w:val="24"/>
          <w:szCs w:val="24"/>
        </w:rPr>
        <w:t xml:space="preserve"> the neural differences between the animals in how dlPFC encoded reward and time. In the first analysis, we examined the linearity of value coding. In Monkey S, only 10% of the neurons </w:t>
      </w:r>
      <w:r>
        <w:rPr>
          <w:rFonts w:ascii="Times New Roman" w:eastAsia="Times New Roman" w:hAnsi="Times New Roman" w:cs="Times New Roman"/>
          <w:i/>
          <w:iCs/>
          <w:color w:val="FF0000"/>
          <w:sz w:val="24"/>
          <w:szCs w:val="24"/>
          <w:highlight w:val="yellow"/>
        </w:rPr>
        <w:t>showed linear modulation by discounted value</w:t>
      </w:r>
      <w:r>
        <w:rPr>
          <w:rFonts w:ascii="Times New Roman" w:eastAsia="Times New Roman" w:hAnsi="Times New Roman" w:cs="Times New Roman"/>
          <w:i/>
          <w:iCs/>
          <w:color w:val="FF0000"/>
          <w:sz w:val="24"/>
          <w:szCs w:val="24"/>
        </w:rPr>
        <w:t xml:space="preserve">; however, the population showed an early inverse correlation between reward magnitude and delay. Population trajectories were qualitatively entangled, suggesting that value integration was distributed across the population and involved complex nonlinear relationships with reward and delay. In contrast, in Monkey T, </w:t>
      </w:r>
      <w:r>
        <w:rPr>
          <w:rFonts w:ascii="Times New Roman" w:eastAsia="Times New Roman" w:hAnsi="Times New Roman" w:cs="Times New Roman"/>
          <w:i/>
          <w:iCs/>
          <w:color w:val="FF0000"/>
          <w:sz w:val="24"/>
          <w:szCs w:val="24"/>
          <w:highlight w:val="yellow"/>
        </w:rPr>
        <w:t>a larger proportion of neurons (&gt; 30%) showed linear value coding.</w:t>
      </w:r>
      <w:r>
        <w:rPr>
          <w:rFonts w:ascii="Times New Roman" w:eastAsia="Times New Roman" w:hAnsi="Times New Roman" w:cs="Times New Roman"/>
          <w:i/>
          <w:iCs/>
          <w:color w:val="FF0000"/>
          <w:sz w:val="24"/>
          <w:szCs w:val="24"/>
        </w:rPr>
        <w:t xml:space="preserve"> Population trajectories were qualitatively unentangled and linear, with low-dimensional population trajectories clearly separated by value.</w:t>
      </w:r>
    </w:p>
    <w:p w14:paraId="0000000C" w14:textId="77777777" w:rsidR="00610AF9" w:rsidRDefault="00000000">
      <w:pPr>
        <w:shd w:val="clear" w:color="auto" w:fill="FFFFFF"/>
        <w:spacing w:line="480" w:lineRule="auto"/>
        <w:rPr>
          <w:b/>
          <w:bCs/>
          <w:color w:val="FF0000"/>
        </w:rPr>
      </w:pPr>
      <w:r>
        <w:rPr>
          <w:rFonts w:ascii="Times New Roman" w:eastAsia="Times New Roman" w:hAnsi="Times New Roman" w:cs="Times New Roman"/>
          <w:i/>
          <w:iCs/>
          <w:color w:val="FF0000"/>
          <w:sz w:val="24"/>
          <w:szCs w:val="24"/>
        </w:rPr>
        <w:t>Although these differences may reflect distinct patterns of value coding across animals, they could also be influenced by differences in recording locations. To address this possibility, we compared linear coding across different recording arrays within Monkey S. The array most comparable to the recording region sampled in Monkey T contained only 3 linearly coding neurons out of 44 recorded neurons (~7%), which was substantially lower than the proportion observed in Monkey T. Thus, differences in recording location alone are unlikely to fully account for the higher prevalence of linear value coding observed in Monkey T. Nevertheless, this comparison is limited by the lack of precise anatomical correspondence between recording sites across animals and by the small number of linearly coding neurons in Monkey S.</w:t>
      </w:r>
      <w:r>
        <w:rPr>
          <w:rFonts w:ascii="Times New Roman" w:eastAsia="Times New Roman" w:hAnsi="Times New Roman" w:cs="Times New Roman"/>
          <w:sz w:val="24"/>
          <w:szCs w:val="24"/>
        </w:rPr>
        <w:t xml:space="preserve"> </w:t>
      </w:r>
    </w:p>
    <w:p w14:paraId="0000000D" w14:textId="77777777" w:rsidR="00610AF9" w:rsidRDefault="00000000">
      <w:pPr>
        <w:spacing w:after="160"/>
        <w:rPr>
          <w:b/>
          <w:bCs/>
          <w:highlight w:val="yellow"/>
        </w:rPr>
      </w:pPr>
      <w:r>
        <w:lastRenderedPageBreak/>
        <w:t>Are there any other differences in distributions for the other analyses that might correlate with anatomical location?</w:t>
      </w:r>
    </w:p>
    <w:p w14:paraId="0000000E" w14:textId="77777777" w:rsidR="00610AF9" w:rsidRDefault="00000000">
      <w:pPr>
        <w:spacing w:after="160"/>
        <w:rPr>
          <w:b/>
          <w:bCs/>
          <w:color w:val="FF0000"/>
        </w:rPr>
      </w:pPr>
      <w:r>
        <w:rPr>
          <w:color w:val="FF0000"/>
        </w:rPr>
        <w:t>We repeated a few analyses for the two arrays in monkey S.</w:t>
      </w:r>
      <w:r>
        <w:rPr>
          <w:b/>
          <w:bCs/>
          <w:color w:val="FF0000"/>
        </w:rPr>
        <w:t xml:space="preserve"> </w:t>
      </w:r>
    </w:p>
    <w:p w14:paraId="0000000F" w14:textId="77777777" w:rsidR="00610AF9" w:rsidRDefault="00000000">
      <w:pPr>
        <w:spacing w:after="160"/>
        <w:rPr>
          <w:color w:val="0070C0"/>
        </w:rPr>
      </w:pPr>
      <w:r>
        <w:rPr>
          <w:color w:val="FF0000"/>
        </w:rPr>
        <w:t xml:space="preserve">We found that </w:t>
      </w:r>
    </w:p>
    <w:p w14:paraId="00000010" w14:textId="77777777" w:rsidR="00610AF9" w:rsidRDefault="00000000">
      <w:pPr>
        <w:spacing w:after="160"/>
        <w:rPr>
          <w:color w:val="0070C0"/>
        </w:rPr>
      </w:pPr>
      <w:r>
        <w:rPr>
          <w:color w:val="0070C0"/>
        </w:rPr>
        <w:br/>
      </w:r>
      <w:r>
        <w:t xml:space="preserve"> 3. How much more training did Monkey S have compared to Monkey T? Perhaps this task would not evoke different strategies for temporal discounting if training was comparable between monkeys. Did early sessions with Monkey S reflect the strategy that Monkey T used, suggesting that increased experienced in the task resulted in shifting strategies?</w:t>
      </w:r>
    </w:p>
    <w:p w14:paraId="00000011" w14:textId="77777777" w:rsidR="00610AF9" w:rsidRDefault="00000000">
      <w:pPr>
        <w:spacing w:before="240" w:after="240"/>
        <w:rPr>
          <w:color w:val="EE0000"/>
          <w:highlight w:val="yellow"/>
        </w:rPr>
      </w:pPr>
      <w:r>
        <w:rPr>
          <w:color w:val="EE0000"/>
          <w:highlight w:val="yellow"/>
        </w:rPr>
        <w:t>We appreciate this important comment. Unfortunately, we miss this information in Monkey T. We still have some information for Monkey S. we checked the initial sessions in Monkey S and we see that ?????</w:t>
      </w:r>
    </w:p>
    <w:p w14:paraId="00000012" w14:textId="77777777" w:rsidR="00610AF9" w:rsidRDefault="00000000">
      <w:pPr>
        <w:spacing w:before="240" w:after="240"/>
        <w:rPr>
          <w:color w:val="EE0000"/>
          <w:highlight w:val="yellow"/>
        </w:rPr>
      </w:pPr>
      <w:r>
        <w:rPr>
          <w:b/>
          <w:bCs/>
          <w:color w:val="EE0000"/>
          <w:highlight w:val="yellow"/>
        </w:rPr>
        <w:t>I have to check the training of SEAM. I cannot retrieve the one of Tobias.</w:t>
      </w:r>
      <w:r>
        <w:rPr>
          <w:color w:val="EE0000"/>
          <w:highlight w:val="yellow"/>
        </w:rPr>
        <w:t xml:space="preserve"> </w:t>
      </w:r>
    </w:p>
    <w:p w14:paraId="00000013" w14:textId="77777777" w:rsidR="00610AF9" w:rsidRDefault="00000000">
      <w:pPr>
        <w:spacing w:before="240" w:after="240"/>
        <w:rPr>
          <w:color w:val="EE0000"/>
          <w:highlight w:val="yellow"/>
        </w:rPr>
      </w:pPr>
      <w:r>
        <w:rPr>
          <w:color w:val="EE0000"/>
          <w:highlight w:val="yellow"/>
        </w:rPr>
        <w:t>Nevertheless, in the dataset analyzed here, the two monkeys exhibited distinct behavioral strategies in the task, and these differences were accompanied by differences in neural coding. Understanding how behavioral strategies and their neural correlates evolve with experience would require longitudinal studies tracking the same animals across different stages of training.</w:t>
      </w:r>
    </w:p>
    <w:p w14:paraId="00000014" w14:textId="77777777" w:rsidR="00610AF9" w:rsidRDefault="00000000">
      <w:pPr>
        <w:spacing w:after="160"/>
        <w:rPr>
          <w:b/>
          <w:bCs/>
          <w:color w:val="EE0000"/>
        </w:rPr>
      </w:pPr>
      <w:r>
        <w:rPr>
          <w:color w:val="EE0000"/>
        </w:rPr>
        <w:t xml:space="preserve">We have clarified this argument in the discussion. </w:t>
      </w:r>
      <w:r>
        <w:rPr>
          <w:b/>
          <w:bCs/>
          <w:color w:val="EE0000"/>
        </w:rPr>
        <w:t>Please see:</w:t>
      </w:r>
    </w:p>
    <w:p w14:paraId="00000015" w14:textId="77777777" w:rsidR="00610AF9" w:rsidRDefault="00000000">
      <w:pPr>
        <w:spacing w:after="160"/>
      </w:pPr>
      <w:r>
        <w:t>4. It seems that the majority of the neural results presented are different between the two animals, which is understandable given the goal of the manuscript and the apparent behavioral differences between the two animals. However, it would be nice to have a positive control. Is there some aspect of the animal behavior and corresponding neural coding that is the same? Responses on opt in vs opt out? Errors? I am curious about those responses as well even if they aren't the same.</w:t>
      </w:r>
    </w:p>
    <w:p w14:paraId="00000016" w14:textId="77777777" w:rsidR="00610AF9" w:rsidRDefault="00000000">
      <w:pPr>
        <w:spacing w:after="160"/>
        <w:rPr>
          <w:color w:val="FF0000"/>
        </w:rPr>
      </w:pPr>
      <w:r>
        <w:rPr>
          <w:color w:val="FF0000"/>
        </w:rPr>
        <w:t xml:space="preserve">Thank you to the reviewer for this comment. As reported in figure 2 of the current manuscript, both monkeys rank the nine offers from lower to higher discounted value, with a similar pattern, showing that both animals rank the offers based on the delay and reward magnitude. Different offers with different delay and magnitude are accepted in a similar way, showing that animals attribute similar value. We found neural encoding of reward, delay and their interaction in both monkeys as shown in figure S1C-D and Fig S2 A-B. </w:t>
      </w:r>
    </w:p>
    <w:p w14:paraId="00000017" w14:textId="77777777" w:rsidR="00610AF9" w:rsidRDefault="00000000">
      <w:pPr>
        <w:spacing w:after="160"/>
        <w:rPr>
          <w:color w:val="FF0000"/>
        </w:rPr>
      </w:pPr>
      <w:r>
        <w:rPr>
          <w:color w:val="FF0000"/>
        </w:rPr>
        <w:t>We also found that in both monkeys Delay and Magnitude are inversely correlated, as shown in Figure 5, suggesting temporal discounting.</w:t>
      </w:r>
    </w:p>
    <w:p w14:paraId="00000018" w14:textId="77777777" w:rsidR="00610AF9" w:rsidRDefault="00000000">
      <w:pPr>
        <w:spacing w:after="160"/>
        <w:rPr>
          <w:color w:val="0070C0"/>
        </w:rPr>
      </w:pPr>
      <w:r>
        <w:rPr>
          <w:color w:val="FF0000"/>
        </w:rPr>
        <w:t xml:space="preserve">In both animals we did not find choice signal. </w:t>
      </w:r>
    </w:p>
    <w:p w14:paraId="00000019" w14:textId="77777777" w:rsidR="00610AF9" w:rsidRDefault="00000000">
      <w:pPr>
        <w:spacing w:after="160"/>
        <w:rPr>
          <w:color w:val="EE0000"/>
        </w:rPr>
      </w:pPr>
      <w:r>
        <w:rPr>
          <w:color w:val="0070C0"/>
        </w:rPr>
        <w:t>4. Opt-in Opt-out (Siyu can check)</w:t>
      </w:r>
    </w:p>
    <w:p w14:paraId="0000001A" w14:textId="77777777" w:rsidR="00610AF9" w:rsidRDefault="00000000">
      <w:pPr>
        <w:spacing w:after="160"/>
      </w:pPr>
      <w:r>
        <w:t>Other comments</w:t>
      </w:r>
      <w:r>
        <w:br/>
        <w:t xml:space="preserve"> 1. The cues in the task have visual similarities that co-vary with the delay and drops of juice. </w:t>
      </w:r>
      <w:r>
        <w:lastRenderedPageBreak/>
        <w:t>There are visually responsive neurons in dlPFC. Is it possible to at least partially isolate responses due the cue by examining when the same cue is in different "roles" (e.g., behind a purple vs yellow cue or when it's accepted vs rejected?)</w:t>
      </w:r>
    </w:p>
    <w:p w14:paraId="0000001B" w14:textId="77777777" w:rsidR="00610AF9" w:rsidRDefault="00000000">
      <w:pPr>
        <w:ind w:left="720"/>
        <w:rPr>
          <w:color w:val="0070C0"/>
        </w:rPr>
      </w:pPr>
      <w:r>
        <w:rPr>
          <w:color w:val="0070C0"/>
        </w:rPr>
        <w:t>1.</w:t>
      </w:r>
      <w:r>
        <w:rPr>
          <w:rFonts w:ascii="Times New Roman" w:eastAsia="Times New Roman" w:hAnsi="Times New Roman" w:cs="Times New Roman"/>
          <w:color w:val="0070C0"/>
          <w:sz w:val="14"/>
          <w:szCs w:val="14"/>
        </w:rPr>
        <w:t xml:space="preserve">      </w:t>
      </w:r>
      <w:r>
        <w:rPr>
          <w:color w:val="0070C0"/>
        </w:rPr>
        <w:t>Acknowledge the conceptual confound of visual vs delay/drop</w:t>
      </w:r>
    </w:p>
    <w:p w14:paraId="0000001C" w14:textId="77777777" w:rsidR="00610AF9" w:rsidRDefault="00000000">
      <w:pPr>
        <w:spacing w:after="160"/>
        <w:ind w:left="720"/>
        <w:rPr>
          <w:color w:val="0070C0"/>
        </w:rPr>
      </w:pPr>
      <w:r>
        <w:rPr>
          <w:color w:val="0070C0"/>
        </w:rPr>
        <w:t>2.</w:t>
      </w:r>
      <w:r>
        <w:rPr>
          <w:rFonts w:ascii="Times New Roman" w:eastAsia="Times New Roman" w:hAnsi="Times New Roman" w:cs="Times New Roman"/>
          <w:color w:val="0070C0"/>
          <w:sz w:val="14"/>
          <w:szCs w:val="14"/>
        </w:rPr>
        <w:t xml:space="preserve">      </w:t>
      </w:r>
      <w:r>
        <w:rPr>
          <w:color w:val="0070C0"/>
        </w:rPr>
        <w:t>Order of delay/drop suggests it’s more likely not a visual effect</w:t>
      </w:r>
    </w:p>
    <w:p w14:paraId="0000001D" w14:textId="77777777" w:rsidR="00610AF9" w:rsidRDefault="00000000">
      <w:pPr>
        <w:spacing w:after="160"/>
        <w:rPr>
          <w:color w:val="EE0000"/>
        </w:rPr>
      </w:pPr>
      <w:r>
        <w:rPr>
          <w:color w:val="EE0000"/>
        </w:rPr>
        <w:t xml:space="preserve">We thank the reviewer for this point. Because the cue set was constructed by recombining a limited set of simple geometric features encoding reward and delay, visual properties are inherently coupled to task variables. Therefore, as a partial control, we compared neuronal activity elicited by the same offer cue in trials in which the offer was ultimately accepted versus rejected. We did not observe significant differences between these conditions, indicating that the neuronal responses during the offer period were not modulated by the subsequent choice. We acknowledge, however, that this analysis does not rule out the possibility that part of the observed activity reflects visual processing of the cue, and we have added this point as a limitation in the manuscript. </w:t>
      </w:r>
    </w:p>
    <w:p w14:paraId="0000001E" w14:textId="77777777" w:rsidR="00610AF9" w:rsidRDefault="00000000">
      <w:pPr>
        <w:spacing w:after="160"/>
        <w:rPr>
          <w:color w:val="EE0000"/>
        </w:rPr>
      </w:pPr>
      <w:r>
        <w:rPr>
          <w:color w:val="EE0000"/>
        </w:rPr>
        <w:t xml:space="preserve">Please see lines ??-??.  </w:t>
      </w:r>
    </w:p>
    <w:p w14:paraId="0000001F" w14:textId="77777777" w:rsidR="00610AF9" w:rsidRDefault="00000000">
      <w:pPr>
        <w:spacing w:after="160"/>
      </w:pPr>
      <w:r>
        <w:t xml:space="preserve">2. The explanation (in words) of Model 2 was even more simple and straightforward in the methods, whereas it was a little </w:t>
      </w:r>
      <w:r>
        <w:rPr>
          <w:b/>
          <w:bCs/>
        </w:rPr>
        <w:t>hard to follow in the results.</w:t>
      </w:r>
      <w:r>
        <w:t xml:space="preserve"> Would recommend clarifying/rephrasing in the results.</w:t>
      </w:r>
    </w:p>
    <w:p w14:paraId="00000020" w14:textId="77777777" w:rsidR="00610AF9" w:rsidRDefault="00000000">
      <w:pPr>
        <w:shd w:val="clear" w:color="auto" w:fill="FFFFFF"/>
        <w:spacing w:line="48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We thank the reviewer for asking us to clarify this point. We have revised the Results section accordingly as follows: </w:t>
      </w:r>
    </w:p>
    <w:p w14:paraId="00000021" w14:textId="77777777" w:rsidR="00610AF9" w:rsidRDefault="00000000">
      <w:pPr>
        <w:shd w:val="clear" w:color="auto" w:fill="FFFFFF"/>
        <w:spacing w:line="480" w:lineRule="auto"/>
        <w:rPr>
          <w:i/>
          <w:iCs/>
          <w:color w:val="FF0000"/>
        </w:rPr>
      </w:pPr>
      <w:commentRangeStart w:id="0"/>
      <w:r>
        <w:rPr>
          <w:rFonts w:ascii="Times New Roman" w:eastAsia="Times New Roman" w:hAnsi="Times New Roman" w:cs="Times New Roman"/>
          <w:i/>
          <w:iCs/>
          <w:color w:val="FF0000"/>
          <w:sz w:val="24"/>
          <w:szCs w:val="24"/>
        </w:rPr>
        <w:t xml:space="preserve">The second simplistic strategy (Model 2; see Methods) assigns a bias directly to the go signal and chooses to accept if the combined value of the delayed reward offer and the go signal bias exceeds a threshold, and chooses to reject otherwise. The go signal bias approximates how much the go signal shifts the tendency to accept or reject an offer and assumes that this shift is independent of the offer value. In other words, the go signal produces the same increase or decrease in acceptance tendency for both favorable and unfavorable offers. </w:t>
      </w:r>
      <w:commentRangeEnd w:id="0"/>
      <w:r>
        <w:rPr>
          <w:rStyle w:val="CommentReference"/>
          <w:i/>
          <w:iCs/>
          <w:color w:val="FF0000"/>
          <w:sz w:val="22"/>
          <w:szCs w:val="22"/>
        </w:rPr>
        <w:commentReference w:id="0"/>
      </w:r>
    </w:p>
    <w:p w14:paraId="00000022" w14:textId="77777777" w:rsidR="00610AF9" w:rsidRDefault="00000000">
      <w:pPr>
        <w:spacing w:after="160"/>
      </w:pPr>
      <w:r>
        <w:rPr>
          <w:color w:val="EE0000"/>
        </w:rPr>
        <w:br/>
      </w:r>
      <w:r>
        <w:t xml:space="preserve"> 3. The hand/bar icon on Figure 1 (and the difference between open and closed) is a bit hard to see and it made it a little confusing to initially understand the task.</w:t>
      </w:r>
      <w:r>
        <w:br/>
      </w:r>
    </w:p>
    <w:p w14:paraId="00000023" w14:textId="77777777" w:rsidR="00610AF9" w:rsidRDefault="00000000">
      <w:pPr>
        <w:spacing w:after="160"/>
        <w:rPr>
          <w:color w:val="EE0000"/>
        </w:rPr>
      </w:pPr>
      <w:r>
        <w:rPr>
          <w:color w:val="FF0000"/>
        </w:rPr>
        <w:t>We can make it larger, although we also write holding and release.</w:t>
      </w:r>
      <w:r>
        <w:t xml:space="preserve"> </w:t>
      </w:r>
      <w:r>
        <w:rPr>
          <w:color w:val="EE0000"/>
        </w:rPr>
        <w:br/>
      </w:r>
      <w:r>
        <w:rPr>
          <w:color w:val="EE0000"/>
        </w:rPr>
        <w:br/>
      </w:r>
      <w:r>
        <w:rPr>
          <w:color w:val="EE0000"/>
        </w:rPr>
        <w:br/>
      </w:r>
    </w:p>
    <w:p w14:paraId="6A3B6DF6" w14:textId="77777777" w:rsidR="003E724E" w:rsidRDefault="00000000" w:rsidP="004A0E6E">
      <w:r>
        <w:rPr>
          <w:b/>
          <w:bCs/>
        </w:rPr>
        <w:lastRenderedPageBreak/>
        <w:t>Reviewer #2:</w:t>
      </w:r>
      <w:r>
        <w:t xml:space="preserve"> This review identifies several areas where the manuscript would benefit from clearer conceptual and analytical presentation. The main concerns are that the computational models are not specified sufficiently to evaluate the proposed decision processes, key neural analysis terms and methods require clearer definition, and the link between go-signal-related neural activity, recalculated value, and behavioral strategy remains underdeveloped. Overall, the manuscript addresses an interesting question, but stronger model clarity, methodological transparency, and tighter integration between behavioral and neural findings would substantially </w:t>
      </w:r>
    </w:p>
    <w:p w14:paraId="66B84B6B" w14:textId="77777777" w:rsidR="003E724E" w:rsidRDefault="00000000" w:rsidP="003E724E">
      <w:pPr>
        <w:rPr>
          <w:color w:val="0070C0"/>
        </w:rPr>
      </w:pPr>
      <w:r>
        <w:t>improve the interpretation of the results.</w:t>
      </w:r>
      <w:r>
        <w:br/>
      </w:r>
    </w:p>
    <w:p w14:paraId="623135B6" w14:textId="5F30B771" w:rsidR="003E724E" w:rsidRPr="003E724E" w:rsidRDefault="003E724E" w:rsidP="004A0E6E">
      <w:pPr>
        <w:rPr>
          <w:color w:val="0070C0"/>
        </w:rPr>
      </w:pPr>
      <w:r>
        <w:rPr>
          <w:color w:val="0070C0"/>
        </w:rPr>
        <w:t>We tha</w:t>
      </w:r>
      <w:r>
        <w:rPr>
          <w:color w:val="0070C0"/>
        </w:rPr>
        <w:t>nk the reviewer for carefully reviewing our manuscript.</w:t>
      </w:r>
      <w:r w:rsidR="00560F8B">
        <w:rPr>
          <w:color w:val="0070C0"/>
        </w:rPr>
        <w:t xml:space="preserve"> We have substantially modified the methods section of the paper, to improve clarity in both the behavioral modeling, and population-based neural analysis. </w:t>
      </w:r>
    </w:p>
    <w:p w14:paraId="7810E274" w14:textId="77777777" w:rsidR="00D8124C" w:rsidRDefault="004A0E6E" w:rsidP="00D8124C">
      <w:r w:rsidRPr="009D215E">
        <w:br/>
        <w:t>1. Clarification of the computational models</w:t>
      </w:r>
      <w:r w:rsidRPr="009D215E">
        <w:br/>
        <w:t>To model the differential effects of the purple and yellow go signals, the authors compare three models, Models 1-3, that appear to correspond to different hypothesized decision processes. However, in the current version of the manuscript, the models are difficult to evaluate because their details are not described with sufficient clarity. In particular, the same notation appears to be used for different model components, notation is not always consistent within a given model, and some of the equations may contain errors. These issues make it difficult to determine precisely what decision processes the models are intended to represent.</w:t>
      </w:r>
    </w:p>
    <w:p w14:paraId="4E2D775C" w14:textId="77777777" w:rsidR="00D8124C" w:rsidRDefault="00D8124C" w:rsidP="00D8124C"/>
    <w:p w14:paraId="625946E8" w14:textId="52C7F53A" w:rsidR="00D8124C" w:rsidRDefault="00D8124C" w:rsidP="004A0E6E">
      <w:pPr>
        <w:rPr>
          <w:color w:val="0070C0"/>
        </w:rPr>
      </w:pPr>
      <w:r>
        <w:rPr>
          <w:color w:val="0070C0"/>
        </w:rPr>
        <w:t xml:space="preserve">We thank the reviewer for carefully </w:t>
      </w:r>
      <w:r>
        <w:rPr>
          <w:color w:val="0070C0"/>
        </w:rPr>
        <w:t xml:space="preserve">assessing our behavioral models. We have unified the notations across models to minimize confusion. </w:t>
      </w:r>
      <w:r w:rsidR="00AE77D4">
        <w:rPr>
          <w:color w:val="0070C0"/>
        </w:rPr>
        <w:t xml:space="preserve">In addition, we added a paragraph to describe the common features </w:t>
      </w:r>
      <w:r w:rsidR="00AD4B99">
        <w:rPr>
          <w:color w:val="0070C0"/>
        </w:rPr>
        <w:t>of</w:t>
      </w:r>
      <w:r w:rsidR="00AE77D4">
        <w:rPr>
          <w:color w:val="0070C0"/>
        </w:rPr>
        <w:t xml:space="preserve"> the three models, before </w:t>
      </w:r>
      <w:r w:rsidR="009C5E43">
        <w:rPr>
          <w:color w:val="0070C0"/>
        </w:rPr>
        <w:t xml:space="preserve">diving into each one. </w:t>
      </w:r>
    </w:p>
    <w:p w14:paraId="14ADFCAD" w14:textId="77777777" w:rsidR="009C5E43" w:rsidRDefault="009C5E43" w:rsidP="004A0E6E">
      <w:pPr>
        <w:rPr>
          <w:color w:val="0070C0"/>
        </w:rPr>
      </w:pPr>
    </w:p>
    <w:p w14:paraId="7CE9FD3B" w14:textId="77777777" w:rsidR="006C7F4C" w:rsidRPr="006C7F4C" w:rsidRDefault="009C5E43" w:rsidP="006C7F4C">
      <w:pPr>
        <w:spacing w:line="480" w:lineRule="auto"/>
        <w:ind w:firstLine="360"/>
        <w:rPr>
          <w:rFonts w:ascii="Times New Roman" w:eastAsia="Times New Roman" w:hAnsi="Times New Roman" w:cs="Times New Roman"/>
          <w:color w:val="0070C0"/>
          <w:sz w:val="24"/>
          <w:szCs w:val="24"/>
        </w:rPr>
      </w:pPr>
      <w:r w:rsidRPr="006C7F4C">
        <w:rPr>
          <w:color w:val="0070C0"/>
        </w:rPr>
        <w:t>“</w:t>
      </w:r>
      <w:r w:rsidR="006C7F4C" w:rsidRPr="006C7F4C">
        <w:rPr>
          <w:rFonts w:ascii="Times New Roman" w:eastAsia="Times New Roman" w:hAnsi="Times New Roman" w:cs="Times New Roman"/>
          <w:color w:val="0070C0"/>
          <w:sz w:val="24"/>
          <w:szCs w:val="24"/>
        </w:rPr>
        <w:t xml:space="preserve">. </w:t>
      </w:r>
    </w:p>
    <w:p w14:paraId="37A4CBE0" w14:textId="77777777" w:rsidR="006C7F4C" w:rsidRPr="006C7F4C" w:rsidRDefault="006C7F4C" w:rsidP="006C7F4C">
      <w:pPr>
        <w:spacing w:line="480" w:lineRule="auto"/>
        <w:rPr>
          <w:rFonts w:ascii="Times New Roman" w:eastAsia="Times New Roman" w:hAnsi="Times New Roman" w:cs="Times New Roman"/>
          <w:color w:val="0070C0"/>
          <w:sz w:val="24"/>
          <w:szCs w:val="24"/>
        </w:rPr>
      </w:pPr>
      <w:r w:rsidRPr="006C7F4C">
        <w:rPr>
          <w:rFonts w:ascii="Times New Roman" w:eastAsia="Times New Roman" w:hAnsi="Times New Roman" w:cs="Times New Roman"/>
          <w:color w:val="0070C0"/>
          <w:sz w:val="24"/>
          <w:szCs w:val="24"/>
        </w:rPr>
        <w:t xml:space="preserve">We fitted and compared three behavioral models. Model 1 is a baseline model which assumes that temporal-discounting decisions are made independent of the go-signal, whereas Model 2 and Model 3 make different assumptions about how the go-signal modulates values and decisions. Maximum likelihood estimation was used to estimate the parameters in all models.  </w:t>
      </w:r>
    </w:p>
    <w:p w14:paraId="482E2B90" w14:textId="77777777" w:rsidR="006C7F4C" w:rsidRPr="006C7F4C" w:rsidRDefault="006C7F4C" w:rsidP="006C7F4C">
      <w:pPr>
        <w:spacing w:line="480" w:lineRule="auto"/>
        <w:ind w:firstLine="360"/>
        <w:rPr>
          <w:rFonts w:ascii="Times New Roman" w:eastAsia="Times New Roman" w:hAnsi="Times New Roman" w:cs="Times New Roman"/>
          <w:color w:val="0070C0"/>
          <w:sz w:val="24"/>
          <w:szCs w:val="24"/>
        </w:rPr>
      </w:pPr>
      <w:r w:rsidRPr="006C7F4C">
        <w:rPr>
          <w:rFonts w:ascii="Times New Roman" w:eastAsia="Times New Roman" w:hAnsi="Times New Roman" w:cs="Times New Roman"/>
          <w:color w:val="0070C0"/>
          <w:sz w:val="24"/>
          <w:szCs w:val="24"/>
        </w:rPr>
        <w:t xml:space="preserve">In all three models, it is assumed that animals compute the expected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6C7F4C">
        <w:rPr>
          <w:rFonts w:ascii="Times New Roman" w:eastAsia="Times New Roman" w:hAnsi="Times New Roman" w:cs="Times New Roman"/>
          <w:color w:val="0070C0"/>
          <w:sz w:val="24"/>
          <w:szCs w:val="24"/>
        </w:rPr>
        <w:t xml:space="preserve">, and the expected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6C7F4C">
        <w:rPr>
          <w:rFonts w:ascii="Times New Roman" w:eastAsia="Times New Roman" w:hAnsi="Times New Roman" w:cs="Times New Roman"/>
          <w:color w:val="0070C0"/>
          <w:sz w:val="24"/>
          <w:szCs w:val="24"/>
        </w:rPr>
        <w:t xml:space="preserve">, and decisions are made by comparing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6C7F4C">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6C7F4C">
        <w:rPr>
          <w:rFonts w:ascii="Times New Roman" w:eastAsia="Times New Roman" w:hAnsi="Times New Roman" w:cs="Times New Roman"/>
          <w:color w:val="0070C0"/>
          <w:sz w:val="24"/>
          <w:szCs w:val="24"/>
        </w:rPr>
        <w:t xml:space="preserve"> using the softmax rule:</w:t>
      </w:r>
    </w:p>
    <w:p w14:paraId="2E4A0F53" w14:textId="77777777" w:rsidR="006C7F4C" w:rsidRPr="006C7F4C" w:rsidRDefault="006C7F4C" w:rsidP="006C7F4C">
      <w:pPr>
        <w:jc w:val="center"/>
        <w:rPr>
          <w:rFonts w:ascii="Cambria Math" w:eastAsia="Cambria Math" w:hAnsi="Cambria Math" w:cs="Cambria Math"/>
          <w:color w:val="0070C0"/>
        </w:rPr>
      </w:pPr>
      <m:oMathPara>
        <m:oMath>
          <m:r>
            <w:rPr>
              <w:rFonts w:ascii="Cambria Math" w:eastAsia="Cambria Math" w:hAnsi="Cambria Math" w:cs="Cambria Math"/>
              <w:color w:val="0070C0"/>
            </w:rPr>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accept</m:t>
                          </m:r>
                        </m:sup>
                      </m:sSup>
                      <m:r>
                        <m:rPr>
                          <m:sty m:val="p"/>
                        </m:rP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m:rPr>
                          <m:sty m:val="p"/>
                        </m:rPr>
                        <w:rPr>
                          <w:rFonts w:ascii="Cambria Math" w:eastAsia="Times New Roman" w:hAnsi="Cambria Math" w:cs="Times New Roman"/>
                          <w:color w:val="0070C0"/>
                          <w:sz w:val="24"/>
                          <w:szCs w:val="24"/>
                        </w:rPr>
                        <m:t xml:space="preserve">  </m:t>
                      </m:r>
                    </m:num>
                    <m:den>
                      <m:r>
                        <w:rPr>
                          <w:rFonts w:ascii="Cambria Math" w:eastAsia="Cambria Math" w:hAnsi="Cambria Math" w:cs="Cambria Math"/>
                          <w:color w:val="0070C0"/>
                        </w:rPr>
                        <m:t>σ</m:t>
                      </m:r>
                    </m:den>
                  </m:f>
                </m:sup>
              </m:sSup>
            </m:den>
          </m:f>
        </m:oMath>
      </m:oMathPara>
    </w:p>
    <w:p w14:paraId="6A3ABF16" w14:textId="77777777" w:rsidR="006C7F4C" w:rsidRPr="006C7F4C" w:rsidRDefault="006C7F4C" w:rsidP="006C7F4C">
      <w:pPr>
        <w:rPr>
          <w:rFonts w:ascii="Cambria Math" w:eastAsia="Cambria Math" w:hAnsi="Cambria Math" w:cs="Cambria Math"/>
          <w:color w:val="0070C0"/>
        </w:rPr>
      </w:pPr>
      <w:r w:rsidRPr="006C7F4C">
        <w:rPr>
          <w:rFonts w:ascii="Cambria Math" w:eastAsia="Cambria Math" w:hAnsi="Cambria Math" w:cs="Cambria Math"/>
          <w:color w:val="0070C0"/>
        </w:rPr>
        <w:lastRenderedPageBreak/>
        <w:t xml:space="preserve">Here, </w:t>
      </w:r>
      <m:oMath>
        <m:r>
          <w:rPr>
            <w:rFonts w:ascii="Cambria Math" w:eastAsia="Cambria Math" w:hAnsi="Cambria Math" w:cs="Cambria Math"/>
            <w:color w:val="0070C0"/>
          </w:rPr>
          <m:t>σ</m:t>
        </m:r>
      </m:oMath>
      <w:r w:rsidRPr="006C7F4C">
        <w:rPr>
          <w:rFonts w:ascii="Times New Roman" w:eastAsia="Times New Roman" w:hAnsi="Times New Roman" w:cs="Times New Roman"/>
          <w:color w:val="0070C0"/>
          <w:sz w:val="24"/>
          <w:szCs w:val="24"/>
        </w:rPr>
        <w:t xml:space="preserve"> is the decision noise parameter that captures choice stochasticity. </w:t>
      </w:r>
    </w:p>
    <w:p w14:paraId="6AC1AA52" w14:textId="77777777" w:rsidR="006C7F4C" w:rsidRPr="006C7F4C" w:rsidRDefault="006C7F4C" w:rsidP="006C7F4C">
      <w:pPr>
        <w:spacing w:line="480" w:lineRule="auto"/>
        <w:ind w:firstLine="360"/>
        <w:rPr>
          <w:rFonts w:ascii="Times New Roman" w:eastAsia="Times New Roman" w:hAnsi="Times New Roman" w:cs="Times New Roman"/>
          <w:color w:val="0070C0"/>
          <w:sz w:val="24"/>
          <w:szCs w:val="24"/>
        </w:rPr>
      </w:pPr>
      <w:r w:rsidRPr="006C7F4C">
        <w:rPr>
          <w:rFonts w:ascii="Times New Roman" w:eastAsia="Times New Roman" w:hAnsi="Times New Roman" w:cs="Times New Roman"/>
          <w:color w:val="0070C0"/>
          <w:sz w:val="24"/>
          <w:szCs w:val="24"/>
        </w:rPr>
        <w:t xml:space="preserve">Hyperbolic discounting is used to estimate temporally discounted values. A reward </w:t>
      </w:r>
      <m:oMath>
        <m:r>
          <w:rPr>
            <w:rFonts w:ascii="Cambria Math" w:eastAsia="Times New Roman" w:hAnsi="Cambria Math" w:cs="Times New Roman"/>
            <w:color w:val="0070C0"/>
            <w:sz w:val="24"/>
            <w:szCs w:val="24"/>
          </w:rPr>
          <m:t>R</m:t>
        </m:r>
      </m:oMath>
      <w:r w:rsidRPr="006C7F4C">
        <w:rPr>
          <w:rFonts w:ascii="Times New Roman" w:eastAsia="Times New Roman" w:hAnsi="Times New Roman" w:cs="Times New Roman"/>
          <w:color w:val="0070C0"/>
          <w:sz w:val="24"/>
          <w:szCs w:val="24"/>
        </w:rPr>
        <w:t xml:space="preserve"> at a delay </w:t>
      </w:r>
      <m:oMath>
        <m:r>
          <w:rPr>
            <w:rFonts w:ascii="Cambria Math" w:eastAsia="Times New Roman" w:hAnsi="Cambria Math" w:cs="Times New Roman"/>
            <w:color w:val="0070C0"/>
            <w:sz w:val="24"/>
            <w:szCs w:val="24"/>
          </w:rPr>
          <m:t>D</m:t>
        </m:r>
      </m:oMath>
      <w:r w:rsidRPr="006C7F4C">
        <w:rPr>
          <w:rFonts w:ascii="Times New Roman" w:eastAsia="Times New Roman" w:hAnsi="Times New Roman" w:cs="Times New Roman"/>
          <w:color w:val="0070C0"/>
          <w:sz w:val="24"/>
          <w:szCs w:val="24"/>
        </w:rPr>
        <w:t xml:space="preserve"> is assumed to have temporally discounted value </w:t>
      </w:r>
      <m:oMath>
        <m:r>
          <w:rPr>
            <w:rFonts w:ascii="Cambria Math" w:eastAsia="Cambria Math" w:hAnsi="Cambria Math" w:cs="Cambria Math"/>
            <w:color w:val="0070C0"/>
          </w:rPr>
          <m:t>D</m:t>
        </m:r>
        <m:r>
          <w:rPr>
            <w:rFonts w:ascii="Cambria Math" w:eastAsia="Cambria Math" w:hAnsi="Cambria Math" w:cs="Cambria Math"/>
            <w:color w:val="0070C0"/>
          </w:rPr>
          <m:t>V</m:t>
        </m:r>
        <m:d>
          <m:dPr>
            <m:ctrlPr>
              <w:rPr>
                <w:rFonts w:ascii="Cambria Math" w:eastAsia="Cambria Math" w:hAnsi="Cambria Math" w:cs="Cambria Math"/>
                <w:color w:val="0070C0"/>
              </w:rPr>
            </m:ctrlPr>
          </m:dPr>
          <m:e>
            <m:r>
              <w:rPr>
                <w:rFonts w:ascii="Cambria Math" w:eastAsia="Cambria Math" w:hAnsi="Cambria Math" w:cs="Cambria Math"/>
                <w:color w:val="0070C0"/>
              </w:rPr>
              <m:t>R</m:t>
            </m:r>
            <m:r>
              <w:rPr>
                <w:rFonts w:ascii="Cambria Math" w:eastAsia="Cambria Math" w:hAnsi="Cambria Math" w:cs="Cambria Math"/>
                <w:color w:val="0070C0"/>
              </w:rPr>
              <m:t>,</m:t>
            </m:r>
            <m:r>
              <w:rPr>
                <w:rFonts w:ascii="Cambria Math" w:eastAsia="Cambria Math" w:hAnsi="Cambria Math" w:cs="Cambria Math"/>
                <w:color w:val="0070C0"/>
              </w:rPr>
              <m:t>D</m:t>
            </m:r>
          </m:e>
        </m:d>
      </m:oMath>
    </w:p>
    <w:p w14:paraId="22B00B3F" w14:textId="77777777" w:rsidR="006C7F4C" w:rsidRPr="006C7F4C" w:rsidRDefault="006C7F4C" w:rsidP="006C7F4C">
      <w:pPr>
        <w:spacing w:line="480" w:lineRule="auto"/>
        <w:rPr>
          <w:rFonts w:ascii="Times New Roman" w:eastAsia="Times New Roman" w:hAnsi="Times New Roman" w:cs="Times New Roman"/>
          <w:color w:val="0070C0"/>
        </w:rPr>
      </w:pPr>
      <m:oMathPara>
        <m:oMath>
          <m:r>
            <w:rPr>
              <w:rFonts w:ascii="Cambria Math" w:eastAsia="Cambria Math" w:hAnsi="Cambria Math" w:cs="Cambria Math"/>
              <w:color w:val="0070C0"/>
            </w:rPr>
            <m:t>D</m:t>
          </m:r>
          <m:r>
            <w:rPr>
              <w:rFonts w:ascii="Cambria Math" w:eastAsia="Cambria Math" w:hAnsi="Cambria Math" w:cs="Cambria Math"/>
              <w:color w:val="0070C0"/>
            </w:rPr>
            <m:t>V</m:t>
          </m:r>
          <m:d>
            <m:dPr>
              <m:ctrlPr>
                <w:rPr>
                  <w:rFonts w:ascii="Cambria Math" w:eastAsia="Cambria Math" w:hAnsi="Cambria Math" w:cs="Cambria Math"/>
                  <w:color w:val="0070C0"/>
                </w:rPr>
              </m:ctrlPr>
            </m:dPr>
            <m:e>
              <m:r>
                <w:rPr>
                  <w:rFonts w:ascii="Cambria Math" w:eastAsia="Cambria Math" w:hAnsi="Cambria Math" w:cs="Cambria Math"/>
                  <w:color w:val="0070C0"/>
                </w:rPr>
                <m:t>R, D</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R</m:t>
              </m:r>
            </m:num>
            <m:den>
              <m:r>
                <w:rPr>
                  <w:rFonts w:ascii="Cambria Math" w:eastAsia="Cambria Math" w:hAnsi="Cambria Math" w:cs="Cambria Math"/>
                  <w:color w:val="0070C0"/>
                </w:rPr>
                <m:t>1+k⋅</m:t>
              </m:r>
              <m:r>
                <w:rPr>
                  <w:rFonts w:ascii="Cambria Math" w:eastAsia="Cambria Math" w:hAnsi="Cambria Math" w:cs="Cambria Math"/>
                  <w:color w:val="0070C0"/>
                </w:rPr>
                <m:t>D</m:t>
              </m:r>
            </m:den>
          </m:f>
        </m:oMath>
      </m:oMathPara>
    </w:p>
    <w:p w14:paraId="5BDC1B0A" w14:textId="6C881989" w:rsidR="00CE64AB" w:rsidRPr="006C7F4C" w:rsidRDefault="006C7F4C" w:rsidP="006C7F4C">
      <w:pPr>
        <w:spacing w:line="480" w:lineRule="auto"/>
        <w:rPr>
          <w:rFonts w:ascii="Times New Roman" w:eastAsia="Times New Roman" w:hAnsi="Times New Roman" w:cs="Times New Roman"/>
          <w:color w:val="0070C0"/>
          <w:sz w:val="24"/>
          <w:szCs w:val="24"/>
        </w:rPr>
      </w:pPr>
      <w:r w:rsidRPr="006C7F4C">
        <w:rPr>
          <w:rFonts w:ascii="Cambria Math" w:eastAsia="Times New Roman" w:hAnsi="Cambria Math" w:cs="Times New Roman"/>
          <w:color w:val="0070C0"/>
        </w:rPr>
        <w:t>𝑤here</w:t>
      </w:r>
      <w:r w:rsidRPr="006C7F4C">
        <w:rPr>
          <w:rFonts w:ascii="Times New Roman" w:eastAsia="Times New Roman" w:hAnsi="Times New Roman" w:cs="Times New Roman"/>
          <w:color w:val="0070C0"/>
        </w:rPr>
        <w:t xml:space="preserve"> </w:t>
      </w:r>
      <m:oMath>
        <m:r>
          <w:rPr>
            <w:rFonts w:ascii="Cambria Math" w:eastAsia="Cambria Math" w:hAnsi="Cambria Math" w:cs="Cambria Math"/>
            <w:color w:val="0070C0"/>
          </w:rPr>
          <m:t>k</m:t>
        </m:r>
      </m:oMath>
      <w:r w:rsidRPr="006C7F4C">
        <w:rPr>
          <w:rFonts w:ascii="Times New Roman" w:eastAsia="Times New Roman" w:hAnsi="Times New Roman" w:cs="Times New Roman"/>
          <w:color w:val="0070C0"/>
          <w:sz w:val="24"/>
          <w:szCs w:val="24"/>
        </w:rPr>
        <w:t xml:space="preserve"> is the hyperbolic discounting </w:t>
      </w:r>
      <w:r w:rsidRPr="006C7F4C">
        <w:rPr>
          <w:rFonts w:ascii="Times New Roman" w:eastAsia="Times New Roman" w:hAnsi="Times New Roman" w:cs="Times New Roman"/>
          <w:color w:val="0070C0"/>
          <w:sz w:val="24"/>
          <w:szCs w:val="24"/>
        </w:rPr>
        <w:t>parameter</w:t>
      </w:r>
      <w:r w:rsidRPr="006C7F4C">
        <w:rPr>
          <w:rFonts w:ascii="Times New Roman" w:eastAsia="Times New Roman" w:hAnsi="Times New Roman" w:cs="Times New Roman"/>
          <w:color w:val="0070C0"/>
          <w:sz w:val="24"/>
          <w:szCs w:val="24"/>
        </w:rPr>
        <w:t>.</w:t>
      </w:r>
      <w:r w:rsidR="00CE64AB" w:rsidRPr="006C7F4C">
        <w:rPr>
          <w:rFonts w:ascii="Times New Roman" w:eastAsia="Times New Roman" w:hAnsi="Times New Roman" w:cs="Times New Roman"/>
          <w:color w:val="0070C0"/>
          <w:sz w:val="24"/>
          <w:szCs w:val="24"/>
        </w:rPr>
        <w:t xml:space="preserve"> </w:t>
      </w:r>
    </w:p>
    <w:p w14:paraId="68A1F126" w14:textId="6001BFC2" w:rsidR="009C5E43" w:rsidRDefault="009C5E43" w:rsidP="004A0E6E">
      <w:r>
        <w:rPr>
          <w:color w:val="0070C0"/>
        </w:rPr>
        <w:t>”</w:t>
      </w:r>
    </w:p>
    <w:p w14:paraId="4B676249" w14:textId="6AD75809" w:rsidR="00A63C77" w:rsidRPr="00A63C77" w:rsidRDefault="004A0E6E" w:rsidP="004A0E6E">
      <w:r w:rsidRPr="00A63C77">
        <w:br/>
        <w:t>First, the baseline model, which does not incorporate a go-signal-dependent decision process, does not appear to be a reinforcement-learning model as currently described. Rather, it seems to be identical to Model 1, with the parameters V, θ, and β replaced by DV, θ, and σ, respectively. In addition, in Model 1, if the discounted value is being compared against a decision threshold, the exponent term would seem more naturally expressed as DV-θ, rather than -V-θ.</w:t>
      </w:r>
    </w:p>
    <w:p w14:paraId="20DF07FC" w14:textId="77777777" w:rsidR="00A63C77" w:rsidRDefault="00A63C77" w:rsidP="004A0E6E"/>
    <w:p w14:paraId="60EBF517" w14:textId="27C1145E" w:rsidR="004A0E6E" w:rsidRDefault="00A63C77" w:rsidP="004A0E6E">
      <w:pPr>
        <w:rPr>
          <w:color w:val="0070C0"/>
        </w:rPr>
      </w:pPr>
      <w:r>
        <w:rPr>
          <w:color w:val="0070C0"/>
        </w:rPr>
        <w:t xml:space="preserve">We thank the reviewer for carefully examining our behavioral models. </w:t>
      </w:r>
      <w:r>
        <w:rPr>
          <w:color w:val="0070C0"/>
        </w:rPr>
        <w:t xml:space="preserve">The reviewer is correct that the “baseline model” in Figure 2 is equivalent to “Model 1” in Figure 4. The reviewer is also correct that this is not a reinforcement learning model, but rather a </w:t>
      </w:r>
      <w:r w:rsidR="005956AC">
        <w:rPr>
          <w:color w:val="0070C0"/>
        </w:rPr>
        <w:t xml:space="preserve">simple </w:t>
      </w:r>
      <w:r>
        <w:rPr>
          <w:color w:val="0070C0"/>
        </w:rPr>
        <w:t xml:space="preserve">decision-making model. We have </w:t>
      </w:r>
      <w:r w:rsidR="00921DEA">
        <w:rPr>
          <w:color w:val="0070C0"/>
        </w:rPr>
        <w:t>modified</w:t>
      </w:r>
      <w:r>
        <w:rPr>
          <w:color w:val="0070C0"/>
        </w:rPr>
        <w:t xml:space="preserve"> the manuscript </w:t>
      </w:r>
      <w:r w:rsidR="008A4D56">
        <w:rPr>
          <w:color w:val="0070C0"/>
        </w:rPr>
        <w:t>to improve clarity</w:t>
      </w:r>
      <w:r w:rsidR="009F3863">
        <w:rPr>
          <w:color w:val="0070C0"/>
        </w:rPr>
        <w:t>, see below</w:t>
      </w:r>
      <w:r>
        <w:rPr>
          <w:color w:val="0070C0"/>
        </w:rPr>
        <w:t>:</w:t>
      </w:r>
    </w:p>
    <w:p w14:paraId="3FED0663" w14:textId="77777777" w:rsidR="00A63C77" w:rsidRDefault="00A63C77" w:rsidP="004A0E6E">
      <w:pPr>
        <w:rPr>
          <w:color w:val="0070C0"/>
        </w:rPr>
      </w:pPr>
    </w:p>
    <w:p w14:paraId="5900032F" w14:textId="77777777" w:rsidR="00AC4E33" w:rsidRPr="00CC2F32" w:rsidRDefault="00B56FDC" w:rsidP="00AC4E33">
      <w:pPr>
        <w:spacing w:line="480" w:lineRule="auto"/>
        <w:rPr>
          <w:rFonts w:ascii="Times New Roman" w:eastAsia="Times New Roman" w:hAnsi="Times New Roman" w:cs="Times New Roman"/>
          <w:sz w:val="24"/>
          <w:szCs w:val="24"/>
        </w:rPr>
      </w:pPr>
      <w:r w:rsidRPr="008F5372">
        <w:rPr>
          <w:color w:val="0070C0"/>
        </w:rPr>
        <w:t>“</w:t>
      </w:r>
    </w:p>
    <w:p w14:paraId="7086F95D" w14:textId="77777777" w:rsidR="00AC4E33" w:rsidRPr="00AC4E33" w:rsidRDefault="00AC4E33" w:rsidP="00AC4E33">
      <w:pPr>
        <w:numPr>
          <w:ilvl w:val="0"/>
          <w:numId w:val="1"/>
        </w:numPr>
        <w:pBdr>
          <w:top w:val="nil"/>
          <w:left w:val="nil"/>
          <w:bottom w:val="nil"/>
          <w:right w:val="nil"/>
          <w:between w:val="nil"/>
        </w:pBdr>
        <w:shd w:val="clear" w:color="auto" w:fill="FFFFFF"/>
        <w:tabs>
          <w:tab w:val="left" w:pos="270"/>
        </w:tabs>
        <w:spacing w:line="480" w:lineRule="auto"/>
        <w:ind w:left="0" w:firstLine="0"/>
        <w:rPr>
          <w:rFonts w:ascii="Times New Roman" w:eastAsia="Times New Roman" w:hAnsi="Times New Roman" w:cs="Times New Roman"/>
          <w:b/>
          <w:bCs/>
          <w:color w:val="0070C0"/>
          <w:sz w:val="24"/>
          <w:szCs w:val="24"/>
        </w:rPr>
      </w:pPr>
      <w:r w:rsidRPr="00AC4E33">
        <w:rPr>
          <w:rFonts w:ascii="Times New Roman" w:eastAsia="Times New Roman" w:hAnsi="Times New Roman" w:cs="Times New Roman"/>
          <w:b/>
          <w:bCs/>
          <w:color w:val="0070C0"/>
          <w:sz w:val="24"/>
          <w:szCs w:val="24"/>
        </w:rPr>
        <w:t>Model 1</w:t>
      </w:r>
    </w:p>
    <w:p w14:paraId="05195615" w14:textId="77777777" w:rsidR="00AC4E33" w:rsidRPr="00AC4E33" w:rsidRDefault="00AC4E33" w:rsidP="00AC4E33">
      <w:pPr>
        <w:spacing w:line="480" w:lineRule="auto"/>
        <w:rPr>
          <w:rFonts w:ascii="Times New Roman" w:eastAsia="Times New Roman" w:hAnsi="Times New Roman" w:cs="Times New Roman"/>
          <w:color w:val="0070C0"/>
          <w:sz w:val="24"/>
          <w:szCs w:val="24"/>
        </w:rPr>
      </w:pPr>
      <w:r w:rsidRPr="00AC4E33">
        <w:rPr>
          <w:rFonts w:ascii="Times New Roman" w:eastAsia="Times New Roman" w:hAnsi="Times New Roman" w:cs="Times New Roman"/>
          <w:color w:val="0070C0"/>
          <w:sz w:val="24"/>
          <w:szCs w:val="24"/>
        </w:rPr>
        <w:t xml:space="preserve">The temporally discounted values are computed for each of the 9 cues as </w:t>
      </w:r>
    </w:p>
    <w:p w14:paraId="38080952" w14:textId="77777777" w:rsidR="00AC4E33" w:rsidRPr="00AC4E33" w:rsidRDefault="00AC4E33" w:rsidP="00AC4E33">
      <w:pPr>
        <w:spacing w:line="480" w:lineRule="auto"/>
        <w:rPr>
          <w:rFonts w:ascii="Times New Roman" w:eastAsia="Times New Roman" w:hAnsi="Times New Roman" w:cs="Times New Roman"/>
          <w:color w:val="0070C0"/>
        </w:rPr>
      </w:pPr>
      <m:oMathPara>
        <m:oMath>
          <m:r>
            <w:rPr>
              <w:rFonts w:ascii="Cambria Math" w:eastAsia="Times New Roman" w:hAnsi="Cambria Math" w:cs="Times New Roman"/>
              <w:color w:val="0070C0"/>
              <w:sz w:val="24"/>
              <w:szCs w:val="24"/>
            </w:rPr>
            <m:t>DV</m:t>
          </m:r>
          <m:d>
            <m:dPr>
              <m:ctrlPr>
                <w:rPr>
                  <w:rFonts w:ascii="Cambria Math" w:eastAsia="Times New Roman" w:hAnsi="Cambria Math" w:cs="Times New Roman"/>
                  <w:i/>
                  <w:color w:val="0070C0"/>
                  <w:sz w:val="24"/>
                  <w:szCs w:val="24"/>
                </w:rPr>
              </m:ctrlPr>
            </m:dPr>
            <m:e>
              <m:r>
                <m:rPr>
                  <m:nor/>
                </m:rPr>
                <w:rPr>
                  <w:rFonts w:ascii="Cambria Math" w:eastAsia="Times New Roman" w:hAnsi="Cambria Math" w:cs="Times New Roman"/>
                  <w:color w:val="0070C0"/>
                  <w:sz w:val="24"/>
                  <w:szCs w:val="24"/>
                </w:rPr>
                <m:t>drop</m:t>
              </m:r>
              <m:r>
                <w:rPr>
                  <w:rFonts w:ascii="Cambria Math" w:eastAsia="Times New Roman" w:hAnsi="Cambria Math" w:cs="Times New Roman"/>
                  <w:color w:val="0070C0"/>
                  <w:sz w:val="24"/>
                  <w:szCs w:val="24"/>
                </w:rPr>
                <m:t xml:space="preserve">, </m:t>
              </m:r>
              <m:r>
                <m:rPr>
                  <m:nor/>
                </m:rPr>
                <w:rPr>
                  <w:rFonts w:ascii="Cambria Math" w:eastAsia="Times New Roman" w:hAnsi="Cambria Math" w:cs="Times New Roman"/>
                  <w:color w:val="0070C0"/>
                  <w:sz w:val="24"/>
                  <w:szCs w:val="24"/>
                </w:rPr>
                <m:t>delay</m:t>
              </m:r>
            </m:e>
          </m:d>
          <m:r>
            <w:rPr>
              <w:rFonts w:ascii="Cambria Math" w:eastAsia="Times New Roman" w:hAnsi="Cambria Math" w:cs="Times New Roman"/>
              <w:color w:val="0070C0"/>
            </w:rPr>
            <m:t>=</m:t>
          </m:r>
          <m:f>
            <m:fPr>
              <m:ctrlPr>
                <w:rPr>
                  <w:rFonts w:ascii="Cambria Math" w:eastAsia="Cambria Math" w:hAnsi="Cambria Math" w:cs="Cambria Math"/>
                  <w:color w:val="0070C0"/>
                </w:rPr>
              </m:ctrlPr>
            </m:fPr>
            <m:num>
              <m:r>
                <m:rPr>
                  <m:nor/>
                </m:rPr>
                <w:rPr>
                  <w:rFonts w:ascii="Cambria Math" w:eastAsia="Cambria Math" w:hAnsi="Cambria Math" w:cs="Cambria Math"/>
                  <w:color w:val="0070C0"/>
                </w:rPr>
                <m:t>drop</m:t>
              </m:r>
            </m:num>
            <m:den>
              <m:r>
                <w:rPr>
                  <w:rFonts w:ascii="Cambria Math" w:eastAsia="Cambria Math" w:hAnsi="Cambria Math" w:cs="Cambria Math"/>
                  <w:color w:val="0070C0"/>
                </w:rPr>
                <m:t>1+k⋅</m:t>
              </m:r>
              <m:r>
                <m:rPr>
                  <m:nor/>
                </m:rPr>
                <w:rPr>
                  <w:rFonts w:ascii="Cambria Math" w:eastAsia="Cambria Math" w:hAnsi="Cambria Math" w:cs="Cambria Math"/>
                  <w:color w:val="0070C0"/>
                </w:rPr>
                <m:t>delay</m:t>
              </m:r>
            </m:den>
          </m:f>
        </m:oMath>
      </m:oMathPara>
    </w:p>
    <w:p w14:paraId="275A5047" w14:textId="77777777" w:rsidR="00AC4E33" w:rsidRPr="00AC4E33" w:rsidRDefault="00AC4E33" w:rsidP="00AC4E33">
      <w:pPr>
        <w:spacing w:line="480" w:lineRule="auto"/>
        <w:rPr>
          <w:rFonts w:ascii="Times New Roman" w:eastAsia="Times New Roman" w:hAnsi="Times New Roman" w:cs="Times New Roman"/>
          <w:color w:val="0070C0"/>
          <w:sz w:val="24"/>
          <w:szCs w:val="24"/>
        </w:rPr>
      </w:pPr>
      <w:r w:rsidRPr="00AC4E33">
        <w:rPr>
          <w:rFonts w:ascii="Times New Roman" w:eastAsia="Times New Roman" w:hAnsi="Times New Roman" w:cs="Times New Roman"/>
          <w:color w:val="0070C0"/>
          <w:sz w:val="24"/>
          <w:szCs w:val="24"/>
        </w:rPr>
        <w:t xml:space="preserve">for the drop and delay associated with each cue.  </w:t>
      </w:r>
    </w:p>
    <w:p w14:paraId="4EC68431" w14:textId="77777777" w:rsidR="00AC4E33" w:rsidRPr="00AC4E33" w:rsidRDefault="00AC4E33" w:rsidP="00AC4E33">
      <w:pPr>
        <w:spacing w:line="480" w:lineRule="auto"/>
        <w:rPr>
          <w:rFonts w:ascii="Times New Roman" w:eastAsia="Times New Roman" w:hAnsi="Times New Roman" w:cs="Times New Roman"/>
          <w:color w:val="0070C0"/>
          <w:sz w:val="24"/>
          <w:szCs w:val="24"/>
        </w:rPr>
      </w:pPr>
      <w:r w:rsidRPr="00AC4E33">
        <w:rPr>
          <w:rFonts w:ascii="Times New Roman" w:eastAsia="Times New Roman" w:hAnsi="Times New Roman" w:cs="Times New Roman"/>
          <w:color w:val="0070C0"/>
          <w:sz w:val="24"/>
          <w:szCs w:val="24"/>
        </w:rPr>
        <w:t xml:space="preserve">In Model 1, we assume that accept/reject decisions are made by comparing the temporally discounted value DV against a decision threshold </w:t>
      </w:r>
      <m:oMath>
        <m:r>
          <w:rPr>
            <w:rFonts w:ascii="Cambria Math" w:eastAsia="Cambria Math" w:hAnsi="Cambria Math" w:cs="Cambria Math"/>
            <w:color w:val="0070C0"/>
          </w:rPr>
          <m:t>θ</m:t>
        </m:r>
      </m:oMath>
      <w:r w:rsidRPr="00AC4E33">
        <w:rPr>
          <w:rFonts w:ascii="Times New Roman" w:eastAsia="Times New Roman" w:hAnsi="Times New Roman" w:cs="Times New Roman"/>
          <w:color w:val="0070C0"/>
        </w:rPr>
        <w:t xml:space="preserve">. </w:t>
      </w:r>
      <w:r w:rsidRPr="00AC4E33">
        <w:rPr>
          <w:rFonts w:ascii="Times New Roman" w:eastAsia="Times New Roman" w:hAnsi="Times New Roman" w:cs="Times New Roman"/>
          <w:color w:val="0070C0"/>
          <w:sz w:val="24"/>
          <w:szCs w:val="24"/>
        </w:rPr>
        <w:t xml:space="preserve">Animals will be more likely to accept </w:t>
      </w:r>
      <w:r w:rsidRPr="00AC4E33">
        <w:rPr>
          <w:rFonts w:ascii="Times New Roman" w:eastAsia="Times New Roman" w:hAnsi="Times New Roman" w:cs="Times New Roman"/>
          <w:color w:val="0070C0"/>
          <w:sz w:val="24"/>
          <w:szCs w:val="24"/>
        </w:rPr>
        <w:t xml:space="preserve">an offer </w:t>
      </w:r>
      <w:r w:rsidRPr="00AC4E33">
        <w:rPr>
          <w:rFonts w:ascii="Times New Roman" w:eastAsia="Times New Roman" w:hAnsi="Times New Roman" w:cs="Times New Roman"/>
          <w:color w:val="0070C0"/>
          <w:sz w:val="24"/>
          <w:szCs w:val="24"/>
        </w:rPr>
        <w:t>when DV is above</w:t>
      </w:r>
      <w:r w:rsidRPr="00AC4E33">
        <w:rPr>
          <w:rFonts w:ascii="Times New Roman" w:eastAsia="Times New Roman" w:hAnsi="Times New Roman" w:cs="Times New Roman"/>
          <w:color w:val="0070C0"/>
          <w:sz w:val="24"/>
          <w:szCs w:val="24"/>
        </w:rPr>
        <w:t xml:space="preserve"> </w:t>
      </w:r>
      <w:r w:rsidRPr="00AC4E33">
        <w:rPr>
          <w:rFonts w:ascii="Times New Roman" w:eastAsia="Times New Roman" w:hAnsi="Times New Roman" w:cs="Times New Roman"/>
          <w:color w:val="0070C0"/>
          <w:sz w:val="24"/>
          <w:szCs w:val="24"/>
        </w:rPr>
        <w:t>θ, and more likely to reject otherwise.</w:t>
      </w:r>
      <w:r w:rsidRPr="00AC4E33">
        <w:rPr>
          <w:rFonts w:ascii="Times New Roman" w:eastAsia="Times New Roman" w:hAnsi="Times New Roman" w:cs="Times New Roman"/>
          <w:color w:val="0070C0"/>
          <w:sz w:val="24"/>
          <w:szCs w:val="24"/>
        </w:rPr>
        <w:t xml:space="preserve"> </w:t>
      </w:r>
    </w:p>
    <w:p w14:paraId="30CA21D2" w14:textId="77777777" w:rsidR="00AC4E33" w:rsidRPr="00AC4E33" w:rsidRDefault="00AC4E33" w:rsidP="00AC4E33">
      <w:pPr>
        <w:spacing w:line="480" w:lineRule="auto"/>
        <w:rPr>
          <w:rFonts w:ascii="Times New Roman" w:eastAsia="Times New Roman" w:hAnsi="Times New Roman" w:cs="Times New Roman"/>
          <w:color w:val="0070C0"/>
          <w:sz w:val="24"/>
          <w:szCs w:val="24"/>
        </w:rPr>
      </w:pPr>
      <w:r w:rsidRPr="00AC4E33">
        <w:rPr>
          <w:rFonts w:ascii="Times New Roman" w:eastAsia="Times New Roman" w:hAnsi="Times New Roman" w:cs="Times New Roman"/>
          <w:color w:val="0070C0"/>
          <w:sz w:val="24"/>
          <w:szCs w:val="24"/>
        </w:rPr>
        <w:t xml:space="preserve">In other words, the expected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=DV(drop, delay)</m:t>
        </m:r>
      </m:oMath>
      <w:r w:rsidRPr="00AC4E33">
        <w:rPr>
          <w:rFonts w:ascii="Times New Roman" w:eastAsia="Times New Roman" w:hAnsi="Times New Roman" w:cs="Times New Roman"/>
          <w:color w:val="0070C0"/>
          <w:sz w:val="24"/>
          <w:szCs w:val="24"/>
        </w:rPr>
        <w:t xml:space="preserve">, and the expected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w:r w:rsidRPr="00AC4E33">
        <w:rPr>
          <w:rFonts w:ascii="Times New Roman" w:eastAsia="Times New Roman" w:hAnsi="Times New Roman" w:cs="Times New Roman"/>
          <w:color w:val="0070C0"/>
          <w:sz w:val="24"/>
          <w:szCs w:val="24"/>
        </w:rPr>
        <w:t xml:space="preserve">. By comparing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AC4E33">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oMath>
      <w:r w:rsidRPr="00AC4E33">
        <w:rPr>
          <w:rFonts w:ascii="Times New Roman" w:eastAsia="Times New Roman" w:hAnsi="Times New Roman" w:cs="Times New Roman"/>
          <w:color w:val="0070C0"/>
          <w:sz w:val="24"/>
          <w:szCs w:val="24"/>
        </w:rPr>
        <w:t>, we have</w:t>
      </w:r>
    </w:p>
    <w:p w14:paraId="55803CD8" w14:textId="77777777" w:rsidR="00AC4E33" w:rsidRPr="00AC4E33" w:rsidRDefault="00AC4E33" w:rsidP="00AC4E33">
      <w:pPr>
        <w:spacing w:after="200"/>
        <w:jc w:val="center"/>
        <w:rPr>
          <w:rFonts w:ascii="Times New Roman" w:eastAsia="Times New Roman" w:hAnsi="Times New Roman" w:cs="Times New Roman"/>
          <w:color w:val="0070C0"/>
          <w:sz w:val="24"/>
          <w:szCs w:val="24"/>
        </w:rPr>
      </w:pPr>
      <m:oMathPara>
        <m:oMath>
          <m:r>
            <w:rPr>
              <w:rFonts w:ascii="Cambria Math" w:eastAsia="Cambria Math" w:hAnsi="Cambria Math" w:cs="Cambria Math"/>
              <w:color w:val="0070C0"/>
            </w:rPr>
            <w:lastRenderedPageBreak/>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D</m:t>
                      </m:r>
                      <m:r>
                        <w:rPr>
                          <w:rFonts w:ascii="Cambria Math" w:eastAsia="Cambria Math" w:hAnsi="Cambria Math" w:cs="Cambria Math"/>
                          <w:color w:val="0070C0"/>
                        </w:rPr>
                        <m:t>V-θ</m:t>
                      </m:r>
                    </m:num>
                    <m:den>
                      <m:r>
                        <w:rPr>
                          <w:rFonts w:ascii="Cambria Math" w:eastAsia="Cambria Math" w:hAnsi="Cambria Math" w:cs="Cambria Math"/>
                          <w:color w:val="0070C0"/>
                        </w:rPr>
                        <m:t>σ</m:t>
                      </m:r>
                    </m:den>
                  </m:f>
                </m:sup>
              </m:sSup>
            </m:den>
          </m:f>
        </m:oMath>
      </m:oMathPara>
    </w:p>
    <w:p w14:paraId="41702B25" w14:textId="33AB1637" w:rsidR="0068781C" w:rsidRPr="0068781C" w:rsidRDefault="0068781C" w:rsidP="00AC4E33">
      <w:pPr>
        <w:spacing w:line="480" w:lineRule="auto"/>
        <w:rPr>
          <w:color w:val="0070C0"/>
        </w:rPr>
      </w:pPr>
    </w:p>
    <w:p w14:paraId="3AFADFA5" w14:textId="0807A11E" w:rsidR="00A63C77" w:rsidRPr="008F5372" w:rsidRDefault="00B56FDC" w:rsidP="00B56FDC">
      <w:pPr>
        <w:rPr>
          <w:color w:val="0070C0"/>
        </w:rPr>
      </w:pPr>
      <w:r w:rsidRPr="008F5372">
        <w:rPr>
          <w:color w:val="0070C0"/>
        </w:rPr>
        <w:t>”</w:t>
      </w:r>
    </w:p>
    <w:p w14:paraId="1A62F1E6" w14:textId="77777777" w:rsidR="00A63C77" w:rsidRDefault="00A63C77" w:rsidP="004A0E6E"/>
    <w:p w14:paraId="57266911" w14:textId="77777777" w:rsidR="004A0E6E" w:rsidRDefault="004A0E6E" w:rsidP="004A0E6E">
      <w:r w:rsidRPr="009D215E">
        <w:t>Second, the authors appear to assume that the yellow and purple go signals add or subtract a fixed bias from the discounted value, and that this bias-modulated discounted value is then compared with a decision threshold to determine whether the offer is accepted or rejected. However, the manuscript formulates this process using (-U-θ±β)/σ</w:t>
      </w:r>
      <w:r>
        <w:t xml:space="preserve"> </w:t>
      </w:r>
      <w:r w:rsidRPr="009D215E">
        <w:t xml:space="preserve">as the exponent of the softmax function. </w:t>
      </w:r>
    </w:p>
    <w:p w14:paraId="779998B9" w14:textId="77777777" w:rsidR="004A0E6E" w:rsidRPr="00F45A7C" w:rsidRDefault="004A0E6E" w:rsidP="004A0E6E">
      <w:r w:rsidRPr="00F45A7C">
        <w:t xml:space="preserve">This expression is difficult to interpret because U is not defined, and β is also used as the inverse-temperature parameter in the baseline model. To improve clarity, the authors may wish to define all variables explicitly and use distinct notation for different quantities. </w:t>
      </w:r>
    </w:p>
    <w:p w14:paraId="5A84F275" w14:textId="77777777" w:rsidR="004A0E6E" w:rsidRDefault="004A0E6E" w:rsidP="004A0E6E">
      <w:r w:rsidRPr="009D215E">
        <w:t>If the intended model is a threshold-based comparison of a bias-modulated discounted value, the exponent might be more clearly written as:</w:t>
      </w:r>
      <w:r w:rsidRPr="009D215E">
        <w:br/>
        <w:t>(DV±Bias-θ)/σ</w:t>
      </w:r>
      <w:r w:rsidRPr="009D215E">
        <w:br/>
      </w:r>
      <w:r w:rsidRPr="009D215E">
        <w:br/>
        <w:t>where DV</w:t>
      </w:r>
      <w:r>
        <w:t xml:space="preserve"> </w:t>
      </w:r>
      <w:r w:rsidRPr="009D215E">
        <w:t>is the discounted value, Bias</w:t>
      </w:r>
      <w:r>
        <w:t xml:space="preserve"> </w:t>
      </w:r>
      <w:r w:rsidRPr="009D215E">
        <w:t>is the go-signal-dependent bias, θ</w:t>
      </w:r>
      <w:r>
        <w:t xml:space="preserve"> </w:t>
      </w:r>
      <w:r w:rsidRPr="009D215E">
        <w:t>is the decision threshold, and σ</w:t>
      </w:r>
      <w:r>
        <w:t xml:space="preserve"> </w:t>
      </w:r>
      <w:r w:rsidRPr="009D215E">
        <w:t>controls choice stochasticity.</w:t>
      </w:r>
    </w:p>
    <w:p w14:paraId="01C425E5" w14:textId="77777777" w:rsidR="00F45A7C" w:rsidRDefault="00F45A7C" w:rsidP="004A0E6E"/>
    <w:p w14:paraId="5D3AB364" w14:textId="77777777" w:rsidR="00B760A3" w:rsidRDefault="00F45A7C" w:rsidP="004A0E6E">
      <w:pPr>
        <w:rPr>
          <w:color w:val="0070C0"/>
        </w:rPr>
      </w:pPr>
      <w:r>
        <w:rPr>
          <w:color w:val="0070C0"/>
        </w:rPr>
        <w:t xml:space="preserve">We apologize for the </w:t>
      </w:r>
      <w:r w:rsidR="00511D22">
        <w:rPr>
          <w:color w:val="0070C0"/>
        </w:rPr>
        <w:t>lack of clarity in our description. The reviewer understood our model correctly. We have</w:t>
      </w:r>
      <w:r w:rsidR="00B760A3">
        <w:rPr>
          <w:color w:val="0070C0"/>
        </w:rPr>
        <w:t xml:space="preserve"> modified the manuscript to improve the clarity:</w:t>
      </w:r>
    </w:p>
    <w:p w14:paraId="2E2E5567" w14:textId="77777777" w:rsidR="00B760A3" w:rsidRDefault="00B760A3" w:rsidP="004A0E6E">
      <w:pPr>
        <w:rPr>
          <w:color w:val="0070C0"/>
        </w:rPr>
      </w:pPr>
    </w:p>
    <w:p w14:paraId="7D8B1B79" w14:textId="77777777" w:rsidR="008D00E8" w:rsidRPr="008D00E8" w:rsidRDefault="00B760A3" w:rsidP="008D00E8">
      <w:pPr>
        <w:numPr>
          <w:ilvl w:val="0"/>
          <w:numId w:val="1"/>
        </w:numPr>
        <w:pBdr>
          <w:top w:val="nil"/>
          <w:left w:val="nil"/>
          <w:bottom w:val="nil"/>
          <w:right w:val="nil"/>
          <w:between w:val="nil"/>
        </w:pBdr>
        <w:shd w:val="clear" w:color="auto" w:fill="FFFFFF"/>
        <w:tabs>
          <w:tab w:val="left" w:pos="270"/>
        </w:tabs>
        <w:spacing w:line="480" w:lineRule="auto"/>
        <w:ind w:left="0" w:firstLine="0"/>
        <w:rPr>
          <w:rFonts w:ascii="Times New Roman" w:eastAsia="Times New Roman" w:hAnsi="Times New Roman" w:cs="Times New Roman"/>
          <w:b/>
          <w:bCs/>
          <w:color w:val="0070C0"/>
          <w:sz w:val="24"/>
          <w:szCs w:val="24"/>
        </w:rPr>
      </w:pPr>
      <w:r>
        <w:rPr>
          <w:color w:val="0070C0"/>
        </w:rPr>
        <w:t>“</w:t>
      </w:r>
    </w:p>
    <w:p w14:paraId="5CA9DA01" w14:textId="77777777" w:rsidR="008D00E8" w:rsidRPr="008D00E8" w:rsidRDefault="008D00E8" w:rsidP="008D00E8">
      <w:pPr>
        <w:spacing w:line="480" w:lineRule="auto"/>
        <w:rPr>
          <w:rFonts w:ascii="Times New Roman" w:eastAsia="Times New Roman" w:hAnsi="Times New Roman" w:cs="Times New Roman"/>
          <w:color w:val="0070C0"/>
          <w:sz w:val="24"/>
          <w:szCs w:val="24"/>
        </w:rPr>
      </w:pPr>
      <w:r w:rsidRPr="008D00E8">
        <w:rPr>
          <w:rFonts w:ascii="Times New Roman" w:eastAsia="Times New Roman" w:hAnsi="Times New Roman" w:cs="Times New Roman"/>
          <w:color w:val="0070C0"/>
          <w:sz w:val="24"/>
          <w:szCs w:val="24"/>
        </w:rPr>
        <w:t xml:space="preserve">In Model 2, we assume that the go-signals have additive values. In other words, the go-signal may increase or decrease the value of the reward offer by a constant amount, independent of the discounted value of the reward offer. The additive value is parameterized symmetrically for the two go-signals: </w:t>
      </w:r>
      <m:oMath>
        <m:r>
          <w:rPr>
            <w:rFonts w:ascii="Cambria Math" w:eastAsia="Times New Roman" w:hAnsi="Cambria Math" w:cs="Times New Roman"/>
            <w:color w:val="0070C0"/>
            <w:sz w:val="24"/>
            <w:szCs w:val="24"/>
          </w:rPr>
          <m:t>β</m:t>
        </m:r>
      </m:oMath>
      <w:r w:rsidRPr="008D00E8">
        <w:rPr>
          <w:rFonts w:ascii="Times New Roman" w:eastAsia="Times New Roman" w:hAnsi="Times New Roman" w:cs="Times New Roman"/>
          <w:color w:val="0070C0"/>
          <w:sz w:val="24"/>
          <w:szCs w:val="24"/>
        </w:rPr>
        <w:t xml:space="preserve"> for purple, and </w:t>
      </w:r>
      <m:oMath>
        <m:r>
          <w:rPr>
            <w:rFonts w:ascii="Cambria Math" w:eastAsia="Times New Roman" w:hAnsi="Cambria Math" w:cs="Times New Roman"/>
            <w:color w:val="0070C0"/>
            <w:sz w:val="24"/>
            <w:szCs w:val="24"/>
          </w:rPr>
          <m:t>-β</m:t>
        </m:r>
      </m:oMath>
      <w:r w:rsidRPr="008D00E8">
        <w:rPr>
          <w:rFonts w:ascii="Times New Roman" w:eastAsia="Times New Roman" w:hAnsi="Times New Roman" w:cs="Times New Roman"/>
          <w:color w:val="0070C0"/>
          <w:sz w:val="24"/>
          <w:szCs w:val="24"/>
        </w:rPr>
        <w:t xml:space="preserve"> for yellow. The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8D00E8">
        <w:rPr>
          <w:rFonts w:ascii="Times New Roman" w:eastAsia="Times New Roman" w:hAnsi="Times New Roman" w:cs="Times New Roman"/>
          <w:color w:val="0070C0"/>
          <w:sz w:val="24"/>
          <w:szCs w:val="24"/>
        </w:rPr>
        <w:t xml:space="preserve"> is the sum of the discounted value of the offer, and the additive value of the go-signal:</w:t>
      </w:r>
    </w:p>
    <w:p w14:paraId="7B1D4B86" w14:textId="77777777" w:rsidR="008D00E8" w:rsidRPr="008D00E8" w:rsidRDefault="008D00E8" w:rsidP="008D00E8">
      <w:pPr>
        <w:jc w:val="center"/>
        <w:rPr>
          <w:rFonts w:ascii="Cambria Math" w:eastAsia="Cambria Math" w:hAnsi="Cambria Math" w:cs="Cambria Math"/>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m:rPr>
                      <m:sty m:val="p"/>
                    </m:rPr>
                    <w:rPr>
                      <w:rFonts w:ascii="Cambria Math" w:eastAsia="Cambria Math" w:hAnsi="Cambria Math" w:cs="Cambria Math"/>
                      <w:color w:val="0070C0"/>
                    </w:rPr>
                    <m:t>DV+β</m:t>
                  </m:r>
                  <m:r>
                    <w:rPr>
                      <w:rFonts w:ascii="Cambria Math" w:eastAsia="Cambria Math" w:hAnsi="Cambria Math" w:cs="Cambria Math"/>
                      <w:color w:val="0070C0"/>
                    </w:rPr>
                    <m:t>,  &amp;</m:t>
                  </m:r>
                  <m:r>
                    <m:rPr>
                      <m:nor/>
                    </m:rPr>
                    <w:rPr>
                      <w:rFonts w:ascii="Cambria Math" w:eastAsia="Cambria Math" w:hAnsi="Cambria Math" w:cs="Cambria Math"/>
                      <w:color w:val="0070C0"/>
                    </w:rPr>
                    <m:t>go=purple</m:t>
                  </m:r>
                </m:e>
                <m:e>
                  <m:r>
                    <m:rPr>
                      <m:sty m:val="p"/>
                    </m:rPr>
                    <w:rPr>
                      <w:rFonts w:ascii="Cambria Math" w:eastAsia="Cambria Math" w:hAnsi="Cambria Math" w:cs="Cambria Math"/>
                      <w:color w:val="0070C0"/>
                    </w:rPr>
                    <m:t>DV-β</m:t>
                  </m:r>
                  <m:r>
                    <w:rPr>
                      <w:rFonts w:ascii="Cambria Math" w:eastAsia="Cambria Math" w:hAnsi="Cambria Math" w:cs="Cambria Math"/>
                      <w:color w:val="0070C0"/>
                    </w:rPr>
                    <m:t>,  &amp;</m:t>
                  </m:r>
                  <m:r>
                    <m:rPr>
                      <m:nor/>
                    </m:rPr>
                    <w:rPr>
                      <w:rFonts w:ascii="Cambria Math" w:eastAsia="Cambria Math" w:hAnsi="Cambria Math" w:cs="Cambria Math"/>
                      <w:color w:val="0070C0"/>
                    </w:rPr>
                    <m:t>go=yellow</m:t>
                  </m:r>
                </m:e>
              </m:eqArr>
            </m:e>
          </m:d>
        </m:oMath>
      </m:oMathPara>
    </w:p>
    <w:p w14:paraId="2DE75ADA" w14:textId="77777777" w:rsidR="008D00E8" w:rsidRPr="008D00E8" w:rsidRDefault="008D00E8" w:rsidP="008D00E8">
      <w:pPr>
        <w:rPr>
          <w:rFonts w:ascii="Cambria Math" w:eastAsia="Cambria Math" w:hAnsi="Cambria Math" w:cs="Cambria Math"/>
          <w:color w:val="0070C0"/>
        </w:rPr>
      </w:pPr>
      <w:r w:rsidRPr="008D00E8">
        <w:rPr>
          <w:rFonts w:ascii="Times New Roman" w:eastAsia="Times New Roman" w:hAnsi="Times New Roman" w:cs="Times New Roman"/>
          <w:color w:val="0070C0"/>
          <w:sz w:val="24"/>
          <w:szCs w:val="24"/>
        </w:rPr>
        <w:t xml:space="preserve">whereas, as in Model 1, the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8D00E8">
        <w:rPr>
          <w:rFonts w:ascii="Times New Roman" w:eastAsia="Times New Roman" w:hAnsi="Times New Roman" w:cs="Times New Roman"/>
          <w:color w:val="0070C0"/>
          <w:sz w:val="24"/>
          <w:szCs w:val="24"/>
        </w:rPr>
        <w:t xml:space="preserve"> equals the decision threshold </w:t>
      </w:r>
      <m:oMath>
        <m:r>
          <w:rPr>
            <w:rFonts w:ascii="Cambria Math" w:eastAsia="Times New Roman" w:hAnsi="Cambria Math" w:cs="Times New Roman"/>
            <w:color w:val="0070C0"/>
            <w:sz w:val="24"/>
            <w:szCs w:val="24"/>
          </w:rPr>
          <m:t>θ</m:t>
        </m:r>
      </m:oMath>
    </w:p>
    <w:p w14:paraId="1F952AC0" w14:textId="77777777" w:rsidR="008D00E8" w:rsidRPr="008D00E8" w:rsidRDefault="008D00E8" w:rsidP="008D00E8">
      <w:pPr>
        <w:spacing w:line="480" w:lineRule="auto"/>
        <w:rPr>
          <w:rFonts w:ascii="Times New Roman" w:eastAsia="Times New Roman" w:hAnsi="Times New Roman" w:cs="Times New Roman"/>
          <w:color w:val="0070C0"/>
          <w:sz w:val="24"/>
          <w:szCs w:val="24"/>
        </w:rPr>
      </w:pPr>
      <w:r w:rsidRPr="008D00E8">
        <w:rPr>
          <w:rFonts w:ascii="Times New Roman" w:eastAsia="Times New Roman" w:hAnsi="Times New Roman" w:cs="Times New Roman"/>
          <w:color w:val="0070C0"/>
          <w:sz w:val="24"/>
          <w:szCs w:val="24"/>
        </w:rPr>
        <w:t xml:space="preserve">The acceptance probability is then: </w:t>
      </w:r>
    </w:p>
    <w:p w14:paraId="60BA2A15" w14:textId="5EBE4885" w:rsidR="008D00E8" w:rsidRPr="008D00E8" w:rsidRDefault="008D00E8" w:rsidP="008D00E8">
      <w:pPr>
        <w:jc w:val="center"/>
        <w:rPr>
          <w:rFonts w:ascii="Cambria Math" w:eastAsia="Cambria Math" w:hAnsi="Cambria Math" w:cs="Cambria Math"/>
          <w:color w:val="0070C0"/>
        </w:rPr>
      </w:pPr>
      <m:oMathPara>
        <m:oMath>
          <m:r>
            <w:rPr>
              <w:rFonts w:ascii="Cambria Math" w:eastAsia="Cambria Math" w:hAnsi="Cambria Math" w:cs="Cambria Math"/>
              <w:color w:val="0070C0"/>
            </w:rPr>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-θ</m:t>
                      </m:r>
                    </m:num>
                    <m:den>
                      <m:r>
                        <w:rPr>
                          <w:rFonts w:ascii="Cambria Math" w:eastAsia="Cambria Math" w:hAnsi="Cambria Math" w:cs="Cambria Math"/>
                          <w:color w:val="0070C0"/>
                        </w:rPr>
                        <m:t>σ</m:t>
                      </m:r>
                    </m:den>
                  </m:f>
                </m:sup>
              </m:sSup>
            </m:den>
          </m:f>
        </m:oMath>
      </m:oMathPara>
    </w:p>
    <w:p w14:paraId="45107CAE" w14:textId="77CAFDB9" w:rsidR="00F45A7C" w:rsidRPr="00CE768E" w:rsidRDefault="00B760A3" w:rsidP="00CE768E">
      <w:pPr>
        <w:pBdr>
          <w:top w:val="nil"/>
          <w:left w:val="nil"/>
          <w:bottom w:val="nil"/>
          <w:right w:val="nil"/>
          <w:between w:val="nil"/>
        </w:pBdr>
        <w:shd w:val="clear" w:color="auto" w:fill="FFFFFF"/>
        <w:tabs>
          <w:tab w:val="left" w:pos="270"/>
        </w:tabs>
        <w:spacing w:line="480" w:lineRule="auto"/>
        <w:rPr>
          <w:rFonts w:ascii="Times New Roman" w:eastAsia="Times New Roman" w:hAnsi="Times New Roman" w:cs="Times New Roman"/>
          <w:b/>
          <w:bCs/>
          <w:color w:val="000000"/>
          <w:sz w:val="24"/>
          <w:szCs w:val="24"/>
        </w:rPr>
      </w:pPr>
      <w:r>
        <w:rPr>
          <w:color w:val="0070C0"/>
        </w:rPr>
        <w:t xml:space="preserve">” </w:t>
      </w:r>
    </w:p>
    <w:p w14:paraId="39565915" w14:textId="32527C9E" w:rsidR="004A0E6E" w:rsidRDefault="004A0E6E" w:rsidP="004A0E6E">
      <w:r w:rsidRPr="009D215E">
        <w:lastRenderedPageBreak/>
        <w:t>Third, Model 3 appears to incorporate a hypothesized process in which the discounted value of the offer is recalculated in anticipation of an additional delay, ΔT. The authors then define a quantity referred to as "total value," which appears to be the sum of the recalculated discounted value of the current offer and the average discounted value of future offers in the task, presumably reflecting the expected value associated with rejecting the current offer.</w:t>
      </w:r>
      <w:r w:rsidRPr="009D215E">
        <w:br/>
        <w:t xml:space="preserve">This "total value" formulation would benefit from further clarification. </w:t>
      </w:r>
    </w:p>
    <w:p w14:paraId="40A447A8" w14:textId="77777777" w:rsidR="004A0E6E" w:rsidRDefault="004A0E6E" w:rsidP="004A0E6E">
      <w:r w:rsidRPr="009D215E">
        <w:t>In response to a go signal, the monkeys are presumably deciding whether to accept or reject the current offer. Therefore, it seems that the quantity entering the softmax function should reflect the relative value of accepting versus rejecting the offer, rather than the sum of these values. Specifically, the exponent of the softmax function would seem to depend on:</w:t>
      </w:r>
      <w:r w:rsidRPr="009D215E">
        <w:br/>
        <w:t>V_"accept" -V_"reject"</w:t>
      </w:r>
      <w:r w:rsidRPr="009D215E">
        <w:br/>
      </w:r>
      <w:r w:rsidRPr="009D215E">
        <w:br/>
        <w:t>Under this interpretation, for the yellow go signal, the value of accepting would be the recalculated discounted value of the offer incorporating the additional delay:</w:t>
      </w:r>
      <w:r w:rsidRPr="009D215E">
        <w:br/>
      </w:r>
      <w:r w:rsidRPr="001E79B6">
        <w:rPr>
          <w:b/>
          <w:bCs/>
        </w:rPr>
        <w:t>V_"accept,yellow" =R/(1+k(D+ΔT))</w:t>
      </w:r>
      <w:r w:rsidRPr="009D215E">
        <w:br/>
      </w:r>
      <w:r w:rsidRPr="009D215E">
        <w:br/>
        <w:t>For the purple go signal, the value of accepting would be the original discounted value of the offer:</w:t>
      </w:r>
      <w:r w:rsidRPr="009D215E">
        <w:br/>
      </w:r>
      <w:r w:rsidRPr="001E79B6">
        <w:rPr>
          <w:b/>
          <w:bCs/>
        </w:rPr>
        <w:t>V_"accept,purple" =DV</w:t>
      </w:r>
      <w:r w:rsidRPr="009D215E">
        <w:br/>
      </w:r>
      <w:r w:rsidRPr="009D215E">
        <w:br/>
        <w:t>The value of rejecting would also depend on the go-signal condition. For the yellow go signal, if the monkey can reject the offer immediately, then:</w:t>
      </w:r>
      <w:r w:rsidRPr="009D215E">
        <w:br/>
        <w:t>V</w:t>
      </w:r>
      <w:r w:rsidRPr="001E79B6">
        <w:rPr>
          <w:b/>
          <w:bCs/>
        </w:rPr>
        <w:t>_"reject,yellow" =θ</w:t>
      </w:r>
      <w:r w:rsidRPr="009D215E">
        <w:br/>
      </w:r>
      <w:r w:rsidRPr="009D215E">
        <w:br/>
        <w:t>For the purple go signal, if rejection is associated with an additional delay, then the rejection value should be discounted as:</w:t>
      </w:r>
      <w:r w:rsidRPr="009D215E">
        <w:br/>
      </w:r>
      <w:r w:rsidRPr="001E79B6">
        <w:rPr>
          <w:b/>
          <w:bCs/>
        </w:rPr>
        <w:t>V_"reject,purple" =θ/(1+kΔT)</w:t>
      </w:r>
      <w:r w:rsidRPr="009D215E">
        <w:br/>
      </w:r>
      <w:r w:rsidRPr="009D215E">
        <w:br/>
        <w:t>Thus, if this is the intended decision process, the softmax exponent should be based on the difference between the value of accepting and the value of rejecting, with each term defined according to the specific go-signal condition.</w:t>
      </w:r>
    </w:p>
    <w:p w14:paraId="4A3A89BF" w14:textId="5710C2C6" w:rsidR="00D8124C" w:rsidRDefault="00BB0A2C" w:rsidP="004A0E6E">
      <w:pPr>
        <w:rPr>
          <w:color w:val="0070C0"/>
        </w:rPr>
      </w:pPr>
      <w:r>
        <w:rPr>
          <w:color w:val="0070C0"/>
        </w:rPr>
        <w:t xml:space="preserve">The reviewer understood our model </w:t>
      </w:r>
      <w:r w:rsidR="00F55703">
        <w:rPr>
          <w:color w:val="0070C0"/>
        </w:rPr>
        <w:t>correctly</w:t>
      </w:r>
      <w:r w:rsidR="00D8124C">
        <w:rPr>
          <w:color w:val="0070C0"/>
        </w:rPr>
        <w:t xml:space="preserve"> in general. There is a small difference in w</w:t>
      </w:r>
      <w:r>
        <w:rPr>
          <w:color w:val="0070C0"/>
        </w:rPr>
        <w:t xml:space="preserve"> </w:t>
      </w:r>
    </w:p>
    <w:p w14:paraId="575C670F" w14:textId="77777777" w:rsidR="00D8124C" w:rsidRDefault="00D8124C" w:rsidP="004A0E6E">
      <w:pPr>
        <w:rPr>
          <w:color w:val="0070C0"/>
        </w:rPr>
      </w:pPr>
    </w:p>
    <w:p w14:paraId="58962C9C" w14:textId="42C33F33" w:rsidR="003043C8" w:rsidRDefault="00BB0A2C" w:rsidP="004A0E6E">
      <w:pPr>
        <w:rPr>
          <w:color w:val="0070C0"/>
        </w:rPr>
      </w:pPr>
      <w:r>
        <w:rPr>
          <w:color w:val="0070C0"/>
        </w:rPr>
        <w:t xml:space="preserve">We have modified the description of Model 3 based on the reviewer’s </w:t>
      </w:r>
      <w:r w:rsidR="003043C8">
        <w:rPr>
          <w:color w:val="0070C0"/>
        </w:rPr>
        <w:t xml:space="preserve">comment and </w:t>
      </w:r>
      <w:r w:rsidR="00F25741">
        <w:rPr>
          <w:color w:val="0070C0"/>
        </w:rPr>
        <w:t xml:space="preserve">hopefully have improved the clarity of </w:t>
      </w:r>
      <w:r w:rsidR="005441B3">
        <w:rPr>
          <w:color w:val="0070C0"/>
        </w:rPr>
        <w:t>our description</w:t>
      </w:r>
      <w:r w:rsidR="00F25741">
        <w:rPr>
          <w:color w:val="0070C0"/>
        </w:rPr>
        <w:t xml:space="preserve">. </w:t>
      </w:r>
    </w:p>
    <w:p w14:paraId="0372C713" w14:textId="77777777" w:rsidR="00F1439E" w:rsidRDefault="00F1439E" w:rsidP="004A0E6E">
      <w:pPr>
        <w:rPr>
          <w:color w:val="0070C0"/>
        </w:rPr>
      </w:pPr>
    </w:p>
    <w:p w14:paraId="07BEDB04" w14:textId="26EB3542" w:rsidR="00D107FE" w:rsidRDefault="00F1439E" w:rsidP="004A0E6E">
      <w:pPr>
        <w:rPr>
          <w:color w:val="0070C0"/>
        </w:rPr>
      </w:pPr>
      <w:r>
        <w:rPr>
          <w:color w:val="0070C0"/>
        </w:rPr>
        <w:t>In the original manuscript, we used U to reflect total value for accepting, and we wrote U = V + VF, with the intention to say that the total value</w:t>
      </w:r>
      <w:r w:rsidR="00B3388C">
        <w:rPr>
          <w:color w:val="0070C0"/>
        </w:rPr>
        <w:t xml:space="preserve"> for accepting</w:t>
      </w:r>
      <w:r>
        <w:rPr>
          <w:color w:val="0070C0"/>
        </w:rPr>
        <w:t xml:space="preserve"> is the sum of the immediate discounted value of the offer</w:t>
      </w:r>
      <w:r w:rsidR="00C46F0F">
        <w:rPr>
          <w:color w:val="0070C0"/>
        </w:rPr>
        <w:t xml:space="preserve"> (V)</w:t>
      </w:r>
      <w:r>
        <w:rPr>
          <w:color w:val="0070C0"/>
        </w:rPr>
        <w:t>, and the expected discounted value of future rewards</w:t>
      </w:r>
      <w:r w:rsidR="009264B5">
        <w:rPr>
          <w:color w:val="0070C0"/>
        </w:rPr>
        <w:t xml:space="preserve"> </w:t>
      </w:r>
      <w:r w:rsidR="0077410C">
        <w:rPr>
          <w:color w:val="0070C0"/>
        </w:rPr>
        <w:t>from</w:t>
      </w:r>
      <w:r w:rsidR="001D7C79">
        <w:rPr>
          <w:color w:val="0070C0"/>
        </w:rPr>
        <w:t xml:space="preserve"> </w:t>
      </w:r>
      <w:r w:rsidR="004D6928">
        <w:rPr>
          <w:color w:val="0070C0"/>
        </w:rPr>
        <w:t>subsequent</w:t>
      </w:r>
      <w:r w:rsidR="001D7C79">
        <w:rPr>
          <w:color w:val="0070C0"/>
        </w:rPr>
        <w:t xml:space="preserve"> trials</w:t>
      </w:r>
      <w:r w:rsidR="00C46F0F">
        <w:rPr>
          <w:color w:val="0070C0"/>
        </w:rPr>
        <w:t xml:space="preserve"> (VF). T</w:t>
      </w:r>
      <w:r w:rsidR="009264B5">
        <w:rPr>
          <w:color w:val="0070C0"/>
        </w:rPr>
        <w:t xml:space="preserve">his might </w:t>
      </w:r>
      <w:r w:rsidR="00B2380A">
        <w:rPr>
          <w:color w:val="0070C0"/>
        </w:rPr>
        <w:t xml:space="preserve">have </w:t>
      </w:r>
      <w:r w:rsidR="009264B5">
        <w:rPr>
          <w:color w:val="0070C0"/>
        </w:rPr>
        <w:t>cause</w:t>
      </w:r>
      <w:r w:rsidR="00B2380A">
        <w:rPr>
          <w:color w:val="0070C0"/>
        </w:rPr>
        <w:t>d</w:t>
      </w:r>
      <w:r w:rsidR="009264B5">
        <w:rPr>
          <w:color w:val="0070C0"/>
        </w:rPr>
        <w:t xml:space="preserve"> confusion </w:t>
      </w:r>
      <w:r w:rsidR="00B2380A">
        <w:rPr>
          <w:color w:val="0070C0"/>
        </w:rPr>
        <w:t>that</w:t>
      </w:r>
      <w:r w:rsidR="009264B5">
        <w:rPr>
          <w:color w:val="0070C0"/>
        </w:rPr>
        <w:t xml:space="preserve"> sum, instead of subtraction, appear</w:t>
      </w:r>
      <w:r w:rsidR="00C46F0F">
        <w:rPr>
          <w:color w:val="0070C0"/>
        </w:rPr>
        <w:t>ed</w:t>
      </w:r>
      <w:r w:rsidR="009264B5">
        <w:rPr>
          <w:color w:val="0070C0"/>
        </w:rPr>
        <w:t xml:space="preserve"> in the softmax</w:t>
      </w:r>
      <w:r>
        <w:rPr>
          <w:color w:val="0070C0"/>
        </w:rPr>
        <w:t xml:space="preserve">. </w:t>
      </w:r>
      <w:r w:rsidR="00D107FE">
        <w:rPr>
          <w:color w:val="0070C0"/>
        </w:rPr>
        <w:t xml:space="preserve">We have adopted the reviewer’s suggestion, and clearly defined </w:t>
      </w:r>
      <w:r w:rsidR="00E6523E">
        <w:rPr>
          <w:color w:val="0070C0"/>
        </w:rPr>
        <w:t xml:space="preserve">the </w:t>
      </w:r>
      <w:r w:rsidR="00D107FE">
        <w:rPr>
          <w:color w:val="0070C0"/>
        </w:rPr>
        <w:t xml:space="preserve">total value for accepting </w:t>
      </w:r>
      <m:oMath>
        <m:r>
          <w:rPr>
            <w:rFonts w:ascii="Cambria Math" w:hAnsi="Cambria Math"/>
            <w:color w:val="0070C0"/>
          </w:rPr>
          <m:t>T</m:t>
        </m:r>
        <m:sSup>
          <m:sSupPr>
            <m:ctrlPr>
              <w:rPr>
                <w:rFonts w:ascii="Cambria Math" w:hAnsi="Cambria Math"/>
                <w:i/>
                <w:color w:val="0070C0"/>
              </w:rPr>
            </m:ctrlPr>
          </m:sSupPr>
          <m:e>
            <m:r>
              <w:rPr>
                <w:rFonts w:ascii="Cambria Math" w:hAnsi="Cambria Math"/>
                <w:color w:val="0070C0"/>
              </w:rPr>
              <m:t>V</m:t>
            </m:r>
          </m:e>
          <m:sup>
            <m:r>
              <w:rPr>
                <w:rFonts w:ascii="Cambria Math" w:hAnsi="Cambria Math"/>
                <w:color w:val="0070C0"/>
              </w:rPr>
              <m:t>accept</m:t>
            </m:r>
          </m:sup>
        </m:sSup>
        <m:r>
          <w:rPr>
            <w:rFonts w:ascii="Cambria Math" w:hAnsi="Cambria Math"/>
            <w:color w:val="0070C0"/>
          </w:rPr>
          <m:t xml:space="preserve"> </m:t>
        </m:r>
      </m:oMath>
      <w:r w:rsidR="00D107FE">
        <w:rPr>
          <w:color w:val="0070C0"/>
        </w:rPr>
        <w:t>and total value for rejecting</w:t>
      </w:r>
      <w:r w:rsidR="00223A69">
        <w:rPr>
          <w:color w:val="0070C0"/>
        </w:rPr>
        <w:t xml:space="preserve"> </w:t>
      </w:r>
      <m:oMath>
        <m:r>
          <w:rPr>
            <w:rFonts w:ascii="Cambria Math" w:hAnsi="Cambria Math"/>
            <w:color w:val="0070C0"/>
          </w:rPr>
          <m:t>T</m:t>
        </m:r>
        <m:sSup>
          <m:sSupPr>
            <m:ctrlPr>
              <w:rPr>
                <w:rFonts w:ascii="Cambria Math" w:hAnsi="Cambria Math"/>
                <w:i/>
                <w:color w:val="0070C0"/>
              </w:rPr>
            </m:ctrlPr>
          </m:sSupPr>
          <m:e>
            <m:r>
              <w:rPr>
                <w:rFonts w:ascii="Cambria Math" w:hAnsi="Cambria Math"/>
                <w:color w:val="0070C0"/>
              </w:rPr>
              <m:t>V</m:t>
            </m:r>
          </m:e>
          <m:sup>
            <m:r>
              <w:rPr>
                <w:rFonts w:ascii="Cambria Math" w:hAnsi="Cambria Math"/>
                <w:color w:val="0070C0"/>
              </w:rPr>
              <m:t>reject</m:t>
            </m:r>
          </m:sup>
        </m:sSup>
      </m:oMath>
      <w:r w:rsidR="00D107FE">
        <w:rPr>
          <w:color w:val="0070C0"/>
        </w:rPr>
        <w:t>, and enter</w:t>
      </w:r>
      <w:r w:rsidR="00C06117">
        <w:rPr>
          <w:color w:val="0070C0"/>
        </w:rPr>
        <w:t>ed</w:t>
      </w:r>
      <w:r w:rsidR="00D107FE">
        <w:rPr>
          <w:color w:val="0070C0"/>
        </w:rPr>
        <w:t xml:space="preserve"> </w:t>
      </w:r>
      <m:oMath>
        <m:r>
          <w:rPr>
            <w:rFonts w:ascii="Cambria Math" w:hAnsi="Cambria Math"/>
            <w:color w:val="0070C0"/>
          </w:rPr>
          <m:t>T</m:t>
        </m:r>
        <m:sSup>
          <m:sSupPr>
            <m:ctrlPr>
              <w:rPr>
                <w:rFonts w:ascii="Cambria Math" w:hAnsi="Cambria Math"/>
                <w:i/>
                <w:color w:val="0070C0"/>
              </w:rPr>
            </m:ctrlPr>
          </m:sSupPr>
          <m:e>
            <m:r>
              <w:rPr>
                <w:rFonts w:ascii="Cambria Math" w:hAnsi="Cambria Math"/>
                <w:color w:val="0070C0"/>
              </w:rPr>
              <m:t>V</m:t>
            </m:r>
          </m:e>
          <m:sup>
            <m:r>
              <w:rPr>
                <w:rFonts w:ascii="Cambria Math" w:hAnsi="Cambria Math"/>
                <w:color w:val="0070C0"/>
              </w:rPr>
              <m:t>accept</m:t>
            </m:r>
          </m:sup>
        </m:sSup>
        <m:r>
          <w:rPr>
            <w:rFonts w:ascii="Cambria Math" w:hAnsi="Cambria Math"/>
            <w:color w:val="0070C0"/>
          </w:rPr>
          <m:t>-T</m:t>
        </m:r>
        <m:sSup>
          <m:sSupPr>
            <m:ctrlPr>
              <w:rPr>
                <w:rFonts w:ascii="Cambria Math" w:hAnsi="Cambria Math"/>
                <w:i/>
                <w:color w:val="0070C0"/>
              </w:rPr>
            </m:ctrlPr>
          </m:sSupPr>
          <m:e>
            <m:r>
              <w:rPr>
                <w:rFonts w:ascii="Cambria Math" w:hAnsi="Cambria Math"/>
                <w:color w:val="0070C0"/>
              </w:rPr>
              <m:t>V</m:t>
            </m:r>
          </m:e>
          <m:sup>
            <m:r>
              <w:rPr>
                <w:rFonts w:ascii="Cambria Math" w:hAnsi="Cambria Math"/>
                <w:color w:val="0070C0"/>
              </w:rPr>
              <m:t>reject</m:t>
            </m:r>
          </m:sup>
        </m:sSup>
      </m:oMath>
      <w:r w:rsidR="00D107FE">
        <w:rPr>
          <w:color w:val="0070C0"/>
        </w:rPr>
        <w:t xml:space="preserve"> in the softmax. </w:t>
      </w:r>
    </w:p>
    <w:p w14:paraId="313A25D9" w14:textId="77777777" w:rsidR="00D107FE" w:rsidRDefault="00D107FE" w:rsidP="004A0E6E">
      <w:pPr>
        <w:rPr>
          <w:color w:val="0070C0"/>
        </w:rPr>
      </w:pPr>
    </w:p>
    <w:p w14:paraId="2BF6BA5E" w14:textId="7C5FAC1C" w:rsidR="00F1439E" w:rsidRDefault="00D107FE" w:rsidP="004A0E6E">
      <w:pPr>
        <w:rPr>
          <w:color w:val="0070C0"/>
        </w:rPr>
      </w:pPr>
      <w:r>
        <w:rPr>
          <w:color w:val="0070C0"/>
        </w:rPr>
        <w:lastRenderedPageBreak/>
        <w:t>Here is the updated description:</w:t>
      </w:r>
    </w:p>
    <w:p w14:paraId="53CB002F" w14:textId="77777777" w:rsidR="00D107FE" w:rsidRDefault="00D107FE" w:rsidP="004A0E6E">
      <w:pPr>
        <w:rPr>
          <w:color w:val="0070C0"/>
        </w:rPr>
      </w:pPr>
      <w:r>
        <w:rPr>
          <w:color w:val="0070C0"/>
        </w:rPr>
        <w:t>“</w:t>
      </w:r>
    </w:p>
    <w:p w14:paraId="5C525F94" w14:textId="77777777" w:rsidR="00D107FE" w:rsidRDefault="00D107FE" w:rsidP="004A0E6E">
      <w:pPr>
        <w:rPr>
          <w:color w:val="0070C0"/>
        </w:rPr>
      </w:pPr>
    </w:p>
    <w:p w14:paraId="4B9A0B15" w14:textId="2DD2DAA6" w:rsidR="00BB0A2C" w:rsidRPr="00D107FE" w:rsidRDefault="00D107FE" w:rsidP="004A0E6E">
      <w:pPr>
        <w:rPr>
          <w:color w:val="0070C0"/>
        </w:rPr>
      </w:pPr>
      <w:r>
        <w:rPr>
          <w:color w:val="0070C0"/>
        </w:rPr>
        <w:t>”</w:t>
      </w:r>
    </w:p>
    <w:p w14:paraId="795DC761" w14:textId="77777777" w:rsidR="004A0E6E" w:rsidRDefault="004A0E6E" w:rsidP="004A0E6E">
      <w:r w:rsidRPr="009D215E">
        <w:br/>
      </w:r>
      <w:r w:rsidRPr="001E79B6">
        <w:rPr>
          <w:b/>
          <w:bCs/>
        </w:rPr>
        <w:t>More generally, the manuscript would be strengthened by explicitly describing the differential predictions generated by the three models and by reporting the estimated parameters of the best-fitting model</w:t>
      </w:r>
      <w:r w:rsidRPr="009D215E">
        <w:t xml:space="preserve">. </w:t>
      </w:r>
    </w:p>
    <w:p w14:paraId="1DB6BBCB" w14:textId="77777777" w:rsidR="004A0E6E" w:rsidRPr="00931593" w:rsidRDefault="004A0E6E" w:rsidP="004A0E6E">
      <w:pPr>
        <w:rPr>
          <w:color w:val="0070C0"/>
        </w:rPr>
      </w:pPr>
      <w:r>
        <w:rPr>
          <w:color w:val="0070C0"/>
        </w:rPr>
        <w:t>Show model-fit parameters</w:t>
      </w:r>
    </w:p>
    <w:p w14:paraId="064F0F46" w14:textId="77777777" w:rsidR="004A0E6E" w:rsidRPr="00806422" w:rsidRDefault="004A0E6E" w:rsidP="004A0E6E">
      <w:pPr>
        <w:rPr>
          <w:b/>
          <w:bCs/>
        </w:rPr>
      </w:pPr>
      <w:r w:rsidRPr="00806422">
        <w:rPr>
          <w:b/>
          <w:bCs/>
        </w:rPr>
        <w:t>In the absence of these details, it is difficult to assess how the models were fit to the data and how the resulting model comparison supports the authors' interpretation, particularly given the apparent inconsistencies in the current model formulations.</w:t>
      </w:r>
    </w:p>
    <w:p w14:paraId="0000002D" w14:textId="2209B092" w:rsidR="00610AF9" w:rsidRDefault="004A0E6E" w:rsidP="004A0E6E">
      <w:pPr>
        <w:spacing w:after="160"/>
        <w:rPr>
          <w:b/>
          <w:bCs/>
        </w:rPr>
      </w:pPr>
      <w:r w:rsidRPr="009D215E">
        <w:br/>
      </w:r>
      <w:r w:rsidR="00000000">
        <w:rPr>
          <w:b/>
          <w:bCs/>
        </w:rPr>
        <w:br/>
      </w:r>
    </w:p>
    <w:p w14:paraId="0000002E" w14:textId="77777777" w:rsidR="00610AF9" w:rsidRDefault="00000000">
      <w:pPr>
        <w:spacing w:after="160"/>
      </w:pPr>
      <w:r>
        <w:rPr>
          <w:b/>
          <w:bCs/>
        </w:rPr>
        <w:br/>
      </w:r>
      <w:r>
        <w:t xml:space="preserve"> 2. Clarification of population coding dimensions</w:t>
      </w:r>
      <w:r>
        <w:br/>
        <w:t xml:space="preserve"> In reporting neural modulation by reward and delay, the authors repeatedly refer to "population coding dimensions" based on beta coefficients from an ANOVA analysis. </w:t>
      </w:r>
      <w:r>
        <w:rPr>
          <w:b/>
          <w:bCs/>
        </w:rPr>
        <w:t>This approach would benefit from further clarification.</w:t>
      </w:r>
      <w:r>
        <w:t xml:space="preserve"> In particular, beta coefficients are typically associated with regression models rather than ANOVA, so it would be helpful for the authors to explain how these beta coefficients were obtained from the ANOVA analysis and what specific quantities they represent.</w:t>
      </w:r>
    </w:p>
    <w:p w14:paraId="0000002F" w14:textId="77777777" w:rsidR="00610AF9" w:rsidRDefault="00000000">
      <w:pPr>
        <w:spacing w:after="160"/>
        <w:rPr>
          <w:color w:val="FF0000"/>
        </w:rPr>
      </w:pPr>
      <w:r>
        <w:rPr>
          <w:color w:val="FF0000"/>
        </w:rPr>
        <w:t>We need to clarify the beta coefficient from the anova. It look like on the methods we say:</w:t>
      </w:r>
    </w:p>
    <w:p w14:paraId="00000030" w14:textId="77777777" w:rsidR="00610AF9" w:rsidRDefault="00000000">
      <w:pPr>
        <w:spacing w:line="48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To extract the population encoding dimension for drop and delay, we performed a sliding window ANOVA on each cell and extracted the regression coefficients for drop and delay at each time bin. The dimension formed by the beta coefficients across cells at each time bin, is the time-dependent encoding dimension of drop or delay.</w:t>
      </w:r>
    </w:p>
    <w:p w14:paraId="00000031" w14:textId="77777777" w:rsidR="00610AF9" w:rsidRDefault="00000000">
      <w:pPr>
        <w:spacing w:line="48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The population activity that encodes delay is quantified as the activity projected onto the delay dimension. The population activity of drops is calculated similarly. For each factor separately, the beta coefficients for each time bin were correlated with each other, and the Pearson correlation was calculated.</w:t>
      </w:r>
    </w:p>
    <w:p w14:paraId="00000032" w14:textId="77777777" w:rsidR="00610AF9" w:rsidRDefault="00000000">
      <w:pPr>
        <w:spacing w:line="48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A significance threshold of 0.05 (uncorrected) was used.</w:t>
      </w:r>
    </w:p>
    <w:p w14:paraId="00000033" w14:textId="77777777" w:rsidR="00610AF9" w:rsidRDefault="00610AF9">
      <w:pPr>
        <w:spacing w:line="480" w:lineRule="auto"/>
        <w:rPr>
          <w:rFonts w:ascii="Times New Roman" w:eastAsia="Times New Roman" w:hAnsi="Times New Roman" w:cs="Times New Roman"/>
          <w:b/>
          <w:bCs/>
          <w:color w:val="FF0000"/>
          <w:sz w:val="24"/>
          <w:szCs w:val="24"/>
        </w:rPr>
      </w:pPr>
    </w:p>
    <w:p w14:paraId="00000034" w14:textId="77777777" w:rsidR="00610AF9" w:rsidRDefault="00000000">
      <w:pPr>
        <w:spacing w:line="48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lastRenderedPageBreak/>
        <w:t xml:space="preserve">This part should be clarified ad then i think we should be ok. </w:t>
      </w:r>
    </w:p>
    <w:p w14:paraId="00000035" w14:textId="77777777" w:rsidR="00610AF9" w:rsidRDefault="00610AF9">
      <w:pPr>
        <w:spacing w:after="160"/>
        <w:rPr>
          <w:color w:val="FF0000"/>
        </w:rPr>
      </w:pPr>
    </w:p>
    <w:p w14:paraId="00000036" w14:textId="77777777" w:rsidR="00610AF9" w:rsidRDefault="00000000">
      <w:pPr>
        <w:spacing w:after="160"/>
      </w:pPr>
      <w:r>
        <w:rPr>
          <w:b/>
          <w:bCs/>
        </w:rPr>
        <w:t>In addition, the definition of "population coding dimensions" should be clarified. For example, are these dimensions intended to represent coordinates or axes defining a subspace of high-dimensional neural activity?</w:t>
      </w:r>
      <w:r>
        <w:t xml:space="preserve"> Providing a more explicit description of how these dimensions were constructed and how they should be interpreted would make the neural population analyses and the corresponding figures much easier to evaluate.</w:t>
      </w:r>
    </w:p>
    <w:p w14:paraId="00000037" w14:textId="77777777" w:rsidR="00610AF9" w:rsidRDefault="00000000">
      <w:pPr>
        <w:spacing w:after="160"/>
        <w:rPr>
          <w:color w:val="EE0000"/>
        </w:rPr>
      </w:pPr>
      <w:r>
        <w:rPr>
          <w:color w:val="EE0000"/>
        </w:rPr>
        <w:t xml:space="preserve">This comment is related somehow to the comment above. </w:t>
      </w:r>
    </w:p>
    <w:p w14:paraId="00000038" w14:textId="77777777" w:rsidR="00610AF9" w:rsidRDefault="00000000">
      <w:pPr>
        <w:spacing w:after="160"/>
        <w:rPr>
          <w:color w:val="EE0000"/>
        </w:rPr>
      </w:pPr>
      <w:r>
        <w:rPr>
          <w:color w:val="EE0000"/>
        </w:rPr>
        <w:t xml:space="preserve">It is a </w:t>
      </w:r>
      <w:r>
        <w:rPr>
          <w:b/>
          <w:bCs/>
          <w:color w:val="EE0000"/>
        </w:rPr>
        <w:t>coordinate axis / vector in neural state space</w:t>
      </w:r>
      <w:r>
        <w:rPr>
          <w:color w:val="EE0000"/>
        </w:rPr>
        <w:t xml:space="preserve"> in our case, correct, Siyu?</w:t>
      </w:r>
    </w:p>
    <w:p w14:paraId="00000039" w14:textId="77777777" w:rsidR="00610AF9" w:rsidRDefault="00000000">
      <w:pPr>
        <w:spacing w:after="160"/>
        <w:rPr>
          <w:color w:val="EE0000"/>
        </w:rPr>
      </w:pPr>
      <w:r>
        <w:rPr>
          <w:color w:val="EE0000"/>
        </w:rPr>
        <w:t xml:space="preserve">We can modify the paragraph in the methods accordingly.  </w:t>
      </w:r>
      <w:r>
        <w:rPr>
          <w:color w:val="EE0000"/>
        </w:rPr>
        <w:br/>
      </w:r>
      <w:r>
        <w:rPr>
          <w:color w:val="EE0000"/>
        </w:rPr>
        <w:br/>
      </w:r>
    </w:p>
    <w:p w14:paraId="0000003A" w14:textId="77777777" w:rsidR="00610AF9" w:rsidRDefault="00000000">
      <w:pPr>
        <w:spacing w:after="160"/>
      </w:pPr>
      <w:r>
        <w:rPr>
          <w:color w:val="EE0000"/>
        </w:rPr>
        <w:t xml:space="preserve"> </w:t>
      </w:r>
      <w:r>
        <w:t>3. Clarification of the analysis relating go-signal modulation to recalculated discounted value</w:t>
      </w:r>
      <w:r>
        <w:br/>
        <w:t xml:space="preserve"> To test whether dlPFC neurons represent a recalculated discounted value at the time of the go signal, the authors examine whether neural activity is modulated by the yellow versus purple go signal in a manner similar to its modulation by reward and/or delay, which are integrated into discounted value. This is an interesting analysis, but several aspects would benefit from further clarification.</w:t>
      </w:r>
      <w:r>
        <w:br/>
        <w:t>First, in the figure corresponding to this analysis, the authors correlate "inferred time" with reward and delay modulation.</w:t>
      </w:r>
    </w:p>
    <w:p w14:paraId="0000003B" w14:textId="77777777" w:rsidR="00610AF9" w:rsidRDefault="00000000">
      <w:pPr>
        <w:spacing w:after="160"/>
      </w:pPr>
      <w:r>
        <w:t>However, the manuscript does not clearly describe what "</w:t>
      </w:r>
      <w:r>
        <w:rPr>
          <w:color w:val="EE0000"/>
        </w:rPr>
        <w:t>inferred time</w:t>
      </w:r>
      <w:r>
        <w:t>" measures or how it was estimated. Providing a more explicit definition of this variable would help readers interpret the analysis.</w:t>
      </w:r>
    </w:p>
    <w:p w14:paraId="0000003C" w14:textId="77777777" w:rsidR="00610AF9" w:rsidRDefault="00000000">
      <w:pPr>
        <w:spacing w:after="160"/>
        <w:rPr>
          <w:b/>
          <w:bCs/>
          <w:color w:val="FF0000"/>
        </w:rPr>
      </w:pPr>
      <w:r>
        <w:rPr>
          <w:b/>
          <w:bCs/>
          <w:color w:val="FF0000"/>
        </w:rPr>
        <w:t xml:space="preserve">The figure may be incorrect, may be from previous versions. </w:t>
      </w:r>
    </w:p>
    <w:p w14:paraId="0000003D" w14:textId="77777777" w:rsidR="00610AF9" w:rsidRDefault="00000000">
      <w:pPr>
        <w:spacing w:after="160"/>
        <w:rPr>
          <w:b/>
          <w:bCs/>
          <w:color w:val="FF0000"/>
        </w:rPr>
      </w:pPr>
      <w:r>
        <w:rPr>
          <w:b/>
          <w:bCs/>
          <w:color w:val="FF0000"/>
        </w:rPr>
        <w:t xml:space="preserve">We need to change it accordingly. </w:t>
      </w:r>
    </w:p>
    <w:p w14:paraId="0000003E" w14:textId="77777777" w:rsidR="00610AF9" w:rsidRDefault="00000000">
      <w:pPr>
        <w:spacing w:after="160"/>
        <w:rPr>
          <w:b/>
          <w:bCs/>
        </w:rPr>
      </w:pPr>
      <w:r>
        <w:rPr>
          <w:b/>
          <w:bCs/>
        </w:rPr>
        <w:t>Second, it is unclear how neural modulation by the go signal was measured independently of modulation by offer value. The authors present neural activity during the cue period, but not during the period when the go signal was presented, when the potential recalculation of discounted value would presumably occur.</w:t>
      </w:r>
    </w:p>
    <w:p w14:paraId="0000003F" w14:textId="77777777" w:rsidR="00610AF9" w:rsidRDefault="00610AF9">
      <w:pPr>
        <w:spacing w:after="160"/>
      </w:pPr>
    </w:p>
    <w:p w14:paraId="00000040" w14:textId="77777777" w:rsidR="00610AF9" w:rsidRDefault="00000000">
      <w:pPr>
        <w:spacing w:after="160"/>
        <w:rPr>
          <w:b/>
          <w:bCs/>
        </w:rPr>
      </w:pPr>
      <w:r>
        <w:t>In addition, Figures S1 and S2 appear to show that dlPFC neurons exhibit little modulation by the go signal itself. Given this, it is difficult to understand how go-signal-related neural modulation was analyzed in relation to the proposed recalculated discounted value.</w:t>
      </w:r>
      <w:r>
        <w:br/>
        <w:t xml:space="preserve"> If the authors' interpretation is that dlPFC neurons encode an adjustment of discounted value after the go signal</w:t>
      </w:r>
      <w:r>
        <w:rPr>
          <w:b/>
          <w:bCs/>
        </w:rPr>
        <w:t xml:space="preserve">, it would be helpful to show this more directly. For example, the analysis would be more compelling if it demonstrated how neural activity changes from </w:t>
      </w:r>
      <w:r>
        <w:rPr>
          <w:b/>
          <w:bCs/>
        </w:rPr>
        <w:lastRenderedPageBreak/>
        <w:t>the pre-go-signal to post-go-signal period in a way that reflects the proposed value adjustment.</w:t>
      </w:r>
    </w:p>
    <w:p w14:paraId="00000041" w14:textId="77777777" w:rsidR="00610AF9" w:rsidRDefault="00000000">
      <w:pPr>
        <w:spacing w:after="160"/>
        <w:rPr>
          <w:color w:val="FF0000"/>
        </w:rPr>
      </w:pPr>
      <w:r>
        <w:rPr>
          <w:color w:val="FF0000"/>
        </w:rPr>
        <w:t xml:space="preserve">No, figure S1 and S2 show that there is no choice effect. Choice is the real choice the animal made. </w:t>
      </w:r>
    </w:p>
    <w:p w14:paraId="00000042" w14:textId="77777777" w:rsidR="00610AF9" w:rsidRDefault="00000000">
      <w:pPr>
        <w:spacing w:after="160"/>
        <w:rPr>
          <w:b/>
          <w:bCs/>
        </w:rPr>
      </w:pPr>
      <w:r>
        <w:rPr>
          <w:b/>
          <w:bCs/>
          <w:color w:val="0070C0"/>
        </w:rPr>
        <w:t xml:space="preserve">Siyu Analysis: </w:t>
      </w:r>
      <w:r>
        <w:rPr>
          <w:color w:val="0070C0"/>
        </w:rPr>
        <w:t>Contrast activity between [-200 0 ] vs [0 200] around GO cue.</w:t>
      </w:r>
      <w:r>
        <w:rPr>
          <w:color w:val="0070C0"/>
        </w:rPr>
        <w:br/>
      </w:r>
      <w:r>
        <w:rPr>
          <w:color w:val="0070C0"/>
        </w:rPr>
        <w:br/>
        <w:t xml:space="preserve"> </w:t>
      </w:r>
      <w:r>
        <w:t>4. Relating individual differences in neural modulation to behavioral strategy</w:t>
      </w:r>
      <w:r>
        <w:br/>
        <w:t xml:space="preserve"> The authors report that the two monkeys may have used different behavioral strategies and also describe individual differences in several aspects of neural modulation. It would be helpful if the authors could further discuss how these individual differences in neural activity might relate to the observed differences in decision strategy. </w:t>
      </w:r>
      <w:r>
        <w:rPr>
          <w:b/>
          <w:bCs/>
        </w:rPr>
        <w:t>For example, do the monkey-specific patterns of neural modulation provide a possible mechanistic explanation for differences in how each animal evaluated or responded to the offers? Clarifying this relationship would help strengthen the link between the neural findings and the behavioral interpretation.</w:t>
      </w:r>
    </w:p>
    <w:p w14:paraId="00000043" w14:textId="77777777" w:rsidR="00610AF9" w:rsidRDefault="00000000">
      <w:pPr>
        <w:spacing w:after="160"/>
        <w:rPr>
          <w:b/>
          <w:bCs/>
          <w:color w:val="0070C0"/>
        </w:rPr>
      </w:pPr>
      <w:r>
        <w:rPr>
          <w:b/>
          <w:bCs/>
          <w:color w:val="0070C0"/>
        </w:rPr>
        <w:t>Explain the link between Model 3 and neural result Fig 6 for Monkey S and not monkey T.</w:t>
      </w:r>
    </w:p>
    <w:p w14:paraId="00000044" w14:textId="77777777" w:rsidR="00610AF9" w:rsidRDefault="00000000">
      <w:pPr>
        <w:spacing w:after="160"/>
        <w:rPr>
          <w:color w:val="EE0000"/>
        </w:rPr>
      </w:pPr>
      <w:r>
        <w:rPr>
          <w:color w:val="EE0000"/>
        </w:rPr>
        <w:t xml:space="preserve"> </w:t>
      </w:r>
    </w:p>
    <w:p w14:paraId="00000045" w14:textId="77777777" w:rsidR="00610AF9" w:rsidRDefault="00610AF9"/>
    <w:sectPr w:rsidR="00610AF9">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ROSSELLA FALCONE" w:date="2026-07-15T17:13:00Z" w:initials="">
    <w:p w14:paraId="00000047" w14:textId="77777777" w:rsidR="00610AF9" w:rsidRDefault="004A0E6E">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Please Siyu double check!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00004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000047" w16cid:durableId="0000004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5B79622E-8044-F044-ADA9-3385C3BABE53}"/>
    <w:embedBold r:id="rId2" w:fontKey="{7C4D0566-4828-D442-9258-ACB5DD586E65}"/>
    <w:embedItalic r:id="rId3" w:fontKey="{8659252B-C351-714F-A2B9-2EDDB99E2465}"/>
    <w:embedBoldItalic r:id="rId4" w:fontKey="{CFEC0EEB-A7DE-7C4B-9793-C94233D85582}"/>
  </w:font>
  <w:font w:name="Times New Roman">
    <w:panose1 w:val="02020603050405020304"/>
    <w:charset w:val="00"/>
    <w:family w:val="roman"/>
    <w:pitch w:val="variable"/>
    <w:sig w:usb0="E0002EFF" w:usb1="C000785B" w:usb2="00000009" w:usb3="00000000" w:csb0="000001FF" w:csb1="00000000"/>
    <w:embedRegular r:id="rId5" w:fontKey="{DB31AD2D-44D2-5A4B-8775-9588352D6A3E}"/>
    <w:embedBold r:id="rId6" w:fontKey="{261C28F0-68B0-BA4C-85F8-5A7360DB0F60}"/>
    <w:embedItalic r:id="rId7" w:fontKey="{C582390D-B43B-AA4D-AA2E-32AFB05EF836}"/>
  </w:font>
  <w:font w:name="Cambria Math">
    <w:panose1 w:val="02040503050406030204"/>
    <w:charset w:val="00"/>
    <w:family w:val="roman"/>
    <w:pitch w:val="variable"/>
    <w:sig w:usb0="E00002FF" w:usb1="420024FF" w:usb2="00000000" w:usb3="00000000" w:csb0="0000019F" w:csb1="00000000"/>
    <w:embedRegular r:id="rId8" w:fontKey="{2E56AFB2-D65C-C246-897E-829F94A0FD45}"/>
    <w:embedItalic r:id="rId9" w:fontKey="{B8F78598-2A30-1341-B64A-F433364CCDE8}"/>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embedRegular r:id="rId10" w:fontKey="{51A415F6-F84D-6F4E-9613-2B0D51F65899}"/>
  </w:font>
  <w:font w:name="Cambria">
    <w:panose1 w:val="02040503050406030204"/>
    <w:charset w:val="00"/>
    <w:family w:val="roman"/>
    <w:notTrueType/>
    <w:pitch w:val="default"/>
    <w:embedRegular r:id="rId11" w:fontKey="{BE757012-65EA-4D40-9D1A-1B7FAD6511C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24B6EBA"/>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134B5E"/>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4215EB2"/>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73514940">
    <w:abstractNumId w:val="0"/>
  </w:num>
  <w:num w:numId="2" w16cid:durableId="578059447">
    <w:abstractNumId w:val="1"/>
  </w:num>
  <w:num w:numId="3" w16cid:durableId="57123344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AF9"/>
    <w:rsid w:val="000D718E"/>
    <w:rsid w:val="000F09E9"/>
    <w:rsid w:val="00157515"/>
    <w:rsid w:val="001D7C79"/>
    <w:rsid w:val="00223A69"/>
    <w:rsid w:val="003043C8"/>
    <w:rsid w:val="003E724E"/>
    <w:rsid w:val="004A0E6E"/>
    <w:rsid w:val="004D6928"/>
    <w:rsid w:val="00511D22"/>
    <w:rsid w:val="005343C2"/>
    <w:rsid w:val="005441B3"/>
    <w:rsid w:val="00560F8B"/>
    <w:rsid w:val="005956AC"/>
    <w:rsid w:val="00610AF9"/>
    <w:rsid w:val="0068781C"/>
    <w:rsid w:val="006A2BE0"/>
    <w:rsid w:val="006C7F4C"/>
    <w:rsid w:val="00715A0F"/>
    <w:rsid w:val="0077410C"/>
    <w:rsid w:val="00780648"/>
    <w:rsid w:val="007A2088"/>
    <w:rsid w:val="008A4D56"/>
    <w:rsid w:val="008C429A"/>
    <w:rsid w:val="008D00E8"/>
    <w:rsid w:val="008F5372"/>
    <w:rsid w:val="00921DEA"/>
    <w:rsid w:val="009264B5"/>
    <w:rsid w:val="00940F58"/>
    <w:rsid w:val="009C5E43"/>
    <w:rsid w:val="009F3863"/>
    <w:rsid w:val="00A177A5"/>
    <w:rsid w:val="00A63C77"/>
    <w:rsid w:val="00AA4C13"/>
    <w:rsid w:val="00AC4E33"/>
    <w:rsid w:val="00AD4B99"/>
    <w:rsid w:val="00AE32A1"/>
    <w:rsid w:val="00AE3BB9"/>
    <w:rsid w:val="00AE77D4"/>
    <w:rsid w:val="00AF1B42"/>
    <w:rsid w:val="00B2380A"/>
    <w:rsid w:val="00B3388C"/>
    <w:rsid w:val="00B56FDC"/>
    <w:rsid w:val="00B760A3"/>
    <w:rsid w:val="00BB0A2C"/>
    <w:rsid w:val="00BE0403"/>
    <w:rsid w:val="00C06117"/>
    <w:rsid w:val="00C46F0F"/>
    <w:rsid w:val="00CE64AB"/>
    <w:rsid w:val="00CE768E"/>
    <w:rsid w:val="00D107FE"/>
    <w:rsid w:val="00D8124C"/>
    <w:rsid w:val="00D915EA"/>
    <w:rsid w:val="00DD4EAE"/>
    <w:rsid w:val="00E6523E"/>
    <w:rsid w:val="00F1439E"/>
    <w:rsid w:val="00F25741"/>
    <w:rsid w:val="00F45A7C"/>
    <w:rsid w:val="00F55703"/>
    <w:rsid w:val="00FB74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E763ECD"/>
  <w15:docId w15:val="{10B7999F-4198-EF41-A97F-251F01DA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7A2088"/>
    <w:pPr>
      <w:ind w:left="720"/>
      <w:contextualSpacing/>
    </w:pPr>
  </w:style>
  <w:style w:type="character" w:styleId="PlaceholderText">
    <w:name w:val="Placeholder Text"/>
    <w:basedOn w:val="DefaultParagraphFont"/>
    <w:uiPriority w:val="99"/>
    <w:semiHidden/>
    <w:rsid w:val="00D107F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11</Pages>
  <Words>3662</Words>
  <Characters>20877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Siyu Wang</cp:lastModifiedBy>
  <cp:revision>127</cp:revision>
  <dcterms:created xsi:type="dcterms:W3CDTF">2026-07-19T14:09:00Z</dcterms:created>
  <dcterms:modified xsi:type="dcterms:W3CDTF">2026-07-19T16:59:00Z</dcterms:modified>
</cp:coreProperties>
</file>