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B70694F" w:rsidR="00610AF9" w:rsidRDefault="000200C7">
      <w:pPr>
        <w:spacing w:after="160"/>
      </w:pPr>
      <w:r w:rsidRPr="00843A8D">
        <w:t>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r w:rsidRPr="00843A8D">
        <w:br/>
        <w:t>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Are there any other differences in distributions for the other analyses that might correlate with anatomical location?</w:t>
      </w:r>
      <w:r w:rsidRPr="00843A8D">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r w:rsidRPr="00843A8D">
        <w:br/>
        <w:t>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Responses on opt in vs opt out? Errors? I am curious about those responses as well even if they aren't the same.</w:t>
      </w:r>
      <w:r w:rsidRPr="00843A8D">
        <w:br/>
      </w:r>
      <w:r w:rsidRPr="00843A8D">
        <w:br/>
        <w:t>Other comments</w:t>
      </w:r>
      <w:r w:rsidRPr="00843A8D">
        <w:br/>
        <w:t>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r w:rsidRPr="00843A8D">
        <w:br/>
      </w:r>
      <w:r w:rsidRPr="00843A8D">
        <w:lastRenderedPageBreak/>
        <w:t>2. The explanation (in words) of Model 2 was even more simple and straightforward in the methods, whereas it was a little hard to follow in the results. Would recommend clarifying/rephrasing in the results.</w:t>
      </w:r>
      <w:r w:rsidRPr="00843A8D">
        <w:br/>
        <w:t>3. The hand/bar icon on Figure 1 (and the difference between open and closed) is a bit hard to see and it made it a little confusing to initially understand the task.</w:t>
      </w:r>
      <w:r w:rsidRPr="000200C7">
        <w:rPr>
          <w:b/>
          <w:bCs/>
        </w:rPr>
        <w:br/>
      </w:r>
      <w:r>
        <w:br/>
      </w:r>
      <w:r>
        <w:br/>
        <w:t xml:space="preserve"> Main comments</w:t>
      </w:r>
      <w:r>
        <w:br/>
      </w:r>
      <w:r>
        <w:br/>
        <w:t xml:space="preserve"> 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w:t>
      </w:r>
    </w:p>
    <w:p w14:paraId="00000002" w14:textId="77777777" w:rsidR="00610AF9" w:rsidRDefault="00000000">
      <w:pPr>
        <w:spacing w:after="160"/>
      </w:pPr>
      <w:r>
        <w:t>Monkey S adjusted the temporal discounted value based on the go signal, but Monkey T did not, therefore there could be a presumed difference in this inverse coding following presentation of the go signal.</w:t>
      </w:r>
    </w:p>
    <w:p w14:paraId="4571D573" w14:textId="77777777" w:rsidR="00F937FF" w:rsidRPr="00F937FF" w:rsidRDefault="00F937FF" w:rsidP="00F937FF">
      <w:pPr>
        <w:spacing w:after="160"/>
        <w:rPr>
          <w:b/>
          <w:bCs/>
          <w:color w:val="0070C0"/>
        </w:rPr>
      </w:pPr>
      <w:r w:rsidRPr="00F937FF">
        <w:rPr>
          <w:b/>
          <w:bCs/>
          <w:color w:val="0070C0"/>
        </w:rPr>
        <w:t xml:space="preserve">We thank the reviewer for this suggestion. </w:t>
      </w:r>
    </w:p>
    <w:p w14:paraId="3B167E09" w14:textId="77777777" w:rsidR="00F937FF" w:rsidRPr="00F937FF" w:rsidRDefault="00F937FF" w:rsidP="00F937FF">
      <w:pPr>
        <w:spacing w:after="160"/>
        <w:rPr>
          <w:b/>
          <w:bCs/>
          <w:color w:val="0070C0"/>
        </w:rPr>
      </w:pPr>
      <w:r w:rsidRPr="00F937FF">
        <w:rPr>
          <w:b/>
          <w:bCs/>
          <w:color w:val="0070C0"/>
        </w:rPr>
        <w:t xml:space="preserve">We have repeated the analysis of the inversion coding both before and after 250 milliseconds from the onset of the go signal. We found that, in both monkeys, the inverse coding persisted beyond the first 250 ms of the go signal. </w:t>
      </w:r>
    </w:p>
    <w:p w14:paraId="68EDF044" w14:textId="77777777" w:rsidR="00F937FF" w:rsidRPr="00F937FF" w:rsidRDefault="00F937FF" w:rsidP="00F937FF">
      <w:pPr>
        <w:spacing w:after="160"/>
        <w:rPr>
          <w:b/>
          <w:bCs/>
          <w:color w:val="0070C0"/>
        </w:rPr>
      </w:pPr>
      <w:r w:rsidRPr="00F937FF">
        <w:rPr>
          <w:b/>
          <w:bCs/>
          <w:color w:val="0070C0"/>
        </w:rPr>
        <w:t xml:space="preserve">This is because both monkeys continue to have a representation of the offer value even after the go signal. This is not surprising, given that the cue is always visible to the animal throughout the trial. </w:t>
      </w:r>
    </w:p>
    <w:p w14:paraId="6A580138" w14:textId="1F890482" w:rsidR="00F937FF" w:rsidRDefault="00F937FF" w:rsidP="00F937FF">
      <w:pPr>
        <w:spacing w:after="160"/>
        <w:rPr>
          <w:b/>
          <w:bCs/>
          <w:color w:val="0070C0"/>
        </w:rPr>
      </w:pPr>
      <w:r w:rsidRPr="00F937FF">
        <w:rPr>
          <w:b/>
          <w:bCs/>
          <w:color w:val="0070C0"/>
        </w:rPr>
        <w:t>The difference between the animals lies in how the go signal, if at all, is incorporated into the value space. We have provided some evidence for this by responding to a</w:t>
      </w:r>
      <w:r w:rsidR="0054664D">
        <w:rPr>
          <w:b/>
          <w:bCs/>
          <w:color w:val="0070C0"/>
        </w:rPr>
        <w:t xml:space="preserve"> very similar</w:t>
      </w:r>
      <w:r w:rsidRPr="00F937FF">
        <w:rPr>
          <w:b/>
          <w:bCs/>
          <w:color w:val="0070C0"/>
        </w:rPr>
        <w:t xml:space="preserve"> comment raised by the second reviewer</w:t>
      </w:r>
      <w:r w:rsidR="0054664D">
        <w:rPr>
          <w:b/>
          <w:bCs/>
          <w:color w:val="0070C0"/>
        </w:rPr>
        <w:t xml:space="preserve">, </w:t>
      </w:r>
      <w:r w:rsidRPr="00F937FF">
        <w:rPr>
          <w:b/>
          <w:bCs/>
          <w:color w:val="0070C0"/>
        </w:rPr>
        <w:t>below.</w:t>
      </w:r>
    </w:p>
    <w:p w14:paraId="00000006" w14:textId="4D33AD2A" w:rsidR="00610AF9" w:rsidRDefault="00000000" w:rsidP="00F937FF">
      <w:pPr>
        <w:spacing w:after="160"/>
      </w:pPr>
      <w:r>
        <w:rPr>
          <w:b/>
          <w:bCs/>
          <w:color w:val="EE0000"/>
        </w:rPr>
        <w:br/>
      </w:r>
      <w:r>
        <w:t xml:space="preserve"> 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w:t>
      </w:r>
    </w:p>
    <w:p w14:paraId="013CDFA2" w14:textId="77777777" w:rsidR="00F45033" w:rsidRPr="00B254DD" w:rsidRDefault="00000000">
      <w:pPr>
        <w:spacing w:after="160"/>
        <w:rPr>
          <w:b/>
          <w:bCs/>
          <w:color w:val="4F81BD" w:themeColor="accent1"/>
        </w:rPr>
      </w:pPr>
      <w:r w:rsidRPr="00B254DD">
        <w:rPr>
          <w:b/>
          <w:bCs/>
          <w:color w:val="4F81BD" w:themeColor="accent1"/>
        </w:rPr>
        <w:t xml:space="preserve">We thank the reviewer for this important point. We agree that differences in recording locations across monkeys could potentially contribute to the difference in the proportion of linearly coding neurons. Although the exact anatomical correspondence between recording sites across animals cannot be established in our dataset, we performed an additional analysis within Monkey S by comparing arrays from different recording locations. In the array that was most comparable to the recording region sampled in </w:t>
      </w:r>
      <w:r w:rsidRPr="00B254DD">
        <w:rPr>
          <w:b/>
          <w:bCs/>
          <w:color w:val="4F81BD" w:themeColor="accent1"/>
        </w:rPr>
        <w:lastRenderedPageBreak/>
        <w:t xml:space="preserve">Monkey T, we identified only 3 linearly coding neurons out of 44 recorded neurons (~7%), which is substantially lower than the proportion observed in Monkey T. </w:t>
      </w:r>
    </w:p>
    <w:p w14:paraId="00000007" w14:textId="743A7239" w:rsidR="00610AF9" w:rsidRPr="00B254DD" w:rsidRDefault="00000000">
      <w:pPr>
        <w:spacing w:after="160"/>
        <w:rPr>
          <w:b/>
          <w:bCs/>
          <w:color w:val="4F81BD" w:themeColor="accent1"/>
        </w:rPr>
      </w:pPr>
      <w:r w:rsidRPr="00B254DD">
        <w:rPr>
          <w:b/>
          <w:bCs/>
          <w:color w:val="4F81BD" w:themeColor="accent1"/>
        </w:rPr>
        <w:t xml:space="preserve">The difference in recording location alone is unlikely to fully explain the difference, although we cannot completely exclude a contribution from anatomical sampling. However, this comparison is based on a small number of linearly coding neurons in Monkey S and should therefore be interpreted cautiously. We have revised the manuscript accordingly: </w:t>
      </w:r>
    </w:p>
    <w:p w14:paraId="00000008" w14:textId="77777777" w:rsidR="00610AF9" w:rsidRDefault="00000000">
      <w:pPr>
        <w:spacing w:after="160"/>
        <w:rPr>
          <w:b/>
          <w:bCs/>
          <w:color w:val="EE0000"/>
        </w:rPr>
      </w:pPr>
      <w:commentRangeStart w:id="0"/>
      <w:r>
        <w:rPr>
          <w:b/>
          <w:bCs/>
          <w:color w:val="EE0000"/>
        </w:rPr>
        <w:t xml:space="preserve">Please see the lines ??-?? </w:t>
      </w:r>
      <w:commentRangeEnd w:id="0"/>
      <w:r w:rsidR="00B254DD">
        <w:rPr>
          <w:rStyle w:val="CommentReference"/>
          <w:b/>
          <w:bCs/>
          <w:color w:val="EE0000"/>
          <w:sz w:val="22"/>
          <w:szCs w:val="22"/>
        </w:rPr>
        <w:commentReference w:id="0"/>
      </w:r>
    </w:p>
    <w:p w14:paraId="0000000D" w14:textId="77777777" w:rsidR="00610AF9" w:rsidRDefault="00000000">
      <w:pPr>
        <w:spacing w:after="160"/>
        <w:rPr>
          <w:b/>
          <w:bCs/>
          <w:highlight w:val="yellow"/>
        </w:rPr>
      </w:pPr>
      <w:r>
        <w:t>Are there any other differences in distributions for the other analyses that might correlate with anatomical location?</w:t>
      </w:r>
    </w:p>
    <w:p w14:paraId="0000000F" w14:textId="2379577E" w:rsidR="00610AF9" w:rsidRPr="00F45033" w:rsidRDefault="00B254DD">
      <w:pPr>
        <w:spacing w:after="160"/>
        <w:rPr>
          <w:b/>
          <w:bCs/>
          <w:color w:val="4F81BD" w:themeColor="accent1"/>
        </w:rPr>
      </w:pPr>
      <w:r w:rsidRPr="00B254DD">
        <w:rPr>
          <w:b/>
          <w:bCs/>
          <w:color w:val="4F81BD" w:themeColor="accent1"/>
          <w:highlight w:val="yellow"/>
        </w:rPr>
        <w:t>Siyu, will repeat Anova or Decoding?</w:t>
      </w:r>
      <w:r>
        <w:rPr>
          <w:b/>
          <w:bCs/>
          <w:color w:val="4F81BD" w:themeColor="accent1"/>
        </w:rPr>
        <w:t xml:space="preserve"> </w:t>
      </w:r>
    </w:p>
    <w:p w14:paraId="00000010" w14:textId="77777777" w:rsidR="00610AF9" w:rsidRDefault="00000000">
      <w:pPr>
        <w:spacing w:after="160"/>
        <w:rPr>
          <w:color w:val="0070C0"/>
        </w:rPr>
      </w:pPr>
      <w:r>
        <w:rPr>
          <w:color w:val="0070C0"/>
        </w:rPr>
        <w:br/>
      </w:r>
      <w:r>
        <w:t xml:space="preserve"> 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2D775D39" w14:textId="3E828EBA" w:rsidR="0054664D" w:rsidRPr="0054664D" w:rsidRDefault="0054664D" w:rsidP="0054664D">
      <w:pPr>
        <w:rPr>
          <w:b/>
          <w:bCs/>
          <w:color w:val="4F81BD" w:themeColor="accent1"/>
        </w:rPr>
      </w:pPr>
      <w:r w:rsidRPr="0054664D">
        <w:rPr>
          <w:b/>
          <w:bCs/>
          <w:color w:val="4F81BD" w:themeColor="accent1"/>
        </w:rPr>
        <w:t>We appreciate this important comment. The animals' training history may have contributed to the differences observed. Understanding how behavioral strategies and their neural correlates evolve with experience certainly requires longitudinal studies tracking the same animals across different stages of training, which are lacking here.</w:t>
      </w:r>
    </w:p>
    <w:p w14:paraId="57402D52" w14:textId="77777777" w:rsidR="0054664D" w:rsidRPr="0054664D" w:rsidRDefault="0054664D" w:rsidP="0054664D">
      <w:pPr>
        <w:rPr>
          <w:b/>
          <w:bCs/>
          <w:color w:val="4F81BD" w:themeColor="accent1"/>
        </w:rPr>
      </w:pPr>
      <w:r w:rsidRPr="0054664D">
        <w:rPr>
          <w:b/>
          <w:bCs/>
          <w:color w:val="4F81BD" w:themeColor="accent1"/>
        </w:rPr>
        <w:t xml:space="preserve">We have clarified this argument in the discussion. </w:t>
      </w:r>
    </w:p>
    <w:p w14:paraId="6152151E" w14:textId="77777777" w:rsidR="0054664D" w:rsidRDefault="0054664D" w:rsidP="0054664D">
      <w:pPr>
        <w:rPr>
          <w:b/>
          <w:bCs/>
          <w:color w:val="4F81BD" w:themeColor="accent1"/>
        </w:rPr>
      </w:pPr>
      <w:r w:rsidRPr="0054664D">
        <w:rPr>
          <w:b/>
          <w:bCs/>
          <w:color w:val="4F81BD" w:themeColor="accent1"/>
        </w:rPr>
        <w:t xml:space="preserve">We also corrected the previous part of the discussion in which we incorrectly stated that Monkey S had received more training than Monkey T; this was not the intention. What we meant was that it was possible that Monkey S may have had longer training than Monkey T. </w:t>
      </w:r>
      <w:r>
        <w:rPr>
          <w:b/>
          <w:bCs/>
          <w:color w:val="4F81BD" w:themeColor="accent1"/>
        </w:rPr>
        <w:t xml:space="preserve"> </w:t>
      </w:r>
    </w:p>
    <w:p w14:paraId="5527CF72" w14:textId="4F1AAFA1" w:rsidR="0018577F" w:rsidRDefault="0054664D" w:rsidP="0054664D">
      <w:pPr>
        <w:rPr>
          <w:b/>
          <w:bCs/>
          <w:color w:val="4F81BD" w:themeColor="accent1"/>
        </w:rPr>
      </w:pPr>
      <w:r>
        <w:rPr>
          <w:b/>
          <w:bCs/>
          <w:color w:val="4F81BD" w:themeColor="accent1"/>
        </w:rPr>
        <w:t xml:space="preserve">Something that we cannot determine, because </w:t>
      </w:r>
      <w:r w:rsidRPr="0018577F">
        <w:rPr>
          <w:b/>
          <w:bCs/>
          <w:color w:val="4F81BD" w:themeColor="accent1"/>
        </w:rPr>
        <w:t xml:space="preserve">we </w:t>
      </w:r>
      <w:r w:rsidR="00D37686" w:rsidRPr="0018577F">
        <w:rPr>
          <w:b/>
          <w:bCs/>
          <w:color w:val="4F81BD" w:themeColor="accent1"/>
        </w:rPr>
        <w:t xml:space="preserve">only </w:t>
      </w:r>
      <w:r w:rsidRPr="0018577F">
        <w:rPr>
          <w:b/>
          <w:bCs/>
          <w:color w:val="4F81BD" w:themeColor="accent1"/>
        </w:rPr>
        <w:t xml:space="preserve">have information </w:t>
      </w:r>
      <w:r w:rsidR="0018577F" w:rsidRPr="0018577F">
        <w:rPr>
          <w:b/>
          <w:bCs/>
          <w:color w:val="4F81BD" w:themeColor="accent1"/>
        </w:rPr>
        <w:t xml:space="preserve">of initial training </w:t>
      </w:r>
      <w:r w:rsidRPr="0018577F">
        <w:rPr>
          <w:b/>
          <w:bCs/>
          <w:color w:val="4F81BD" w:themeColor="accent1"/>
        </w:rPr>
        <w:t xml:space="preserve">for Monkey S. </w:t>
      </w:r>
      <w:r w:rsidR="00D37686" w:rsidRPr="0018577F">
        <w:rPr>
          <w:b/>
          <w:bCs/>
          <w:color w:val="4F81BD" w:themeColor="accent1"/>
        </w:rPr>
        <w:t xml:space="preserve">We found that Monkey S at already the first </w:t>
      </w:r>
      <w:r>
        <w:rPr>
          <w:b/>
          <w:bCs/>
          <w:color w:val="4F81BD" w:themeColor="accent1"/>
        </w:rPr>
        <w:t xml:space="preserve">training </w:t>
      </w:r>
      <w:r w:rsidR="00D37686" w:rsidRPr="0018577F">
        <w:rPr>
          <w:b/>
          <w:bCs/>
          <w:color w:val="4F81BD" w:themeColor="accent1"/>
        </w:rPr>
        <w:t xml:space="preserve">sessions showed a different strategy than the one adopted by Monkey T if we think that the behavior of Monkey T </w:t>
      </w:r>
      <w:r>
        <w:rPr>
          <w:b/>
          <w:bCs/>
          <w:color w:val="4F81BD" w:themeColor="accent1"/>
        </w:rPr>
        <w:t xml:space="preserve">may </w:t>
      </w:r>
      <w:r w:rsidR="00D37686" w:rsidRPr="0018577F">
        <w:rPr>
          <w:b/>
          <w:bCs/>
          <w:color w:val="4F81BD" w:themeColor="accent1"/>
        </w:rPr>
        <w:t xml:space="preserve">reflect a less experienced one. </w:t>
      </w:r>
    </w:p>
    <w:p w14:paraId="58D13DA3" w14:textId="77777777" w:rsidR="0054664D" w:rsidRPr="0018577F" w:rsidRDefault="0054664D" w:rsidP="0054664D">
      <w:pPr>
        <w:rPr>
          <w:b/>
          <w:bCs/>
          <w:color w:val="4F81BD" w:themeColor="accent1"/>
        </w:rPr>
      </w:pPr>
    </w:p>
    <w:p w14:paraId="37935C14" w14:textId="77777777" w:rsidR="00B12E94" w:rsidRDefault="00000000">
      <w:pPr>
        <w:spacing w:after="160"/>
      </w:pPr>
      <w:r>
        <w:t xml:space="preserve">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w:t>
      </w:r>
    </w:p>
    <w:p w14:paraId="2B197930" w14:textId="77777777" w:rsidR="00594BC8" w:rsidRDefault="00594BC8">
      <w:pPr>
        <w:spacing w:after="160"/>
        <w:rPr>
          <w:b/>
          <w:bCs/>
          <w:color w:val="4F81BD" w:themeColor="accent1"/>
        </w:rPr>
      </w:pPr>
      <w:r w:rsidRPr="00594BC8">
        <w:rPr>
          <w:b/>
          <w:bCs/>
          <w:color w:val="4F81BD" w:themeColor="accent1"/>
        </w:rPr>
        <w:t xml:space="preserve">Thank you to the reviewer for this comment. As shown in Figure 2 of the current manuscript, both monkeys more often chose offers with larger drops and shorter delays. Neural encodings of reward, delay and their interaction were found in both monkeys, as shown in Figures S1C-D and S2A-B. </w:t>
      </w:r>
    </w:p>
    <w:p w14:paraId="5A9F358A" w14:textId="59AF09D8" w:rsidR="00B12E94" w:rsidRDefault="00000000">
      <w:pPr>
        <w:spacing w:after="160"/>
      </w:pPr>
      <w:r>
        <w:t>Responses on opt in vs opt out? Errors? I am curious about those responses as well even if they aren't the same.</w:t>
      </w:r>
    </w:p>
    <w:p w14:paraId="00000019" w14:textId="352FA033" w:rsidR="00610AF9" w:rsidRPr="00B12E94" w:rsidRDefault="00594BC8">
      <w:pPr>
        <w:spacing w:after="160"/>
        <w:rPr>
          <w:color w:val="0070C0"/>
        </w:rPr>
      </w:pPr>
      <w:r w:rsidRPr="00594BC8">
        <w:rPr>
          <w:b/>
          <w:bCs/>
          <w:color w:val="4F81BD" w:themeColor="accent1"/>
        </w:rPr>
        <w:lastRenderedPageBreak/>
        <w:t>To answer this question, we calculated the number of incomplete trials and categorized them as either those in which the animal released the bar during the cue period or within the first 100 ms of the go signal (Monkey S: 2% ± 0.3; Monkey T: 8% ± 0.8), or those in which the bar was never released (Monkey S: 2% ± 0.4; Monkey T: 6% ± 1.1; mean ± SEM).</w:t>
      </w:r>
    </w:p>
    <w:p w14:paraId="0000001A" w14:textId="77777777" w:rsidR="00610AF9" w:rsidRDefault="00000000">
      <w:pPr>
        <w:spacing w:after="160"/>
      </w:pPr>
      <w:r>
        <w:t>Other comments</w:t>
      </w:r>
      <w:r>
        <w:br/>
        <w:t xml:space="preserve"> 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p>
    <w:p w14:paraId="0528B53B" w14:textId="77777777" w:rsidR="00AC35E6" w:rsidRPr="00396060" w:rsidRDefault="00000000">
      <w:pPr>
        <w:spacing w:after="160"/>
        <w:rPr>
          <w:b/>
          <w:bCs/>
          <w:color w:val="4F81BD" w:themeColor="accent1"/>
        </w:rPr>
      </w:pPr>
      <w:r w:rsidRPr="00396060">
        <w:rPr>
          <w:b/>
          <w:bCs/>
          <w:color w:val="4F81BD" w:themeColor="accent1"/>
        </w:rPr>
        <w:t xml:space="preserve">We thank the reviewer for this point. Because the cue set was constructed by recombining a limited set of simple geometric features encoding reward and delay, visual properties are inherently coupled to task variables. </w:t>
      </w:r>
    </w:p>
    <w:p w14:paraId="0000001D" w14:textId="51715DCF" w:rsidR="00610AF9" w:rsidRPr="00396060" w:rsidRDefault="00000000">
      <w:pPr>
        <w:spacing w:after="160"/>
        <w:rPr>
          <w:b/>
          <w:bCs/>
          <w:color w:val="4F81BD" w:themeColor="accent1"/>
        </w:rPr>
      </w:pPr>
      <w:r w:rsidRPr="00396060">
        <w:rPr>
          <w:b/>
          <w:bCs/>
          <w:color w:val="4F81BD" w:themeColor="accent1"/>
        </w:rPr>
        <w:t xml:space="preserve">Therefore, as </w:t>
      </w:r>
      <w:r w:rsidR="00605E2C" w:rsidRPr="00396060">
        <w:rPr>
          <w:b/>
          <w:bCs/>
          <w:color w:val="4F81BD" w:themeColor="accent1"/>
        </w:rPr>
        <w:t>partial</w:t>
      </w:r>
      <w:r w:rsidRPr="00396060">
        <w:rPr>
          <w:b/>
          <w:bCs/>
          <w:color w:val="4F81BD" w:themeColor="accent1"/>
        </w:rPr>
        <w:t xml:space="preserve"> control, we compared neuronal activity elicited by the same offer cue in trials in which the offer was ultimately accepted versus rejected. We did not observe significant differences between these conditions, indicating that the neuronal responses during the offer period were not modulated by the subsequent choice. We acknowledge, however, that this analysis does not rule out the possibility that part of the observed activity reflects visual processing of the cue, and we have added this point as a limitation in the manuscript. </w:t>
      </w:r>
    </w:p>
    <w:p w14:paraId="36F595CE" w14:textId="60CCB855" w:rsidR="00AC35E6" w:rsidRPr="00396060" w:rsidRDefault="00AC35E6">
      <w:pPr>
        <w:spacing w:after="160"/>
        <w:rPr>
          <w:b/>
          <w:bCs/>
          <w:color w:val="4F81BD" w:themeColor="accent1"/>
        </w:rPr>
      </w:pPr>
      <w:r w:rsidRPr="00396060">
        <w:rPr>
          <w:b/>
          <w:bCs/>
          <w:color w:val="4F81BD" w:themeColor="accent1"/>
        </w:rPr>
        <w:t>In addition, since each cue simultaneously contains both the reward- and delay-related visual components, if neural activity primarily reflected the visual properties of the cue, one would expect information about these two cue dimensions to emerge with similar temporal dynamics following cue onset. Instead, we observe that delay and reward representations emerge</w:t>
      </w:r>
      <w:r w:rsidR="00A01D26" w:rsidRPr="00396060">
        <w:rPr>
          <w:b/>
          <w:bCs/>
          <w:color w:val="4F81BD" w:themeColor="accent1"/>
        </w:rPr>
        <w:t xml:space="preserve"> </w:t>
      </w:r>
      <w:r w:rsidRPr="00396060">
        <w:rPr>
          <w:b/>
          <w:bCs/>
          <w:color w:val="4F81BD" w:themeColor="accent1"/>
        </w:rPr>
        <w:t>differently, suggesting that the activity reflects the processing of task-relevant information rather than simply the visual features of the stimuli.</w:t>
      </w:r>
    </w:p>
    <w:p w14:paraId="0000001F" w14:textId="77777777" w:rsidR="00610AF9" w:rsidRDefault="00000000">
      <w:pPr>
        <w:spacing w:after="160"/>
      </w:pPr>
      <w:r>
        <w:t xml:space="preserve">2. The explanation (in words) of Model 2 was even more simple and straightforward in the methods, whereas it was a little </w:t>
      </w:r>
      <w:r>
        <w:rPr>
          <w:b/>
          <w:bCs/>
        </w:rPr>
        <w:t>hard to follow in the results.</w:t>
      </w:r>
      <w:r>
        <w:t xml:space="preserve"> Would recommend clarifying/rephrasing in the results.</w:t>
      </w:r>
    </w:p>
    <w:p w14:paraId="00000020" w14:textId="77D94502" w:rsidR="00610AF9" w:rsidRPr="00396060" w:rsidRDefault="00000000" w:rsidP="004853D7">
      <w:pPr>
        <w:shd w:val="clear" w:color="auto" w:fill="FFFFFF"/>
        <w:spacing w:line="240" w:lineRule="auto"/>
        <w:rPr>
          <w:rFonts w:eastAsia="Times New Roman"/>
          <w:b/>
          <w:bCs/>
          <w:color w:val="4F81BD" w:themeColor="accent1"/>
        </w:rPr>
      </w:pPr>
      <w:r w:rsidRPr="00396060">
        <w:rPr>
          <w:rFonts w:eastAsia="Times New Roman"/>
          <w:b/>
          <w:bCs/>
          <w:color w:val="4F81BD" w:themeColor="accent1"/>
        </w:rPr>
        <w:t xml:space="preserve">We thank the reviewer for asking us to clarify this point. We have revised the Results section accordingly as follow: </w:t>
      </w:r>
    </w:p>
    <w:p w14:paraId="00000023" w14:textId="03994FA6" w:rsidR="00610AF9" w:rsidRDefault="00000000">
      <w:pPr>
        <w:spacing w:after="160"/>
      </w:pPr>
      <w:r>
        <w:rPr>
          <w:color w:val="EE0000"/>
        </w:rPr>
        <w:br/>
      </w:r>
      <w:r>
        <w:t xml:space="preserve"> 3. The hand/bar icon on Figure 1 (and the difference between open and closed) is a bit hard to see and it made it a little confusing to initially understand the task.</w:t>
      </w:r>
      <w:r>
        <w:br/>
      </w:r>
    </w:p>
    <w:p w14:paraId="7D3310E6" w14:textId="77777777" w:rsidR="004853D7" w:rsidRDefault="004853D7">
      <w:pPr>
        <w:spacing w:after="160"/>
      </w:pPr>
    </w:p>
    <w:p w14:paraId="7384570E" w14:textId="77777777" w:rsidR="004853D7" w:rsidRDefault="004853D7">
      <w:pPr>
        <w:spacing w:after="160"/>
      </w:pPr>
    </w:p>
    <w:p w14:paraId="79261DF9" w14:textId="77777777" w:rsidR="004853D7" w:rsidRDefault="004853D7">
      <w:pPr>
        <w:spacing w:after="160"/>
      </w:pPr>
    </w:p>
    <w:p w14:paraId="65C562D6" w14:textId="77777777" w:rsidR="0062174F" w:rsidRDefault="00606B93" w:rsidP="003E724E">
      <w:r w:rsidRPr="00DF099E">
        <w:lastRenderedPageBreak/>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674558CC" w14:textId="77777777" w:rsidR="0062174F" w:rsidRDefault="0062174F" w:rsidP="003E724E"/>
    <w:p w14:paraId="2AFAA631" w14:textId="1CB9B7C5" w:rsidR="00221903" w:rsidRPr="006008B7" w:rsidRDefault="00221903" w:rsidP="003E724E">
      <w:pPr>
        <w:rPr>
          <w:color w:val="0070C0"/>
        </w:rPr>
      </w:pPr>
      <w:r w:rsidRPr="006008B7">
        <w:rPr>
          <w:color w:val="0070C0"/>
        </w:rPr>
        <w:t xml:space="preserve">Response </w:t>
      </w:r>
      <w:r w:rsidR="002F2FE6">
        <w:rPr>
          <w:color w:val="0070C0"/>
        </w:rPr>
        <w:t>R2-</w:t>
      </w:r>
      <w:r w:rsidRPr="006008B7">
        <w:rPr>
          <w:color w:val="0070C0"/>
        </w:rPr>
        <w:t>1.</w:t>
      </w:r>
      <w:r w:rsidR="002F2FE6">
        <w:rPr>
          <w:color w:val="0070C0"/>
        </w:rPr>
        <w:t>0</w:t>
      </w:r>
      <w:r w:rsidRPr="006008B7">
        <w:rPr>
          <w:color w:val="0070C0"/>
        </w:rPr>
        <w:t>:</w:t>
      </w:r>
    </w:p>
    <w:p w14:paraId="1F991A6C" w14:textId="08EBB197" w:rsidR="000605B9" w:rsidRDefault="0062174F" w:rsidP="0062174F">
      <w:pPr>
        <w:rPr>
          <w:color w:val="0070C0"/>
        </w:rPr>
      </w:pPr>
      <w:r>
        <w:rPr>
          <w:color w:val="0070C0"/>
        </w:rPr>
        <w:t>We thank the reviewer for carefully assessing our behavioral models. We have unified the notations across models to minimize confusion.</w:t>
      </w:r>
      <w:r w:rsidR="000605B9">
        <w:rPr>
          <w:color w:val="0070C0"/>
        </w:rPr>
        <w:t xml:space="preserve"> We also fit 3 additional models to the data (see Response </w:t>
      </w:r>
      <w:r w:rsidR="002F2FE6">
        <w:rPr>
          <w:color w:val="0070C0"/>
        </w:rPr>
        <w:t>R2-</w:t>
      </w:r>
      <w:r w:rsidR="002F2FE6" w:rsidRPr="006008B7">
        <w:rPr>
          <w:color w:val="0070C0"/>
        </w:rPr>
        <w:t>1.</w:t>
      </w:r>
      <w:r w:rsidR="002F2FE6">
        <w:rPr>
          <w:color w:val="0070C0"/>
        </w:rPr>
        <w:t>3</w:t>
      </w:r>
      <w:r w:rsidR="000605B9">
        <w:rPr>
          <w:color w:val="0070C0"/>
        </w:rPr>
        <w:t xml:space="preserve">).  </w:t>
      </w:r>
    </w:p>
    <w:p w14:paraId="7CDE6D2C" w14:textId="77777777" w:rsidR="000605B9" w:rsidRDefault="000605B9" w:rsidP="0062174F">
      <w:pPr>
        <w:rPr>
          <w:color w:val="0070C0"/>
        </w:rPr>
      </w:pPr>
    </w:p>
    <w:p w14:paraId="61607DF3" w14:textId="3A605BD8" w:rsidR="0062174F" w:rsidRDefault="00886BE6" w:rsidP="0062174F">
      <w:pPr>
        <w:rPr>
          <w:color w:val="0070C0"/>
        </w:rPr>
      </w:pPr>
      <w:r>
        <w:rPr>
          <w:color w:val="0070C0"/>
        </w:rPr>
        <w:t>W</w:t>
      </w:r>
      <w:r w:rsidR="0062174F">
        <w:rPr>
          <w:color w:val="0070C0"/>
        </w:rPr>
        <w:t>e added a paragraph to describe the common features of the</w:t>
      </w:r>
      <w:r>
        <w:rPr>
          <w:color w:val="0070C0"/>
        </w:rPr>
        <w:t xml:space="preserve">se </w:t>
      </w:r>
      <w:r w:rsidR="0062174F">
        <w:rPr>
          <w:color w:val="0070C0"/>
        </w:rPr>
        <w:t>models, before diving into each one</w:t>
      </w:r>
      <w:r w:rsidR="003C49A2">
        <w:rPr>
          <w:color w:val="0070C0"/>
        </w:rPr>
        <w:t>:</w:t>
      </w:r>
    </w:p>
    <w:p w14:paraId="0BA47D2C" w14:textId="77777777" w:rsidR="00CD38CE" w:rsidRDefault="00CD38CE" w:rsidP="0062174F">
      <w:pPr>
        <w:rPr>
          <w:color w:val="0070C0"/>
        </w:rPr>
      </w:pPr>
    </w:p>
    <w:p w14:paraId="7BA7E64C" w14:textId="01B42245" w:rsidR="00362EB1" w:rsidRPr="004853D7" w:rsidRDefault="00CD38CE" w:rsidP="004853D7">
      <w:pPr>
        <w:spacing w:line="480" w:lineRule="auto"/>
        <w:ind w:firstLine="360"/>
        <w:rPr>
          <w:rFonts w:ascii="Times New Roman" w:eastAsia="Times New Roman" w:hAnsi="Times New Roman" w:cs="Times New Roman"/>
          <w:sz w:val="24"/>
          <w:szCs w:val="24"/>
        </w:rPr>
      </w:pPr>
      <w:r>
        <w:rPr>
          <w:color w:val="0070C0"/>
        </w:rPr>
        <w:t>“</w:t>
      </w:r>
      <w:r w:rsidR="004853D7">
        <w:rPr>
          <w:rFonts w:ascii="Times New Roman" w:eastAsia="Times New Roman" w:hAnsi="Times New Roman" w:cs="Times New Roman"/>
          <w:sz w:val="24"/>
          <w:szCs w:val="24"/>
        </w:rPr>
        <w:t xml:space="preserve"> </w:t>
      </w:r>
      <w:r w:rsidR="00362EB1" w:rsidRPr="00362EB1">
        <w:rPr>
          <w:rFonts w:ascii="Times New Roman" w:eastAsia="Times New Roman" w:hAnsi="Times New Roman" w:cs="Times New Roman"/>
          <w:color w:val="0070C0"/>
          <w:sz w:val="24"/>
          <w:szCs w:val="24"/>
          <w:u w:val="single"/>
        </w:rPr>
        <w:t>Overview of behavioral models</w:t>
      </w:r>
    </w:p>
    <w:p w14:paraId="733AF60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We fitted a total of six behavioral models to the data, consisting of three base models (Model 1, 2, 3) and three model variants (Model 1v, 2v, 3v). The three sets of models (Model 1/1v, 2/2v, 3/3v) made different assumptions on the decision processes (e.g., how the go signal modifies the temporally discounted value). We will first describe the common assumptions adopted by all models. </w:t>
      </w:r>
    </w:p>
    <w:p w14:paraId="37FC831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assumed that animals compute the expected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the expected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and accept/reject decisions are made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using the softmax decision rule:</w:t>
      </w:r>
    </w:p>
    <w:p w14:paraId="6D3D0302" w14:textId="77777777" w:rsidR="00362EB1" w:rsidRPr="00362EB1" w:rsidRDefault="00362EB1" w:rsidP="00362EB1">
      <w:pPr>
        <w:jc w:val="center"/>
        <w:rPr>
          <w:rFonts w:ascii="Cambria Math" w:eastAsia="Cambria Math" w:hAnsi="Cambria Math" w:cs="Cambria Math"/>
          <w:color w:val="0070C0"/>
        </w:rPr>
      </w:pPr>
      <m:oMathPara>
        <m:oMath>
          <m:r>
            <w:rPr>
              <w:rFonts w:ascii="Cambria Math" w:eastAsia="Cambria Math" w:hAnsi="Cambria Math" w:cs="Cambria Math"/>
              <w:color w:val="0070C0"/>
            </w:rPr>
            <w:lastRenderedPageBreak/>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accept</m:t>
                          </m:r>
                        </m:sup>
                      </m:sSup>
                      <m:r>
                        <m:rPr>
                          <m:sty m:val="p"/>
                        </m:rP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m:rPr>
                          <m:sty m:val="p"/>
                        </m:rPr>
                        <w:rPr>
                          <w:rFonts w:ascii="Cambria Math" w:eastAsia="Times New Roman" w:hAnsi="Cambria Math" w:cs="Times New Roman"/>
                          <w:color w:val="0070C0"/>
                          <w:sz w:val="24"/>
                          <w:szCs w:val="24"/>
                        </w:rPr>
                        <m:t xml:space="preserve">  </m:t>
                      </m:r>
                    </m:num>
                    <m:den>
                      <m:r>
                        <w:rPr>
                          <w:rFonts w:ascii="Cambria Math" w:eastAsia="Cambria Math" w:hAnsi="Cambria Math" w:cs="Cambria Math"/>
                          <w:color w:val="0070C0"/>
                        </w:rPr>
                        <m:t>σ</m:t>
                      </m:r>
                    </m:den>
                  </m:f>
                </m:sup>
              </m:sSup>
            </m:den>
          </m:f>
        </m:oMath>
      </m:oMathPara>
    </w:p>
    <w:p w14:paraId="58A949C7" w14:textId="77777777" w:rsidR="00362EB1" w:rsidRPr="00362EB1" w:rsidRDefault="00362EB1" w:rsidP="00362EB1">
      <w:pPr>
        <w:rPr>
          <w:rFonts w:ascii="Times New Roman" w:eastAsia="Times New Roman" w:hAnsi="Times New Roman" w:cs="Times New Roman"/>
          <w:color w:val="0070C0"/>
          <w:sz w:val="24"/>
          <w:szCs w:val="24"/>
        </w:rPr>
      </w:pPr>
      <w:r w:rsidRPr="00362EB1">
        <w:rPr>
          <w:rFonts w:ascii="Cambria Math" w:eastAsia="Cambria Math" w:hAnsi="Cambria Math" w:cs="Cambria Math"/>
          <w:color w:val="0070C0"/>
        </w:rPr>
        <w:t xml:space="preserve">Here, </w:t>
      </w:r>
      <m:oMath>
        <m:r>
          <w:rPr>
            <w:rFonts w:ascii="Cambria Math" w:eastAsia="Cambria Math" w:hAnsi="Cambria Math" w:cs="Cambria Math"/>
            <w:color w:val="0070C0"/>
          </w:rPr>
          <m:t>σ</m:t>
        </m:r>
      </m:oMath>
      <w:r w:rsidRPr="00362EB1">
        <w:rPr>
          <w:rFonts w:ascii="Times New Roman" w:eastAsia="Times New Roman" w:hAnsi="Times New Roman" w:cs="Times New Roman"/>
          <w:color w:val="0070C0"/>
          <w:sz w:val="24"/>
          <w:szCs w:val="24"/>
        </w:rPr>
        <w:t xml:space="preserve"> is a decision noise parameter that captures choice stochasticity. </w:t>
      </w:r>
    </w:p>
    <w:p w14:paraId="7180406A" w14:textId="77777777" w:rsidR="00362EB1" w:rsidRPr="00362EB1" w:rsidRDefault="00362EB1" w:rsidP="00362EB1">
      <w:pPr>
        <w:rPr>
          <w:rFonts w:ascii="Times New Roman" w:eastAsia="Times New Roman" w:hAnsi="Times New Roman" w:cs="Times New Roman"/>
          <w:color w:val="0070C0"/>
          <w:sz w:val="24"/>
          <w:szCs w:val="24"/>
        </w:rPr>
      </w:pPr>
    </w:p>
    <w:p w14:paraId="60341CA4" w14:textId="77777777" w:rsidR="00362EB1" w:rsidRPr="00362EB1" w:rsidRDefault="00362EB1" w:rsidP="00362EB1">
      <w:pPr>
        <w:rPr>
          <w:rFonts w:ascii="Cambria Math" w:eastAsia="Cambria Math" w:hAnsi="Cambria Math" w:cs="Cambria Math"/>
          <w:color w:val="0070C0"/>
        </w:rPr>
      </w:pPr>
    </w:p>
    <w:p w14:paraId="4A3B9C6A"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also assumed that hyperbolic discounting function </w:t>
      </w:r>
      <m:oMath>
        <m:r>
          <w:rPr>
            <w:rFonts w:ascii="Cambria Math" w:eastAsia="Cambria Math" w:hAnsi="Cambria Math" w:cs="Cambria Math"/>
            <w:color w:val="0070C0"/>
          </w:rPr>
          <m:t>h</m:t>
        </m:r>
        <m:r>
          <w:rPr>
            <w:rFonts w:ascii="Cambria Math" w:eastAsia="Times New Roman" w:hAnsi="Cambria Math" w:cs="Times New Roman"/>
            <w:color w:val="0070C0"/>
          </w:rPr>
          <m:t>(R, D)</m:t>
        </m:r>
      </m:oMath>
      <w:r w:rsidRPr="00362EB1">
        <w:rPr>
          <w:rFonts w:ascii="Times New Roman" w:eastAsia="Times New Roman" w:hAnsi="Times New Roman" w:cs="Times New Roman"/>
          <w:color w:val="0070C0"/>
          <w:sz w:val="24"/>
          <w:szCs w:val="24"/>
        </w:rPr>
        <w:t xml:space="preserve"> is used to calculate temporally discounted values. A reward </w:t>
      </w:r>
      <m:oMath>
        <m:r>
          <w:rPr>
            <w:rFonts w:ascii="Cambria Math" w:eastAsia="Times New Roman" w:hAnsi="Cambria Math" w:cs="Times New Roman"/>
            <w:color w:val="0070C0"/>
            <w:sz w:val="24"/>
            <w:szCs w:val="24"/>
          </w:rPr>
          <m:t>R</m:t>
        </m:r>
      </m:oMath>
      <w:r w:rsidRPr="00362EB1">
        <w:rPr>
          <w:rFonts w:ascii="Times New Roman" w:eastAsia="Times New Roman" w:hAnsi="Times New Roman" w:cs="Times New Roman"/>
          <w:color w:val="0070C0"/>
          <w:sz w:val="24"/>
          <w:szCs w:val="24"/>
        </w:rPr>
        <w:t xml:space="preserve"> at a delay </w:t>
      </w:r>
      <m:oMath>
        <m:r>
          <w:rPr>
            <w:rFonts w:ascii="Cambria Math" w:eastAsia="Times New Roman" w:hAnsi="Cambria Math" w:cs="Times New Roman"/>
            <w:color w:val="0070C0"/>
            <w:sz w:val="24"/>
            <w:szCs w:val="24"/>
          </w:rPr>
          <m:t>D</m:t>
        </m:r>
      </m:oMath>
      <w:r w:rsidRPr="00362EB1">
        <w:rPr>
          <w:rFonts w:ascii="Times New Roman" w:eastAsia="Times New Roman" w:hAnsi="Times New Roman" w:cs="Times New Roman"/>
          <w:color w:val="0070C0"/>
          <w:sz w:val="24"/>
          <w:szCs w:val="24"/>
        </w:rPr>
        <w:t xml:space="preserve"> has temporally discounted value </w:t>
      </w:r>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R,D</m:t>
            </m:r>
          </m:e>
        </m:d>
      </m:oMath>
    </w:p>
    <w:p w14:paraId="6BEC6A5E" w14:textId="77777777" w:rsidR="00362EB1" w:rsidRPr="00362EB1" w:rsidRDefault="00362EB1" w:rsidP="00362EB1">
      <w:pPr>
        <w:spacing w:line="480" w:lineRule="auto"/>
        <w:rPr>
          <w:rFonts w:ascii="Times New Roman" w:eastAsia="Times New Roman" w:hAnsi="Times New Roman" w:cs="Times New Roman"/>
          <w:color w:val="0070C0"/>
        </w:rPr>
      </w:pPr>
      <m:oMathPara>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 D</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R</m:t>
              </m:r>
            </m:num>
            <m:den>
              <m:r>
                <w:rPr>
                  <w:rFonts w:ascii="Cambria Math" w:eastAsia="Cambria Math" w:hAnsi="Cambria Math" w:cs="Cambria Math"/>
                  <w:color w:val="0070C0"/>
                </w:rPr>
                <m:t>1+k⋅D</m:t>
              </m:r>
            </m:den>
          </m:f>
        </m:oMath>
      </m:oMathPara>
    </w:p>
    <w:p w14:paraId="2697DA32" w14:textId="0DA0FCD3" w:rsidR="00CD38CE" w:rsidRPr="00D8669C" w:rsidRDefault="00362EB1" w:rsidP="00D8669C">
      <w:pPr>
        <w:spacing w:line="480" w:lineRule="auto"/>
        <w:rPr>
          <w:rFonts w:ascii="Times New Roman" w:eastAsia="Times New Roman" w:hAnsi="Times New Roman" w:cs="Times New Roman"/>
          <w:color w:val="0070C0"/>
          <w:sz w:val="24"/>
          <w:szCs w:val="24"/>
        </w:rPr>
      </w:pPr>
      <m:oMath>
        <m:r>
          <w:rPr>
            <w:rFonts w:ascii="Cambria Math" w:eastAsia="Cambria Math" w:hAnsi="Cambria Math" w:cs="Cambria Math"/>
            <w:color w:val="0070C0"/>
          </w:rPr>
          <m:t xml:space="preserve"> </m:t>
        </m:r>
      </m:oMath>
      <w:r w:rsidRPr="00362EB1">
        <w:rPr>
          <w:rFonts w:ascii="Cambria Math" w:eastAsia="Times New Roman" w:hAnsi="Cambria Math" w:cs="Times New Roman"/>
          <w:color w:val="0070C0"/>
        </w:rPr>
        <w:t>𝑤here</w:t>
      </w:r>
      <w:r w:rsidRPr="00362EB1">
        <w:rPr>
          <w:rFonts w:ascii="Times New Roman" w:eastAsia="Times New Roman" w:hAnsi="Times New Roman" w:cs="Times New Roman"/>
          <w:color w:val="0070C0"/>
        </w:rPr>
        <w:t xml:space="preserve"> </w:t>
      </w:r>
      <m:oMath>
        <m:r>
          <w:rPr>
            <w:rFonts w:ascii="Cambria Math" w:eastAsia="Cambria Math" w:hAnsi="Cambria Math" w:cs="Cambria Math"/>
            <w:color w:val="0070C0"/>
          </w:rPr>
          <m:t>k</m:t>
        </m:r>
      </m:oMath>
      <w:r w:rsidRPr="00362EB1">
        <w:rPr>
          <w:rFonts w:ascii="Times New Roman" w:eastAsia="Times New Roman" w:hAnsi="Times New Roman" w:cs="Times New Roman"/>
          <w:color w:val="0070C0"/>
          <w:sz w:val="24"/>
          <w:szCs w:val="24"/>
        </w:rPr>
        <w:t xml:space="preserve"> is the hyperbolic discounting parameter.</w:t>
      </w:r>
      <w:r w:rsidR="00D8669C">
        <w:rPr>
          <w:rFonts w:ascii="Times New Roman" w:eastAsia="Times New Roman" w:hAnsi="Times New Roman" w:cs="Times New Roman"/>
          <w:color w:val="0070C0"/>
          <w:sz w:val="24"/>
          <w:szCs w:val="24"/>
        </w:rPr>
        <w:t xml:space="preserve"> </w:t>
      </w:r>
      <w:r w:rsidR="00CD38CE">
        <w:rPr>
          <w:color w:val="0070C0"/>
        </w:rPr>
        <w:t>”</w:t>
      </w:r>
    </w:p>
    <w:p w14:paraId="654A15DA" w14:textId="77777777" w:rsidR="0000488B" w:rsidRDefault="00606B93" w:rsidP="003E724E">
      <w:r w:rsidRPr="00DF099E">
        <w:br/>
        <w:t>First, the baseline model, which does not incorporate a go-signal-dependent decision process, 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2533DD11" w14:textId="77777777" w:rsidR="0000488B" w:rsidRDefault="0000488B" w:rsidP="003E724E"/>
    <w:p w14:paraId="040C7E26" w14:textId="77777777" w:rsidR="007F647B" w:rsidRPr="00A63C77" w:rsidRDefault="000E6EFE" w:rsidP="007F647B">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6E50286E" w14:textId="77777777" w:rsidR="007F647B" w:rsidRDefault="007F647B" w:rsidP="007F647B"/>
    <w:p w14:paraId="142BFFBF" w14:textId="77777777" w:rsidR="007F647B" w:rsidRDefault="007F647B" w:rsidP="007F647B">
      <w:pPr>
        <w:rPr>
          <w:color w:val="0070C0"/>
        </w:rPr>
      </w:pPr>
      <w:r>
        <w:rPr>
          <w:color w:val="0070C0"/>
        </w:rPr>
        <w:t>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We have modified the manuscript to improve clarity, see below:</w:t>
      </w:r>
    </w:p>
    <w:p w14:paraId="53AE4AED" w14:textId="77777777" w:rsidR="008841C5" w:rsidRDefault="008841C5" w:rsidP="008841C5">
      <w:pPr>
        <w:spacing w:line="480" w:lineRule="auto"/>
        <w:rPr>
          <w:color w:val="0070C0"/>
        </w:rPr>
      </w:pPr>
    </w:p>
    <w:p w14:paraId="53CFEC91" w14:textId="1B4225BC" w:rsidR="00C46D3A" w:rsidRPr="008841C5" w:rsidRDefault="007F647B" w:rsidP="008841C5">
      <w:pPr>
        <w:spacing w:line="480" w:lineRule="auto"/>
        <w:rPr>
          <w:rFonts w:ascii="Times New Roman" w:eastAsia="Times New Roman" w:hAnsi="Times New Roman" w:cs="Times New Roman"/>
          <w:color w:val="0070C0"/>
          <w:sz w:val="24"/>
          <w:szCs w:val="24"/>
        </w:rPr>
      </w:pPr>
      <w:r w:rsidRPr="008F5372">
        <w:rPr>
          <w:color w:val="0070C0"/>
        </w:rPr>
        <w:t>“</w:t>
      </w:r>
      <w:r w:rsidR="008841C5">
        <w:rPr>
          <w:rFonts w:ascii="Times New Roman" w:eastAsia="Times New Roman" w:hAnsi="Times New Roman" w:cs="Times New Roman"/>
          <w:color w:val="0070C0"/>
          <w:sz w:val="24"/>
          <w:szCs w:val="24"/>
        </w:rPr>
        <w:t xml:space="preserve"> </w:t>
      </w:r>
      <w:r w:rsidR="00C46D3A" w:rsidRPr="00C46D3A">
        <w:rPr>
          <w:rFonts w:ascii="Times New Roman" w:eastAsia="Times New Roman" w:hAnsi="Times New Roman" w:cs="Times New Roman"/>
          <w:color w:val="0070C0"/>
          <w:sz w:val="24"/>
          <w:szCs w:val="24"/>
          <w:u w:val="single"/>
        </w:rPr>
        <w:t>Model 1</w:t>
      </w:r>
    </w:p>
    <w:p w14:paraId="6AB34B91" w14:textId="0E5B8BEA"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Model 1 is a baseline model which assumes that temporal discounting decisions are made, independent of the go signal. The accept/reject decisions are made by comparing the temporally discounted value DV of the offers against a decision threshold </w:t>
      </w:r>
      <m:oMath>
        <m:r>
          <w:rPr>
            <w:rFonts w:ascii="Cambria Math" w:eastAsia="Cambria Math" w:hAnsi="Cambria Math" w:cs="Cambria Math"/>
            <w:color w:val="0070C0"/>
          </w:rPr>
          <m:t>θ</m:t>
        </m:r>
      </m:oMath>
      <w:r w:rsidRPr="00C46D3A">
        <w:rPr>
          <w:rFonts w:ascii="Times New Roman" w:eastAsia="Times New Roman" w:hAnsi="Times New Roman" w:cs="Times New Roman"/>
          <w:color w:val="0070C0"/>
        </w:rPr>
        <w:t>.</w:t>
      </w:r>
      <w:r w:rsidRPr="00C46D3A">
        <w:rPr>
          <w:rFonts w:ascii="Times New Roman" w:eastAsia="Times New Roman" w:hAnsi="Times New Roman" w:cs="Times New Roman"/>
          <w:color w:val="0070C0"/>
          <w:sz w:val="24"/>
          <w:szCs w:val="24"/>
        </w:rPr>
        <w:t xml:space="preserve"> </w:t>
      </w:r>
      <w:r w:rsidRPr="00C46D3A">
        <w:rPr>
          <w:rFonts w:ascii="Times New Roman" w:eastAsia="Times New Roman" w:hAnsi="Times New Roman" w:cs="Times New Roman"/>
          <w:color w:val="0070C0"/>
          <w:sz w:val="24"/>
          <w:szCs w:val="24"/>
        </w:rPr>
        <w:t>Animals will be more likely to accept an offer when DV is above θ, and more likely to reject otherwise.</w:t>
      </w:r>
      <w:r w:rsidRPr="00C46D3A">
        <w:rPr>
          <w:rFonts w:ascii="Times New Roman" w:eastAsia="Times New Roman" w:hAnsi="Times New Roman" w:cs="Times New Roman"/>
          <w:color w:val="0070C0"/>
          <w:sz w:val="24"/>
          <w:szCs w:val="24"/>
        </w:rPr>
        <w:t xml:space="preserve"> </w:t>
      </w:r>
    </w:p>
    <w:p w14:paraId="7B66F228"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temporally discounted values are computed for each of the 9 offers. For the drop and delay associated with each offer, we have </w:t>
      </w:r>
    </w:p>
    <w:p w14:paraId="3764EBBB" w14:textId="77777777" w:rsidR="00C46D3A" w:rsidRPr="00C46D3A" w:rsidRDefault="00C46D3A" w:rsidP="00C46D3A">
      <w:pPr>
        <w:spacing w:line="480" w:lineRule="auto"/>
        <w:rPr>
          <w:rFonts w:ascii="Times New Roman" w:eastAsia="Times New Roman" w:hAnsi="Times New Roman" w:cs="Times New Roman"/>
          <w:color w:val="0070C0"/>
        </w:rPr>
      </w:pPr>
      <m:oMathPara>
        <m:oMath>
          <m:r>
            <w:rPr>
              <w:rFonts w:ascii="Cambria Math" w:eastAsia="Times New Roman" w:hAnsi="Cambria Math" w:cs="Times New Roman"/>
              <w:color w:val="0070C0"/>
              <w:sz w:val="24"/>
              <w:szCs w:val="24"/>
            </w:rPr>
            <w:lastRenderedPageBreak/>
            <m:t>DV= h</m:t>
          </m:r>
          <m:d>
            <m:dPr>
              <m:ctrlPr>
                <w:rPr>
                  <w:rFonts w:ascii="Cambria Math" w:eastAsia="Times New Roman" w:hAnsi="Cambria Math" w:cs="Times New Roman"/>
                  <w:i/>
                  <w:color w:val="0070C0"/>
                  <w:sz w:val="24"/>
                  <w:szCs w:val="24"/>
                </w:rPr>
              </m:ctrlPr>
            </m:dPr>
            <m:e>
              <m:r>
                <m:rPr>
                  <m:nor/>
                </m:rPr>
                <w:rPr>
                  <w:rFonts w:ascii="Cambria Math" w:eastAsia="Times New Roman" w:hAnsi="Cambria Math" w:cs="Times New Roman"/>
                  <w:color w:val="0070C0"/>
                  <w:sz w:val="24"/>
                  <w:szCs w:val="24"/>
                </w:rPr>
                <m:t>drop</m:t>
              </m:r>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delay</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m:rPr>
                  <m:nor/>
                </m:rPr>
                <w:rPr>
                  <w:rFonts w:ascii="Cambria Math" w:eastAsia="Cambria Math" w:hAnsi="Cambria Math" w:cs="Cambria Math"/>
                  <w:color w:val="0070C0"/>
                </w:rPr>
                <m:t>drop</m:t>
              </m:r>
            </m:num>
            <m:den>
              <m:r>
                <w:rPr>
                  <w:rFonts w:ascii="Cambria Math" w:eastAsia="Cambria Math" w:hAnsi="Cambria Math" w:cs="Cambria Math"/>
                  <w:color w:val="0070C0"/>
                </w:rPr>
                <m:t>1+k⋅</m:t>
              </m:r>
              <m:r>
                <m:rPr>
                  <m:nor/>
                </m:rPr>
                <w:rPr>
                  <w:rFonts w:ascii="Cambria Math" w:eastAsia="Cambria Math" w:hAnsi="Cambria Math" w:cs="Cambria Math"/>
                  <w:color w:val="0070C0"/>
                </w:rPr>
                <m:t>delay</m:t>
              </m:r>
            </m:den>
          </m:f>
        </m:oMath>
      </m:oMathPara>
    </w:p>
    <w:p w14:paraId="35B440DF"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value for accepting the offer is simply the discounted value,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w:r w:rsidRPr="00C46D3A">
        <w:rPr>
          <w:rFonts w:ascii="Times New Roman" w:eastAsia="Times New Roman" w:hAnsi="Times New Roman" w:cs="Times New Roman"/>
          <w:color w:val="0070C0"/>
          <w:sz w:val="24"/>
          <w:szCs w:val="24"/>
        </w:rPr>
        <w:t xml:space="preserve">, and the value for rejecting the offer is the decision threshold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C46D3A">
        <w:rPr>
          <w:rFonts w:ascii="Times New Roman" w:eastAsia="Times New Roman" w:hAnsi="Times New Roman" w:cs="Times New Roman"/>
          <w:color w:val="0070C0"/>
          <w:sz w:val="24"/>
          <w:szCs w:val="24"/>
        </w:rPr>
        <w:t xml:space="preserve">. </w:t>
      </w:r>
    </w:p>
    <w:p w14:paraId="5F297FFB"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Thus, via the softmax decision rule, we have </w:t>
      </w:r>
    </w:p>
    <w:p w14:paraId="5124B7F5" w14:textId="32445B92" w:rsidR="007F647B" w:rsidRPr="00F30135" w:rsidRDefault="00C46D3A" w:rsidP="00F30135">
      <w:pPr>
        <w:spacing w:line="480" w:lineRule="auto"/>
        <w:rPr>
          <w:rFonts w:ascii="Times New Roman" w:eastAsia="Times New Roman" w:hAnsi="Times New Roman" w:cs="Times New Roman"/>
          <w:sz w:val="24"/>
          <w:szCs w:val="24"/>
        </w:rPr>
      </w:pPr>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DV-θ</m:t>
                    </m:r>
                  </m:num>
                  <m:den>
                    <m:r>
                      <w:rPr>
                        <w:rFonts w:ascii="Cambria Math" w:eastAsia="Cambria Math" w:hAnsi="Cambria Math" w:cs="Cambria Math"/>
                        <w:color w:val="0070C0"/>
                      </w:rPr>
                      <m:t>σ</m:t>
                    </m:r>
                  </m:den>
                </m:f>
              </m:sup>
            </m:sSup>
          </m:den>
        </m:f>
      </m:oMath>
      <w:r w:rsidR="00F30135">
        <w:rPr>
          <w:rFonts w:ascii="Times New Roman" w:eastAsia="Times New Roman" w:hAnsi="Times New Roman" w:cs="Times New Roman"/>
          <w:sz w:val="24"/>
          <w:szCs w:val="24"/>
        </w:rPr>
        <w:t xml:space="preserve"> </w:t>
      </w:r>
      <w:r w:rsidR="007F647B" w:rsidRPr="008F5372">
        <w:rPr>
          <w:color w:val="0070C0"/>
        </w:rPr>
        <w:t>”</w:t>
      </w:r>
    </w:p>
    <w:p w14:paraId="472F89A7" w14:textId="08B21031" w:rsidR="000E6EFE" w:rsidRPr="006008B7" w:rsidRDefault="000E6EFE" w:rsidP="000E6EFE">
      <w:pPr>
        <w:rPr>
          <w:color w:val="0070C0"/>
        </w:rPr>
      </w:pPr>
    </w:p>
    <w:p w14:paraId="45B985CA" w14:textId="77777777" w:rsidR="00D675ED" w:rsidRDefault="00606B93" w:rsidP="003E724E">
      <w:r w:rsidRPr="00DF099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(-U-θ±β)/σas the exponent of the softmax function. This expression is difficult to interpret because Uis not defined, and βis also 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(DV±Bias-θ)/σ</w:t>
      </w:r>
      <w:r w:rsidRPr="00DF099E">
        <w:br/>
      </w:r>
      <w:r w:rsidRPr="00DF099E">
        <w:br/>
        <w:t>where DVis the discounted value, Biasis the go-signal-dependent bias, θis the decision threshold, and σcontrols choice stochasticity.</w:t>
      </w:r>
    </w:p>
    <w:p w14:paraId="4FE0DBA4" w14:textId="77777777" w:rsidR="00D675ED" w:rsidRDefault="00D675ED" w:rsidP="003E724E"/>
    <w:p w14:paraId="260196B2" w14:textId="7754520C" w:rsidR="00D675ED" w:rsidRDefault="001B0248" w:rsidP="00D675ED">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25FEED34" w14:textId="7D865736" w:rsidR="00D675ED" w:rsidRDefault="00D675ED" w:rsidP="00D675ED">
      <w:pPr>
        <w:rPr>
          <w:color w:val="0070C0"/>
        </w:rPr>
      </w:pPr>
      <w:r>
        <w:rPr>
          <w:color w:val="0070C0"/>
        </w:rPr>
        <w:t xml:space="preserve">We apologize for the lack of clarity in our description. The reviewer understood our model correctly. We have modified the manuscript to improve </w:t>
      </w:r>
      <w:r w:rsidR="00EE724B">
        <w:rPr>
          <w:color w:val="0070C0"/>
        </w:rPr>
        <w:t>clarity</w:t>
      </w:r>
      <w:r>
        <w:rPr>
          <w:color w:val="0070C0"/>
        </w:rPr>
        <w:t>:</w:t>
      </w:r>
    </w:p>
    <w:p w14:paraId="3FDEA2C1" w14:textId="77777777" w:rsidR="00D675ED" w:rsidRDefault="00D675ED" w:rsidP="00D675ED">
      <w:pPr>
        <w:rPr>
          <w:color w:val="0070C0"/>
        </w:rPr>
      </w:pPr>
    </w:p>
    <w:p w14:paraId="2DCD6A37" w14:textId="38643B30" w:rsidR="00535FC9" w:rsidRPr="003B061F" w:rsidRDefault="00D675ED" w:rsidP="00535FC9">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70C0"/>
          <w:sz w:val="24"/>
          <w:szCs w:val="24"/>
        </w:rPr>
      </w:pPr>
      <w:r>
        <w:rPr>
          <w:color w:val="0070C0"/>
        </w:rPr>
        <w:t>“</w:t>
      </w:r>
      <w:r w:rsidR="003B061F">
        <w:rPr>
          <w:rFonts w:ascii="Times New Roman" w:eastAsia="Times New Roman" w:hAnsi="Times New Roman" w:cs="Times New Roman"/>
          <w:b/>
          <w:bCs/>
          <w:color w:val="0070C0"/>
          <w:sz w:val="24"/>
          <w:szCs w:val="24"/>
        </w:rPr>
        <w:t xml:space="preserve"> </w:t>
      </w:r>
      <w:r w:rsidR="00535FC9" w:rsidRPr="00535FC9">
        <w:rPr>
          <w:rFonts w:ascii="Times New Roman" w:eastAsia="Times New Roman" w:hAnsi="Times New Roman" w:cs="Times New Roman"/>
          <w:color w:val="0070C0"/>
          <w:sz w:val="24"/>
          <w:szCs w:val="24"/>
          <w:u w:val="single"/>
        </w:rPr>
        <w:t>Model 2</w:t>
      </w:r>
    </w:p>
    <w:p w14:paraId="3C709061"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In Model 2, we assume that the go signals have additive values which can bias decisions towards accepting or rejecting. In other words, the go signal may increase or decrease the value of the reward offer by a constant amount, independent of the original discounted value of the offer. The additive value is parameterized symmetrically for the two go signals: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purple, and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yellow.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535FC9">
        <w:rPr>
          <w:rFonts w:ascii="Times New Roman" w:eastAsia="Times New Roman" w:hAnsi="Times New Roman" w:cs="Times New Roman"/>
          <w:color w:val="0070C0"/>
          <w:sz w:val="24"/>
          <w:szCs w:val="24"/>
        </w:rPr>
        <w:t xml:space="preserve"> is the sum of the discounted value of the offer, and the value of the go signal:</w:t>
      </w:r>
    </w:p>
    <w:p w14:paraId="455FAF42" w14:textId="77777777" w:rsidR="00535FC9" w:rsidRPr="00535FC9" w:rsidRDefault="00000000" w:rsidP="00535FC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02D33E8A" w14:textId="77777777" w:rsidR="00535FC9" w:rsidRPr="00535FC9" w:rsidRDefault="00535FC9" w:rsidP="003A2B5A">
      <w:pPr>
        <w:rPr>
          <w:rFonts w:ascii="Cambria Math" w:eastAsia="Cambria Math" w:hAnsi="Cambria Math" w:cs="Cambria Math"/>
          <w:color w:val="0070C0"/>
        </w:rPr>
      </w:pPr>
      <w:r w:rsidRPr="00535FC9">
        <w:rPr>
          <w:rFonts w:ascii="Times New Roman" w:eastAsia="Times New Roman" w:hAnsi="Times New Roman" w:cs="Times New Roman"/>
          <w:color w:val="0070C0"/>
          <w:sz w:val="24"/>
          <w:szCs w:val="24"/>
        </w:rPr>
        <w:t xml:space="preserve">The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535FC9">
        <w:rPr>
          <w:rFonts w:ascii="Times New Roman" w:eastAsia="Times New Roman" w:hAnsi="Times New Roman" w:cs="Times New Roman"/>
          <w:color w:val="0070C0"/>
          <w:sz w:val="24"/>
          <w:szCs w:val="24"/>
        </w:rPr>
        <w:t>, as in Model 1</w:t>
      </w:r>
      <m:oMath>
        <m:r>
          <w:rPr>
            <w:rFonts w:ascii="Cambria Math" w:eastAsia="Times New Roman" w:hAnsi="Cambria Math" w:cs="Times New Roman"/>
            <w:color w:val="0070C0"/>
            <w:sz w:val="24"/>
            <w:szCs w:val="24"/>
          </w:rPr>
          <m:t>.</m:t>
        </m:r>
      </m:oMath>
    </w:p>
    <w:p w14:paraId="7D12D326"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The acceptance probability is then: </w:t>
      </w:r>
    </w:p>
    <w:p w14:paraId="2BB0B808" w14:textId="05B81475" w:rsidR="00D675ED" w:rsidRPr="00535FC9" w:rsidRDefault="00535FC9" w:rsidP="00535FC9">
      <w:pPr>
        <w:jc w:val="center"/>
        <w:rPr>
          <w:rFonts w:ascii="Cambria Math" w:eastAsia="Cambria Math" w:hAnsi="Cambria Math" w:cs="Cambria Math"/>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-θ</m:t>
                      </m:r>
                    </m:num>
                    <m:den>
                      <m:r>
                        <w:rPr>
                          <w:rFonts w:ascii="Cambria Math" w:eastAsia="Cambria Math" w:hAnsi="Cambria Math" w:cs="Cambria Math"/>
                          <w:color w:val="0070C0"/>
                        </w:rPr>
                        <m:t>σ</m:t>
                      </m:r>
                    </m:den>
                  </m:f>
                </m:sup>
              </m:sSup>
            </m:den>
          </m:f>
        </m:oMath>
      </m:oMathPara>
    </w:p>
    <w:p w14:paraId="222FFCCA" w14:textId="2D381F0F" w:rsidR="00D675ED" w:rsidRPr="00E140E7" w:rsidRDefault="00D675ED" w:rsidP="00E140E7">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0000"/>
          <w:sz w:val="24"/>
          <w:szCs w:val="24"/>
        </w:rPr>
      </w:pPr>
      <w:r>
        <w:rPr>
          <w:color w:val="0070C0"/>
        </w:rPr>
        <w:t xml:space="preserve">” </w:t>
      </w:r>
    </w:p>
    <w:p w14:paraId="49AD4FB6" w14:textId="77777777" w:rsidR="006400C8" w:rsidRDefault="00606B93" w:rsidP="003E724E">
      <w:r w:rsidRPr="00DF099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t>This "total value" formulation would benefit from further clarification. In response to a go signal, the monkeys are presumably deciding whether to accept or reject the current offer. Therefore, it seems that the quantity entering the softmax function should reflect the relative value of accepting versus rejecting the offer, rather than the sum of these values. Specifically, the exponent of the softmax function would seem to depend on:</w:t>
      </w:r>
      <w:r w:rsidRPr="00DF099E">
        <w:br/>
        <w:t>V_"accept" -V_"reject"</w:t>
      </w:r>
      <w:r w:rsidRPr="00DF099E">
        <w:br/>
      </w:r>
      <w:r w:rsidRPr="00DF099E">
        <w:br/>
        <w:t>Under this interpretation, for the yellow go signal, the value of accepting would be the recalculated discounted value of the offer incorporating the additional delay:</w:t>
      </w:r>
      <w:r w:rsidRPr="00DF099E">
        <w:br/>
        <w:t>V_"accept,yellow" =R/(1+k(D+ΔT))</w:t>
      </w:r>
      <w:r w:rsidRPr="00DF099E">
        <w:br/>
      </w:r>
      <w:r w:rsidRPr="00DF099E">
        <w:br/>
        <w:t>For the purple go signal, the value of accepting would be the original discounted value of the offer:</w:t>
      </w:r>
      <w:r w:rsidRPr="00DF099E">
        <w:br/>
        <w:t>V_"accept,purple" =DV</w:t>
      </w:r>
      <w:r w:rsidRPr="00DF099E">
        <w:br/>
      </w:r>
      <w:r w:rsidRPr="00DF099E">
        <w:br/>
        <w:t>The value of rejecting would also depend on the go-signal condition. For the yellow go signal, if the monkey can reject the offer immediately, then:</w:t>
      </w:r>
      <w:r w:rsidRPr="00DF099E">
        <w:br/>
        <w:t>V_"reject,yellow" =θ</w:t>
      </w:r>
      <w:r w:rsidRPr="00DF099E">
        <w:br/>
      </w:r>
      <w:r w:rsidRPr="00DF099E">
        <w:br/>
        <w:t>For the purple go signal, if rejection is associated with an additional delay, then the rejection value should be discounted as:</w:t>
      </w:r>
      <w:r w:rsidRPr="00DF099E">
        <w:br/>
        <w:t>V_"reject,purple" =θ/(1+kΔT)</w:t>
      </w:r>
      <w:r w:rsidRPr="00DF099E">
        <w:br/>
      </w:r>
      <w:r w:rsidRPr="00DF099E">
        <w:br/>
        <w:t>Thus, if this is the intended decision process, the softmax exponent should be based on the difference between the value of accepting and the value of rejecting, with each term defined according to the specific go-signal condition.</w:t>
      </w:r>
    </w:p>
    <w:p w14:paraId="28DC28AA" w14:textId="77777777" w:rsidR="006400C8" w:rsidRDefault="006400C8" w:rsidP="003E724E"/>
    <w:p w14:paraId="2D16A0DC" w14:textId="25E4AF88" w:rsidR="00737368" w:rsidRDefault="006400C8" w:rsidP="006400C8">
      <w:r w:rsidRPr="006008B7">
        <w:rPr>
          <w:color w:val="0070C0"/>
        </w:rPr>
        <w:t xml:space="preserve">Response </w:t>
      </w:r>
      <w:r>
        <w:rPr>
          <w:color w:val="0070C0"/>
        </w:rPr>
        <w:t>R2-</w:t>
      </w:r>
      <w:r w:rsidRPr="006008B7">
        <w:rPr>
          <w:color w:val="0070C0"/>
        </w:rPr>
        <w:t>1.</w:t>
      </w:r>
      <w:r>
        <w:rPr>
          <w:color w:val="0070C0"/>
        </w:rPr>
        <w:t>3</w:t>
      </w:r>
      <w:r w:rsidRPr="006008B7">
        <w:rPr>
          <w:color w:val="0070C0"/>
        </w:rPr>
        <w:t>:</w:t>
      </w:r>
    </w:p>
    <w:p w14:paraId="3BE15FA1" w14:textId="77777777" w:rsidR="00737368" w:rsidRDefault="00737368" w:rsidP="006400C8">
      <w:pPr>
        <w:rPr>
          <w:color w:val="0070C0"/>
        </w:rPr>
      </w:pPr>
    </w:p>
    <w:p w14:paraId="63C4999E" w14:textId="0983901B" w:rsidR="00F30799" w:rsidRDefault="006400C8" w:rsidP="00860ADB">
      <w:pPr>
        <w:rPr>
          <w:color w:val="0070C0"/>
        </w:rPr>
      </w:pPr>
      <w:r>
        <w:rPr>
          <w:color w:val="0070C0"/>
        </w:rPr>
        <w:lastRenderedPageBreak/>
        <w:t xml:space="preserve">The reviewer understood our model </w:t>
      </w:r>
      <w:r w:rsidR="00A175CE">
        <w:rPr>
          <w:color w:val="0070C0"/>
        </w:rPr>
        <w:t>conceptually. However, the Model 3 (</w:t>
      </w:r>
      <w:r w:rsidR="00CB44D3">
        <w:rPr>
          <w:color w:val="0070C0"/>
        </w:rPr>
        <w:t xml:space="preserve">in </w:t>
      </w:r>
      <w:r w:rsidR="00F30799">
        <w:rPr>
          <w:color w:val="0070C0"/>
        </w:rPr>
        <w:t xml:space="preserve">the </w:t>
      </w:r>
      <w:r w:rsidR="00A175CE">
        <w:rPr>
          <w:color w:val="0070C0"/>
        </w:rPr>
        <w:t>original manuscript) ha</w:t>
      </w:r>
      <w:r w:rsidR="00EB5EB1">
        <w:rPr>
          <w:color w:val="0070C0"/>
        </w:rPr>
        <w:t>d</w:t>
      </w:r>
      <w:r w:rsidR="00A175CE">
        <w:rPr>
          <w:color w:val="0070C0"/>
        </w:rPr>
        <w:t xml:space="preserve"> an additional component</w:t>
      </w:r>
      <w:r w:rsidR="00737368">
        <w:rPr>
          <w:color w:val="0070C0"/>
        </w:rPr>
        <w:t>.</w:t>
      </w:r>
      <w:r w:rsidR="00860ADB">
        <w:rPr>
          <w:color w:val="0070C0"/>
        </w:rPr>
        <w:t xml:space="preserve"> We explicitly compared our model and the reduced model that the reviewer described here. </w:t>
      </w:r>
    </w:p>
    <w:p w14:paraId="529F3CAA" w14:textId="77777777" w:rsidR="00D12434" w:rsidRDefault="00D12434" w:rsidP="00860ADB">
      <w:pPr>
        <w:rPr>
          <w:color w:val="0070C0"/>
        </w:rPr>
      </w:pPr>
    </w:p>
    <w:p w14:paraId="7D8B07AE" w14:textId="73FA690D" w:rsidR="00860ADB" w:rsidRDefault="00D12434" w:rsidP="00860ADB">
      <w:pPr>
        <w:rPr>
          <w:color w:val="0070C0"/>
        </w:rPr>
      </w:pPr>
      <w:r>
        <w:rPr>
          <w:color w:val="0070C0"/>
        </w:rPr>
        <w:t>To explain our original model:</w:t>
      </w:r>
    </w:p>
    <w:p w14:paraId="4C4507A7" w14:textId="55AC5589" w:rsidR="00860ADB" w:rsidRPr="00860ADB" w:rsidRDefault="00860ADB" w:rsidP="00860ADB">
      <w:pPr>
        <w:rPr>
          <w:color w:val="0070C0"/>
        </w:rPr>
      </w:pPr>
      <w:r w:rsidRPr="00860ADB">
        <w:rPr>
          <w:rFonts w:ascii="Times New Roman" w:eastAsia="Times New Roman" w:hAnsi="Times New Roman" w:cs="Times New Roman"/>
          <w:color w:val="0070C0"/>
          <w:sz w:val="24"/>
          <w:szCs w:val="24"/>
        </w:rPr>
        <w:t xml:space="preserve">In our model, we considered the discounted value of future trials, in addition to the offer value at the current trial. The decision threshold </w:t>
      </w:r>
      <m:oMath>
        <m:r>
          <w:rPr>
            <w:rFonts w:ascii="Cambria Math" w:eastAsia="Times New Roman" w:hAnsi="Cambria Math" w:cs="Times New Roman"/>
            <w:color w:val="0070C0"/>
            <w:sz w:val="24"/>
            <w:szCs w:val="24"/>
          </w:rPr>
          <m:t>θ</m:t>
        </m:r>
      </m:oMath>
      <w:r w:rsidRPr="00860ADB">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00F30799">
        <w:rPr>
          <w:rFonts w:ascii="Times New Roman" w:eastAsia="Times New Roman" w:hAnsi="Times New Roman" w:cs="Times New Roman"/>
          <w:color w:val="0070C0"/>
          <w:sz w:val="24"/>
          <w:szCs w:val="24"/>
        </w:rPr>
        <w:t xml:space="preserve"> </w:t>
      </w:r>
      <m:oMath>
        <m:r>
          <w:rPr>
            <w:rFonts w:ascii="Cambria Math" w:eastAsia="Times New Roman" w:hAnsi="Cambria Math" w:cs="Times New Roman"/>
            <w:color w:val="0070C0"/>
            <w:sz w:val="24"/>
            <w:szCs w:val="24"/>
          </w:rPr>
          <m:t>h</m:t>
        </m:r>
      </m:oMath>
      <w:r w:rsidR="00F30799">
        <w:rPr>
          <w:rFonts w:ascii="Times New Roman" w:eastAsia="Times New Roman" w:hAnsi="Times New Roman" w:cs="Times New Roman"/>
          <w:color w:val="0070C0"/>
          <w:sz w:val="24"/>
          <w:szCs w:val="24"/>
        </w:rPr>
        <w:t xml:space="preserve"> is the hyperbolic discounting function (see Response R2-1.0).</w:t>
      </w:r>
      <w:r w:rsidRPr="00860ADB">
        <w:rPr>
          <w:rFonts w:ascii="Times New Roman" w:eastAsia="Times New Roman" w:hAnsi="Times New Roman" w:cs="Times New Roman"/>
          <w:color w:val="0070C0"/>
          <w:sz w:val="24"/>
          <w:szCs w:val="24"/>
        </w:rPr>
        <w:t xml:space="preserve"> As a result, the value for accepting the offer</w:t>
      </w:r>
      <w:r w:rsidR="00F30799">
        <w:rPr>
          <w:rFonts w:ascii="Times New Roman" w:eastAsia="Times New Roman" w:hAnsi="Times New Roman" w:cs="Times New Roman"/>
          <w:color w:val="0070C0"/>
          <w:sz w:val="24"/>
          <w:szCs w:val="24"/>
        </w:rPr>
        <w:t xml:space="preserv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F30799">
        <w:rPr>
          <w:rFonts w:ascii="Times New Roman" w:eastAsia="Times New Roman" w:hAnsi="Times New Roman" w:cs="Times New Roman"/>
          <w:color w:val="0070C0"/>
          <w:sz w:val="24"/>
          <w:szCs w:val="24"/>
        </w:rPr>
        <w:t xml:space="preserve">, </w:t>
      </w:r>
      <w:r w:rsidRPr="00860ADB">
        <w:rPr>
          <w:rFonts w:ascii="Times New Roman" w:eastAsia="Times New Roman" w:hAnsi="Times New Roman" w:cs="Times New Roman"/>
          <w:color w:val="0070C0"/>
          <w:sz w:val="24"/>
          <w:szCs w:val="24"/>
        </w:rPr>
        <w:t>should be the sum of the value of the current offer, and the expected discounted value of all future trials</w:t>
      </w:r>
      <w:r>
        <w:rPr>
          <w:rFonts w:ascii="Times New Roman" w:eastAsia="Times New Roman" w:hAnsi="Times New Roman" w:cs="Times New Roman"/>
          <w:sz w:val="24"/>
          <w:szCs w:val="24"/>
        </w:rPr>
        <w:t>.</w:t>
      </w:r>
    </w:p>
    <w:p w14:paraId="0F437C98" w14:textId="77777777" w:rsidR="00860ADB" w:rsidRPr="002045D8" w:rsidRDefault="00000000" w:rsidP="00860ADB">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051DAF1A" w14:textId="77777777" w:rsidR="00860ADB" w:rsidRDefault="00860ADB" w:rsidP="006400C8">
      <w:pPr>
        <w:rPr>
          <w:color w:val="0070C0"/>
        </w:rPr>
      </w:pPr>
    </w:p>
    <w:p w14:paraId="4DF2553E" w14:textId="5C0FC839" w:rsidR="002B7280" w:rsidRDefault="002B7280" w:rsidP="006400C8">
      <w:pPr>
        <w:rPr>
          <w:color w:val="0070C0"/>
        </w:rPr>
      </w:pPr>
      <w:r>
        <w:rPr>
          <w:color w:val="0070C0"/>
        </w:rPr>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2A818B2E" w14:textId="77777777" w:rsidR="002045D8" w:rsidRDefault="002045D8" w:rsidP="006400C8">
      <w:pPr>
        <w:rPr>
          <w:color w:val="0070C0"/>
        </w:rPr>
      </w:pPr>
    </w:p>
    <w:p w14:paraId="2C21D89B" w14:textId="77777777" w:rsidR="00BF6F6F" w:rsidRDefault="002B7280" w:rsidP="00BF6F6F">
      <w:pPr>
        <w:rPr>
          <w:color w:val="0070C0"/>
        </w:rPr>
      </w:pPr>
      <w:r>
        <w:rPr>
          <w:color w:val="0070C0"/>
        </w:rPr>
        <w:t xml:space="preserve">To clarify, Model1, Model2, and Model 3v are the three models reported in the original manuscript. Model 3 in the original manuscript is renamed to Model 3v in the new manuscript. And the </w:t>
      </w:r>
      <w:r w:rsidR="00CB44D3">
        <w:rPr>
          <w:color w:val="0070C0"/>
        </w:rPr>
        <w:t xml:space="preserve">model </w:t>
      </w:r>
      <w:r>
        <w:rPr>
          <w:color w:val="0070C0"/>
        </w:rPr>
        <w:t xml:space="preserve">that </w:t>
      </w:r>
      <w:r w:rsidR="00CB44D3">
        <w:rPr>
          <w:color w:val="0070C0"/>
        </w:rPr>
        <w:t xml:space="preserve">the reviewer described </w:t>
      </w:r>
      <w:r w:rsidR="00261DDB">
        <w:rPr>
          <w:color w:val="0070C0"/>
        </w:rPr>
        <w:t xml:space="preserve">here </w:t>
      </w:r>
      <w:r w:rsidR="00CB44D3">
        <w:rPr>
          <w:color w:val="0070C0"/>
        </w:rPr>
        <w:t xml:space="preserve">is named Model </w:t>
      </w:r>
      <w:r>
        <w:rPr>
          <w:color w:val="0070C0"/>
        </w:rPr>
        <w:t>3</w:t>
      </w:r>
      <w:r w:rsidR="00CB44D3">
        <w:rPr>
          <w:color w:val="0070C0"/>
        </w:rPr>
        <w:t>.</w:t>
      </w:r>
      <w:r w:rsidR="00737368">
        <w:rPr>
          <w:color w:val="0070C0"/>
        </w:rPr>
        <w:t xml:space="preserve"> </w:t>
      </w:r>
    </w:p>
    <w:p w14:paraId="415D33BE" w14:textId="77777777" w:rsidR="008F69DA" w:rsidRDefault="008F69DA" w:rsidP="006400C8">
      <w:pPr>
        <w:rPr>
          <w:color w:val="0070C0"/>
        </w:rPr>
      </w:pPr>
    </w:p>
    <w:p w14:paraId="6857AF9D" w14:textId="74DF1FEE" w:rsidR="00126E83" w:rsidRDefault="00126E83" w:rsidP="006400C8">
      <w:pPr>
        <w:rPr>
          <w:color w:val="0070C0"/>
        </w:rPr>
      </w:pPr>
      <w:r>
        <w:rPr>
          <w:color w:val="0070C0"/>
        </w:rPr>
        <w:t>We have substantially modified the Methods section and here is the updated text.</w:t>
      </w:r>
      <w:r w:rsidR="0093138B">
        <w:rPr>
          <w:color w:val="0070C0"/>
        </w:rPr>
        <w:t xml:space="preserve"> Hopefully now the model is clear.</w:t>
      </w:r>
    </w:p>
    <w:p w14:paraId="316CC777" w14:textId="77777777" w:rsidR="00B26149" w:rsidRDefault="00B26149" w:rsidP="006400C8">
      <w:pPr>
        <w:rPr>
          <w:color w:val="0070C0"/>
        </w:rPr>
      </w:pPr>
    </w:p>
    <w:p w14:paraId="338A040D" w14:textId="7E817CB9" w:rsidR="00261DDB" w:rsidRPr="003A2B5A" w:rsidRDefault="00B26149" w:rsidP="00866BA8">
      <w:pPr>
        <w:rPr>
          <w:rFonts w:ascii="Cambria Math" w:eastAsia="Cambria Math" w:hAnsi="Cambria Math" w:cs="Cambria Math"/>
        </w:rPr>
      </w:pPr>
      <w:r>
        <w:rPr>
          <w:color w:val="0070C0"/>
        </w:rPr>
        <w:t>“</w:t>
      </w:r>
      <w:r w:rsidR="00866BA8">
        <w:rPr>
          <w:rFonts w:ascii="Cambria Math" w:eastAsia="Cambria Math" w:hAnsi="Cambria Math" w:cs="Cambria Math"/>
        </w:rPr>
        <w:t xml:space="preserve"> </w:t>
      </w:r>
      <w:r w:rsidR="00261DDB" w:rsidRPr="00261DDB">
        <w:rPr>
          <w:rFonts w:ascii="Times New Roman" w:eastAsia="Times New Roman" w:hAnsi="Times New Roman" w:cs="Times New Roman"/>
          <w:color w:val="0070C0"/>
          <w:sz w:val="24"/>
          <w:szCs w:val="24"/>
          <w:u w:val="single"/>
        </w:rPr>
        <w:t xml:space="preserve">Model 3 </w:t>
      </w:r>
    </w:p>
    <w:p w14:paraId="50CA28E2" w14:textId="05E6E5DE"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In Model 3, we assume that animals re-calculate the discounted value of offers, in anticipation of an additional delay predicted by the go signal. </w:t>
      </w:r>
    </w:p>
    <w:p w14:paraId="768F4ED9" w14:textId="060D3378"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If the go signal is purple, animals can accept the offer right away. However, if the go signal is yellow, animals must wait for an additional delay Δt, for the go signal to turn purple, in order to accept the offer. This effectively decreases the value for accepting the offer following the yellow go signal. </w:t>
      </w:r>
    </w:p>
    <w:p w14:paraId="72D0D87C"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On the other hand, if the go signal is yellow, animals can reject right away. However, if the go signal is purple, they must wait for an addition delay, for the go signal to turn yellow, in order to </w:t>
      </w:r>
      <w:r w:rsidRPr="00261DDB">
        <w:rPr>
          <w:rFonts w:ascii="Times New Roman" w:eastAsia="Times New Roman" w:hAnsi="Times New Roman" w:cs="Times New Roman"/>
          <w:color w:val="0070C0"/>
          <w:sz w:val="24"/>
          <w:szCs w:val="24"/>
        </w:rPr>
        <w:lastRenderedPageBreak/>
        <w:t xml:space="preserve">reject the offer. This effectively decreases the value for rejecting the offer following the purple go signal. </w:t>
      </w:r>
    </w:p>
    <w:p w14:paraId="510DFE6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Formally, following yellow go signals,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equals the re-computed discounted value </w:t>
      </w:r>
    </w:p>
    <w:p w14:paraId="20E5FB9B" w14:textId="77777777"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drop</m:t>
              </m:r>
            </m:num>
            <m:den>
              <m:r>
                <w:rPr>
                  <w:rFonts w:ascii="Cambria Math" w:eastAsia="Cambria Math" w:hAnsi="Cambria Math" w:cs="Cambria Math"/>
                  <w:color w:val="0070C0"/>
                </w:rPr>
                <m:t>1+k⋅(delay+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31F22DA5"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w:t>
      </w:r>
    </w:p>
    <w:p w14:paraId="32CDDF98"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=θ</m:t>
          </m:r>
        </m:oMath>
      </m:oMathPara>
    </w:p>
    <w:p w14:paraId="1F079D17"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where</w:t>
      </w:r>
      <w:r w:rsidRPr="00261DDB">
        <w:rPr>
          <w:rFonts w:ascii="Times New Roman" w:eastAsia="Times New Roman" w:hAnsi="Times New Roman" w:cs="Times New Roman"/>
          <w:color w:val="0070C0"/>
        </w:rPr>
        <w:t xml:space="preserve"> </w:t>
      </w:r>
      <m:oMath>
        <m:r>
          <w:rPr>
            <w:rFonts w:ascii="Cambria Math" w:eastAsia="Cambria Math" w:hAnsi="Cambria Math" w:cs="Cambria Math"/>
            <w:color w:val="0070C0"/>
          </w:rPr>
          <m:t>θ</m:t>
        </m:r>
      </m:oMath>
      <w:r w:rsidRPr="00261DDB">
        <w:rPr>
          <w:rFonts w:ascii="Times New Roman" w:eastAsia="Times New Roman" w:hAnsi="Times New Roman" w:cs="Times New Roman"/>
          <w:color w:val="0070C0"/>
        </w:rPr>
        <w:t xml:space="preserve"> </w:t>
      </w:r>
      <w:r w:rsidRPr="00261DDB">
        <w:rPr>
          <w:rFonts w:ascii="Times New Roman" w:eastAsia="Times New Roman" w:hAnsi="Times New Roman" w:cs="Times New Roman"/>
          <w:color w:val="0070C0"/>
          <w:sz w:val="24"/>
          <w:szCs w:val="24"/>
        </w:rPr>
        <w:t>is the decision threshold.</w:t>
      </w:r>
      <w:r w:rsidRPr="00261DDB">
        <w:rPr>
          <w:rFonts w:ascii="Times New Roman" w:eastAsia="Times New Roman" w:hAnsi="Times New Roman" w:cs="Times New Roman"/>
          <w:color w:val="0070C0"/>
        </w:rPr>
        <w:t xml:space="preserve"> </w:t>
      </w:r>
    </w:p>
    <w:p w14:paraId="02225127" w14:textId="437C3073"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Following purple go signals,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is the original discounted value </w:t>
      </w:r>
    </w:p>
    <w:p w14:paraId="798FF7D1"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m:oMathPara>
    </w:p>
    <w:p w14:paraId="2323050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 is discounted</w:t>
      </w:r>
    </w:p>
    <w:p w14:paraId="118521A2" w14:textId="3535BB28"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=h</m:t>
          </m:r>
          <m:d>
            <m:dPr>
              <m:ctrlPr>
                <w:rPr>
                  <w:rFonts w:ascii="Cambria Math" w:eastAsia="Cambria Math" w:hAnsi="Cambria Math" w:cs="Cambria Math"/>
                  <w:i/>
                  <w:color w:val="0070C0"/>
                </w:rPr>
              </m:ctrlPr>
            </m:dPr>
            <m:e>
              <m:r>
                <w:rPr>
                  <w:rFonts w:ascii="Cambria Math" w:eastAsia="Cambria Math" w:hAnsi="Cambria Math" w:cs="Cambria Math"/>
                  <w:color w:val="0070C0"/>
                </w:rPr>
                <m:t xml:space="preserve">θ, </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θ</m:t>
              </m:r>
            </m:num>
            <m:den>
              <m:r>
                <w:rPr>
                  <w:rFonts w:ascii="Cambria Math" w:eastAsia="Cambria Math" w:hAnsi="Cambria Math" w:cs="Cambria Math"/>
                  <w:color w:val="0070C0"/>
                </w:rPr>
                <m:t>1+k⋅</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2262BE67" w14:textId="4E113247" w:rsidR="00835B09" w:rsidRPr="00835B09" w:rsidRDefault="00261DDB" w:rsidP="00835B09">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As in previous models, decisions are made via the softmax rule,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261DDB">
        <w:rPr>
          <w:rFonts w:ascii="Times New Roman" w:eastAsia="Times New Roman" w:hAnsi="Times New Roman" w:cs="Times New Roman"/>
          <w:color w:val="0070C0"/>
          <w:sz w:val="24"/>
          <w:szCs w:val="24"/>
        </w:rPr>
        <w:t>.</w:t>
      </w:r>
    </w:p>
    <w:p w14:paraId="412F2EAA" w14:textId="77777777" w:rsidR="00835B09" w:rsidRPr="00835B09" w:rsidRDefault="00835B09" w:rsidP="00835B09">
      <w:pPr>
        <w:rPr>
          <w:rFonts w:ascii="Times New Roman" w:eastAsia="Times New Roman" w:hAnsi="Times New Roman" w:cs="Times New Roman"/>
          <w:color w:val="0070C0"/>
          <w:sz w:val="24"/>
          <w:szCs w:val="24"/>
          <w:u w:val="single"/>
        </w:rPr>
      </w:pPr>
      <w:r w:rsidRPr="00835B09">
        <w:rPr>
          <w:rFonts w:ascii="Times New Roman" w:eastAsia="Times New Roman" w:hAnsi="Times New Roman" w:cs="Times New Roman"/>
          <w:color w:val="0070C0"/>
          <w:sz w:val="24"/>
          <w:szCs w:val="24"/>
          <w:u w:val="single"/>
        </w:rPr>
        <w:t>Extended Models</w:t>
      </w:r>
    </w:p>
    <w:p w14:paraId="4A1E00E8"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In the base models, the value for accepting the offer is assumed to be the adjusted discounted value of the current offer, without considering discounted values from future trials. Since accepting an offer with longer delay would postpone the start of the next trial, the discounted future reward should be less when accepting offers with longer delays. </w:t>
      </w:r>
    </w:p>
    <w:p w14:paraId="7C15934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decision threshold </w:t>
      </w:r>
      <m:oMath>
        <m:r>
          <w:rPr>
            <w:rFonts w:ascii="Cambria Math" w:eastAsia="Times New Roman" w:hAnsi="Cambria Math" w:cs="Times New Roman"/>
            <w:color w:val="0070C0"/>
            <w:sz w:val="24"/>
            <w:szCs w:val="24"/>
          </w:rPr>
          <m:t>θ</m:t>
        </m:r>
      </m:oMath>
      <w:r w:rsidRPr="00835B09">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Pr="00835B09">
        <w:rPr>
          <w:rFonts w:ascii="Times New Roman" w:eastAsia="Times New Roman" w:hAnsi="Times New Roman" w:cs="Times New Roman"/>
          <w:color w:val="0070C0"/>
          <w:sz w:val="24"/>
          <w:szCs w:val="24"/>
        </w:rPr>
        <w:t xml:space="preserve"> As a result, the value for accepting the offer, should be the sum of the value of the current offer, and the expected discounted value of all future trials.</w:t>
      </w:r>
    </w:p>
    <w:p w14:paraId="62BF0FAF"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56C99C24"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models Model 1v, Model 2v, Model 3v are variants of Model 1, Model 2, Model 3, respectively, and they explicitly account for the discounted value for future trials. </w:t>
      </w:r>
    </w:p>
    <w:p w14:paraId="0F77FCAE"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For Model 1v, </w:t>
      </w:r>
    </w:p>
    <w:p w14:paraId="09254C65"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drop, delay</m:t>
              </m:r>
            </m:e>
          </m:d>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=DV+h(θ, delay)</m:t>
          </m:r>
        </m:oMath>
      </m:oMathPara>
    </w:p>
    <w:p w14:paraId="76F08678"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0463AA40"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lastRenderedPageBreak/>
        <w:t xml:space="preserve">For Model 2v, </w:t>
      </w:r>
    </w:p>
    <w:p w14:paraId="7E870814" w14:textId="77777777" w:rsidR="00835B09" w:rsidRPr="00835B09" w:rsidRDefault="00000000" w:rsidP="00835B0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1D4DD543"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4DFB37B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For Model 3v,</w:t>
      </w:r>
    </w:p>
    <w:p w14:paraId="39945EAA" w14:textId="77777777" w:rsidR="00835B09" w:rsidRPr="00835B09" w:rsidRDefault="00000000" w:rsidP="00835B09">
      <w:pPr>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m:t>
                  </m:r>
                  <m:r>
                    <m:rPr>
                      <m:sty m:val="p"/>
                    </m:rPr>
                    <w:rPr>
                      <w:rFonts w:ascii="Cambria Math" w:eastAsia="Cambria Math" w:hAnsi="Cambria Math" w:cs="Cambria Math"/>
                      <w:color w:val="0070C0"/>
                    </w:rPr>
                    <m:t>Δ</m:t>
                  </m:r>
                  <m:r>
                    <w:rPr>
                      <w:rFonts w:ascii="Cambria Math" w:eastAsia="Cambria Math" w:hAnsi="Cambria Math" w:cs="Cambria Math"/>
                      <w:color w:val="0070C0"/>
                    </w:rPr>
                    <m:t>t</m:t>
                  </m:r>
                  <m:r>
                    <m:rPr>
                      <m:sty m:val="p"/>
                    </m:rPr>
                    <w:rPr>
                      <w:rFonts w:ascii="Cambria Math" w:eastAsia="Cambria Math" w:hAnsi="Cambria Math" w:cs="Cambria Math"/>
                      <w:color w:val="0070C0"/>
                    </w:rPr>
                    <m:t>)</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1BFE13A7" w14:textId="2C5EADF4" w:rsidR="00B26149" w:rsidRPr="009A540A" w:rsidRDefault="00000000" w:rsidP="009A540A">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h(θ, Δt)</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w:rPr>
                      <w:rFonts w:ascii="Cambria Math" w:eastAsia="Cambria Math" w:hAnsi="Cambria Math" w:cs="Cambria Math"/>
                      <w:color w:val="0070C0"/>
                    </w:rPr>
                    <m:t>θ,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5CD54193" w14:textId="0EDB9AA7" w:rsidR="006400C8" w:rsidRPr="0015183A" w:rsidRDefault="00B26149" w:rsidP="003E724E">
      <w:pPr>
        <w:rPr>
          <w:color w:val="0070C0"/>
        </w:rPr>
      </w:pPr>
      <w:r>
        <w:rPr>
          <w:color w:val="0070C0"/>
        </w:rPr>
        <w:t>”</w:t>
      </w:r>
    </w:p>
    <w:p w14:paraId="020E58D0" w14:textId="77777777" w:rsidR="00CF1F41" w:rsidRDefault="00606B93" w:rsidP="003E724E">
      <w:r w:rsidRPr="00DF099E">
        <w:br/>
        <w:t>More generally, the manuscript would be strengthened by explicitly describing the differential predictions generated by the three models and by reporting the estimated parameters of the 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2188FE20" w14:textId="77777777" w:rsidR="001C7986" w:rsidRDefault="001C7986" w:rsidP="003E724E"/>
    <w:p w14:paraId="08A33F25" w14:textId="38C7661D" w:rsidR="00A63780" w:rsidRDefault="00A63780" w:rsidP="003E724E">
      <w:r w:rsidRPr="006008B7">
        <w:rPr>
          <w:color w:val="0070C0"/>
        </w:rPr>
        <w:t xml:space="preserve">Response </w:t>
      </w:r>
      <w:r>
        <w:rPr>
          <w:color w:val="0070C0"/>
        </w:rPr>
        <w:t>R2-</w:t>
      </w:r>
      <w:r w:rsidRPr="006008B7">
        <w:rPr>
          <w:color w:val="0070C0"/>
        </w:rPr>
        <w:t>1.</w:t>
      </w:r>
      <w:r>
        <w:rPr>
          <w:color w:val="0070C0"/>
        </w:rPr>
        <w:t>4</w:t>
      </w:r>
      <w:r w:rsidRPr="006008B7">
        <w:rPr>
          <w:color w:val="0070C0"/>
        </w:rPr>
        <w:t>:</w:t>
      </w:r>
    </w:p>
    <w:p w14:paraId="6B9212E2" w14:textId="237916BC" w:rsidR="001C7986" w:rsidRDefault="001C7986" w:rsidP="001C7986">
      <w:pPr>
        <w:rPr>
          <w:color w:val="0070C0"/>
        </w:rPr>
      </w:pPr>
      <w:r>
        <w:rPr>
          <w:color w:val="0070C0"/>
        </w:rPr>
        <w:t xml:space="preserve">By comparing goodness-of-fit of the behavioral models to the data, we infer which of the three strategies (Model 1/1t, 2/2t, 3/3t) best describes each animal’s behavior. The best-fit models (among the 6 models) are Model 3v for Monkey S, and Model 2v for Monkey T (see Figure 4 below). </w:t>
      </w:r>
    </w:p>
    <w:p w14:paraId="5DEB568B" w14:textId="77777777" w:rsidR="001C7986" w:rsidRDefault="001C7986" w:rsidP="001C7986">
      <w:pPr>
        <w:jc w:val="center"/>
        <w:rPr>
          <w:color w:val="0070C0"/>
        </w:rPr>
      </w:pPr>
      <w:r>
        <w:rPr>
          <w:noProof/>
          <w:color w:val="0070C0"/>
        </w:rPr>
        <w:lastRenderedPageBreak/>
        <w:drawing>
          <wp:inline distT="0" distB="0" distL="0" distR="0" wp14:anchorId="286408CF" wp14:editId="20B2BFC6">
            <wp:extent cx="4064587" cy="4220115"/>
            <wp:effectExtent l="0" t="0" r="0" b="0"/>
            <wp:docPr id="7586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3359" cy="4229223"/>
                    </a:xfrm>
                    <a:prstGeom prst="rect">
                      <a:avLst/>
                    </a:prstGeom>
                    <a:noFill/>
                    <a:ln>
                      <a:noFill/>
                    </a:ln>
                  </pic:spPr>
                </pic:pic>
              </a:graphicData>
            </a:graphic>
          </wp:inline>
        </w:drawing>
      </w:r>
    </w:p>
    <w:p w14:paraId="04527D00" w14:textId="77777777" w:rsidR="001C7986" w:rsidRDefault="001C7986" w:rsidP="003E724E"/>
    <w:p w14:paraId="5BC3303E" w14:textId="77777777" w:rsidR="00CF1F41" w:rsidRDefault="00CF1F41" w:rsidP="003E724E"/>
    <w:p w14:paraId="28DFD974" w14:textId="7120C338" w:rsidR="007F0894" w:rsidRPr="00FD3C5B" w:rsidRDefault="00032A20" w:rsidP="003E724E">
      <w:pPr>
        <w:rPr>
          <w:color w:val="0070C0"/>
        </w:rPr>
      </w:pPr>
      <w:r>
        <w:rPr>
          <w:color w:val="0070C0"/>
        </w:rPr>
        <w:t>Following the reviewer’s suggestion, we report the parameters of the best-fit model</w:t>
      </w:r>
      <w:r w:rsidR="001009DD">
        <w:rPr>
          <w:color w:val="0070C0"/>
        </w:rPr>
        <w:t>s</w:t>
      </w:r>
      <w:r>
        <w:rPr>
          <w:color w:val="0070C0"/>
        </w:rPr>
        <w:t xml:space="preserve"> from the two animals.</w:t>
      </w:r>
      <w:r w:rsidR="00D474F1">
        <w:rPr>
          <w:color w:val="0070C0"/>
        </w:rPr>
        <w:t xml:space="preserve"> The parameter values look reasonable. For example, the bias parameter </w:t>
      </w:r>
      <m:oMath>
        <m:r>
          <w:rPr>
            <w:rFonts w:ascii="Cambria Math" w:hAnsi="Cambria Math"/>
            <w:color w:val="0070C0"/>
          </w:rPr>
          <m:t>β</m:t>
        </m:r>
      </m:oMath>
      <w:r w:rsidR="00D474F1">
        <w:rPr>
          <w:color w:val="0070C0"/>
        </w:rPr>
        <w:t xml:space="preserve"> from Model 2v is positive, suggesting that purple go signal increases the value, and yellow go signal decreases the value. </w:t>
      </w:r>
      <w:r w:rsidR="00236D11">
        <w:rPr>
          <w:noProof/>
          <w:color w:val="0070C0"/>
        </w:rPr>
        <w:drawing>
          <wp:inline distT="0" distB="0" distL="0" distR="0" wp14:anchorId="14054AA4" wp14:editId="43D95DC6">
            <wp:extent cx="5935980" cy="1694797"/>
            <wp:effectExtent l="0" t="0" r="0" b="1270"/>
            <wp:docPr id="103647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903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35980" cy="1694797"/>
                    </a:xfrm>
                    <a:prstGeom prst="rect">
                      <a:avLst/>
                    </a:prstGeom>
                    <a:noFill/>
                    <a:ln>
                      <a:noFill/>
                    </a:ln>
                  </pic:spPr>
                </pic:pic>
              </a:graphicData>
            </a:graphic>
          </wp:inline>
        </w:drawing>
      </w:r>
      <w:r w:rsidR="00480BD9">
        <w:rPr>
          <w:color w:val="0070C0"/>
        </w:rPr>
        <w:t>To assess whether the model captures behavior, w</w:t>
      </w:r>
      <w:r w:rsidR="001009DD">
        <w:rPr>
          <w:color w:val="0070C0"/>
        </w:rPr>
        <w:t xml:space="preserve">e also </w:t>
      </w:r>
      <w:r w:rsidR="00480BD9">
        <w:rPr>
          <w:color w:val="0070C0"/>
        </w:rPr>
        <w:t xml:space="preserve">plotted and visually </w:t>
      </w:r>
      <w:r w:rsidR="00284AC3">
        <w:rPr>
          <w:color w:val="0070C0"/>
        </w:rPr>
        <w:t>examined</w:t>
      </w:r>
      <w:r w:rsidR="00480BD9">
        <w:rPr>
          <w:color w:val="0070C0"/>
        </w:rPr>
        <w:t xml:space="preserve"> </w:t>
      </w:r>
      <w:r w:rsidR="0094439E">
        <w:rPr>
          <w:color w:val="0070C0"/>
        </w:rPr>
        <w:t xml:space="preserve">model predicted </w:t>
      </w:r>
      <w:r w:rsidR="00480BD9">
        <w:rPr>
          <w:color w:val="0070C0"/>
        </w:rPr>
        <w:t>acceptance probability</w:t>
      </w:r>
      <w:r w:rsidR="0094439E">
        <w:rPr>
          <w:color w:val="0070C0"/>
        </w:rPr>
        <w:t xml:space="preserve"> against data</w:t>
      </w:r>
      <w:r w:rsidR="00480BD9">
        <w:rPr>
          <w:color w:val="0070C0"/>
        </w:rPr>
        <w:t xml:space="preserve">. </w:t>
      </w:r>
      <w:r w:rsidR="000849F8">
        <w:rPr>
          <w:color w:val="0070C0"/>
        </w:rPr>
        <w:t xml:space="preserve">Discounted values using best-fit discounting factor </w:t>
      </w:r>
      <m:oMath>
        <m:r>
          <w:rPr>
            <w:rFonts w:ascii="Cambria Math" w:hAnsi="Cambria Math"/>
            <w:color w:val="0070C0"/>
          </w:rPr>
          <m:t>k</m:t>
        </m:r>
      </m:oMath>
      <w:r w:rsidR="000849F8">
        <w:rPr>
          <w:color w:val="0070C0"/>
        </w:rPr>
        <w:t xml:space="preserve"> from each model are plotted on the x-axis. </w:t>
      </w:r>
      <w:r w:rsidR="00FD3C5B" w:rsidRPr="00FD3C5B">
        <w:rPr>
          <w:rFonts w:ascii="Times New Roman" w:eastAsia="Times New Roman" w:hAnsi="Times New Roman" w:cs="Times New Roman"/>
          <w:color w:val="0070C0"/>
          <w:sz w:val="24"/>
          <w:szCs w:val="24"/>
        </w:rPr>
        <w:t xml:space="preserve">For the extended models 1v/2v/3v, given the same discounted value of the offer, the models predict different p(accept) for different delays for Monkey S, </w:t>
      </w:r>
      <w:r w:rsidR="00FD3C5B">
        <w:rPr>
          <w:rFonts w:ascii="Times New Roman" w:eastAsia="Times New Roman" w:hAnsi="Times New Roman" w:cs="Times New Roman"/>
          <w:color w:val="0070C0"/>
          <w:sz w:val="24"/>
          <w:szCs w:val="24"/>
        </w:rPr>
        <w:t>but</w:t>
      </w:r>
      <w:r w:rsidR="00FD3C5B" w:rsidRPr="00FD3C5B">
        <w:rPr>
          <w:rFonts w:ascii="Times New Roman" w:eastAsia="Times New Roman" w:hAnsi="Times New Roman" w:cs="Times New Roman"/>
          <w:color w:val="0070C0"/>
          <w:sz w:val="24"/>
          <w:szCs w:val="24"/>
        </w:rPr>
        <w:t xml:space="preserve"> predict similar p(accept) for different delays for Monkey T.</w:t>
      </w:r>
      <w:r w:rsidR="00FD3C5B">
        <w:rPr>
          <w:rFonts w:ascii="Times New Roman" w:eastAsia="Times New Roman" w:hAnsi="Times New Roman" w:cs="Times New Roman"/>
          <w:color w:val="0070C0"/>
          <w:sz w:val="24"/>
          <w:szCs w:val="24"/>
        </w:rPr>
        <w:t xml:space="preserve"> This agrees with our interpretation that Monkey S uses delays to adjust temporal discounting calculations (their </w:t>
      </w:r>
      <w:r w:rsidR="00FD3C5B">
        <w:rPr>
          <w:rFonts w:ascii="Times New Roman" w:eastAsia="Times New Roman" w:hAnsi="Times New Roman" w:cs="Times New Roman"/>
          <w:color w:val="0070C0"/>
          <w:sz w:val="24"/>
          <w:szCs w:val="24"/>
        </w:rPr>
        <w:lastRenderedPageBreak/>
        <w:t xml:space="preserve">decision thresholds are delay sensitive), whereas Monkey T treats different go signals just as additional cues and their decision threshold is not adjusted based on delays.  </w:t>
      </w:r>
    </w:p>
    <w:p w14:paraId="0AFFE2E2" w14:textId="1829EDF2" w:rsidR="0094439E" w:rsidRDefault="002F310E" w:rsidP="003E724E">
      <w:pPr>
        <w:rPr>
          <w:color w:val="0070C0"/>
        </w:rPr>
      </w:pPr>
      <w:r>
        <w:rPr>
          <w:rFonts w:ascii="Times New Roman" w:eastAsia="Times New Roman" w:hAnsi="Times New Roman" w:cs="Times New Roman"/>
          <w:b/>
          <w:bCs/>
          <w:noProof/>
          <w:sz w:val="24"/>
          <w:szCs w:val="24"/>
        </w:rPr>
        <w:drawing>
          <wp:inline distT="0" distB="0" distL="0" distR="0" wp14:anchorId="1B9A2DD7" wp14:editId="04DD4B2E">
            <wp:extent cx="5931535" cy="4182110"/>
            <wp:effectExtent l="0" t="0" r="0" b="8890"/>
            <wp:docPr id="685997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1535" cy="4182110"/>
                    </a:xfrm>
                    <a:prstGeom prst="rect">
                      <a:avLst/>
                    </a:prstGeom>
                    <a:noFill/>
                    <a:ln>
                      <a:noFill/>
                    </a:ln>
                  </pic:spPr>
                </pic:pic>
              </a:graphicData>
            </a:graphic>
          </wp:inline>
        </w:drawing>
      </w:r>
    </w:p>
    <w:p w14:paraId="3A5B4F19" w14:textId="77777777" w:rsidR="00140C79" w:rsidRDefault="00606B93" w:rsidP="003E724E">
      <w:r w:rsidRPr="00DF099E">
        <w:br/>
      </w:r>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13BCE38C" w14:textId="77777777" w:rsidR="00140C79" w:rsidRDefault="00140C79" w:rsidP="003E724E"/>
    <w:p w14:paraId="433124C2" w14:textId="4A267279" w:rsidR="00140C79" w:rsidRPr="00180E58" w:rsidRDefault="00180E58" w:rsidP="00180E58">
      <w:r w:rsidRPr="006008B7">
        <w:rPr>
          <w:color w:val="0070C0"/>
        </w:rPr>
        <w:t xml:space="preserve">Response </w:t>
      </w:r>
      <w:r>
        <w:rPr>
          <w:color w:val="0070C0"/>
        </w:rPr>
        <w:t>R2-2</w:t>
      </w:r>
      <w:r w:rsidRPr="006008B7">
        <w:rPr>
          <w:color w:val="0070C0"/>
        </w:rPr>
        <w:t>:</w:t>
      </w:r>
    </w:p>
    <w:p w14:paraId="71292E67" w14:textId="231F0DAE" w:rsidR="00C92CE7" w:rsidRDefault="00140C79" w:rsidP="00140C79">
      <w:pPr>
        <w:spacing w:after="160"/>
        <w:rPr>
          <w:color w:val="0070C0"/>
          <w:lang w:val="en-US"/>
        </w:rPr>
      </w:pPr>
      <w:r w:rsidRPr="00080C02">
        <w:rPr>
          <w:color w:val="0070C0"/>
          <w:lang w:val="en-US"/>
        </w:rPr>
        <w:t xml:space="preserve">We </w:t>
      </w:r>
      <w:r w:rsidR="00C92CE7">
        <w:rPr>
          <w:color w:val="0070C0"/>
          <w:lang w:val="en-US"/>
        </w:rPr>
        <w:t>apologize for the lack of clarity</w:t>
      </w:r>
      <w:r w:rsidR="00FA44BB">
        <w:rPr>
          <w:color w:val="0070C0"/>
          <w:lang w:val="en-US"/>
        </w:rPr>
        <w:t xml:space="preserve">. We rewrote this part of the methods section, and significantly expanded on the method details. </w:t>
      </w:r>
    </w:p>
    <w:p w14:paraId="4E9A9551" w14:textId="23028F56" w:rsidR="004D2A39" w:rsidRPr="004D2A39" w:rsidRDefault="00C92CE7" w:rsidP="004D2A39">
      <w:pPr>
        <w:spacing w:after="160"/>
        <w:rPr>
          <w:color w:val="0070C0"/>
          <w:lang w:val="en-US"/>
        </w:rPr>
      </w:pPr>
      <w:r>
        <w:rPr>
          <w:color w:val="0070C0"/>
          <w:lang w:val="en-US"/>
        </w:rPr>
        <w:lastRenderedPageBreak/>
        <w:t xml:space="preserve">Briefly, </w:t>
      </w:r>
      <w:r w:rsidR="00097FCD">
        <w:rPr>
          <w:color w:val="0070C0"/>
          <w:lang w:val="en-US"/>
        </w:rPr>
        <w:t>the reviewer is correct that the beta coefficients were computed from a linear regression analysis</w:t>
      </w:r>
      <w:r w:rsidR="00097FCD" w:rsidRPr="00ED7323">
        <w:rPr>
          <w:color w:val="0070C0"/>
          <w:lang w:val="en-US"/>
        </w:rPr>
        <w:t xml:space="preserve">. </w:t>
      </w:r>
      <w:r w:rsidR="00ED7323">
        <w:rPr>
          <w:color w:val="0070C0"/>
          <w:lang w:val="en-US"/>
        </w:rPr>
        <w:t>About the confusion for “beta coefficients from an ANOVA model”: We used the term ANOVA, since ANOVA is a special form of general linear regression.</w:t>
      </w:r>
      <w:r w:rsidR="00ED7323" w:rsidRPr="00ED7323">
        <w:rPr>
          <w:color w:val="0070C0"/>
          <w:lang w:val="en-US"/>
        </w:rPr>
        <w:t xml:space="preserve"> The linear regression model was implemented using MATLAB’s anovan function, which returns both ANOVA statistics and the coefficient estimates from the underlying linear </w:t>
      </w:r>
      <w:r w:rsidR="00ED7323">
        <w:rPr>
          <w:color w:val="0070C0"/>
          <w:lang w:val="en-US"/>
        </w:rPr>
        <w:t xml:space="preserve">regression </w:t>
      </w:r>
      <w:r w:rsidR="00ED7323" w:rsidRPr="00ED7323">
        <w:rPr>
          <w:color w:val="0070C0"/>
          <w:lang w:val="en-US"/>
        </w:rPr>
        <w:t>model.</w:t>
      </w:r>
      <w:r w:rsidR="004D2A39" w:rsidRPr="004D2A39">
        <w:rPr>
          <w:color w:val="0070C0"/>
          <w:lang w:val="en-US"/>
        </w:rPr>
        <w:t xml:space="preserve"> The β coefficients reported in the manuscript are the slopes from this underlying linear model, rather than ANOVA effect sizes. </w:t>
      </w:r>
    </w:p>
    <w:p w14:paraId="147EEBD0" w14:textId="1767FFBA" w:rsidR="00FA44BB" w:rsidRPr="006E3F2D" w:rsidRDefault="00EB2A3A" w:rsidP="006E3F2D">
      <w:pPr>
        <w:spacing w:after="160"/>
        <w:rPr>
          <w:color w:val="0070C0"/>
        </w:rPr>
      </w:pPr>
      <w:r w:rsidRPr="006E3F2D">
        <w:rPr>
          <w:color w:val="0070C0"/>
        </w:rPr>
        <w:t>The reviewer is also correct that the population dimension is an axes defining a subspace of high-dimensional neural activity.</w:t>
      </w:r>
      <w:r w:rsidR="006E3F2D" w:rsidRPr="006E3F2D">
        <w:rPr>
          <w:color w:val="0070C0"/>
        </w:rPr>
        <w:t xml:space="preserve"> Please see below the modified Methods section for details.</w:t>
      </w:r>
    </w:p>
    <w:p w14:paraId="1781A309" w14:textId="75DEB017" w:rsidR="00FA44BB" w:rsidRPr="00866BA8" w:rsidRDefault="00FA44BB" w:rsidP="00866BA8">
      <w:pPr>
        <w:rPr>
          <w:color w:val="0070C0"/>
        </w:rPr>
      </w:pPr>
      <w:r w:rsidRPr="00FA44BB">
        <w:rPr>
          <w:color w:val="0070C0"/>
        </w:rPr>
        <w:t>“</w:t>
      </w:r>
      <w:r w:rsidR="00866BA8">
        <w:rPr>
          <w:color w:val="0070C0"/>
        </w:rPr>
        <w:t xml:space="preserve"> </w:t>
      </w:r>
      <w:r w:rsidRPr="00FA44BB">
        <w:rPr>
          <w:rFonts w:ascii="Times New Roman" w:eastAsia="Times New Roman" w:hAnsi="Times New Roman" w:cs="Times New Roman"/>
          <w:i/>
          <w:iCs/>
          <w:color w:val="0070C0"/>
          <w:sz w:val="24"/>
          <w:szCs w:val="24"/>
        </w:rPr>
        <w:t>Population coding dimensions</w:t>
      </w:r>
    </w:p>
    <w:p w14:paraId="63585E91"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In this analysis, we calculate the population coding dimensions for drop, delay and value. The population coding dimension is a direction, represented by a vector of weights of neurons, in the population activity space that tracks a variable of interest (drop, delay and value).  </w:t>
      </w:r>
    </w:p>
    <w:p w14:paraId="5030D9C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obtain the population coding dimension for delay and drop, for each neuron and time window of interest, we fitted a general linear model in which firing rate of the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 in time window </w:t>
      </w:r>
      <m:oMath>
        <m:r>
          <w:rPr>
            <w:rFonts w:ascii="Cambria Math" w:eastAsia="Times New Roman" w:hAnsi="Cambria Math" w:cs="Times New Roman"/>
            <w:color w:val="0070C0"/>
            <w:sz w:val="24"/>
            <w:szCs w:val="24"/>
          </w:rPr>
          <m:t>t</m:t>
        </m:r>
      </m:oMath>
      <w:r w:rsidRPr="00FA44BB">
        <w:rPr>
          <w:rFonts w:ascii="Times New Roman" w:eastAsia="Times New Roman" w:hAnsi="Times New Roman" w:cs="Times New Roman"/>
          <w:color w:val="0070C0"/>
          <w:sz w:val="24"/>
          <w:szCs w:val="24"/>
        </w:rPr>
        <w:t xml:space="preserve"> was predicted by drop and delay. Here, both drop and delay are continuous variables. </w:t>
      </w:r>
    </w:p>
    <w:p w14:paraId="7D1ED5B1" w14:textId="77777777" w:rsidR="00FA44BB" w:rsidRPr="00FA44BB" w:rsidRDefault="00000000" w:rsidP="00FA44BB">
      <w:pPr>
        <w:spacing w:after="160"/>
        <w:rPr>
          <w:color w:val="0070C0"/>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r>
            <w:rPr>
              <w:rFonts w:ascii="Cambria Math" w:hAnsi="Cambria Math"/>
              <w:color w:val="0070C0"/>
            </w:rPr>
            <m:t>⋅drop+</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r>
            <w:rPr>
              <w:rFonts w:ascii="Cambria Math" w:hAnsi="Cambria Math"/>
              <w:color w:val="0070C0"/>
            </w:rPr>
            <m:t>⋅delay+</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22F8EEEC"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Here,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oMath>
      <w:r w:rsidRPr="00FA44BB">
        <w:rPr>
          <w:rFonts w:ascii="Times New Roman" w:eastAsia="Times New Roman" w:hAnsi="Times New Roman" w:cs="Times New Roman"/>
          <w:color w:val="0070C0"/>
          <w:sz w:val="24"/>
          <w:szCs w:val="24"/>
        </w:rPr>
        <w:t xml:space="preserve"> 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’s firing rate associated with a one-unit increase in drop, holding delay constant, whereas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oMath>
      <w:r w:rsidRPr="00FA44BB">
        <w:rPr>
          <w:rFonts w:ascii="Times New Roman" w:eastAsia="Times New Roman" w:hAnsi="Times New Roman" w:cs="Times New Roman"/>
          <w:color w:val="0070C0"/>
        </w:rPr>
        <w:t xml:space="preserve"> </w:t>
      </w:r>
      <w:r w:rsidRPr="00FA44BB">
        <w:rPr>
          <w:rFonts w:ascii="Times New Roman" w:eastAsia="Times New Roman" w:hAnsi="Times New Roman" w:cs="Times New Roman"/>
          <w:color w:val="0070C0"/>
          <w:sz w:val="24"/>
          <w:szCs w:val="24"/>
        </w:rPr>
        <w:t xml:space="preserve">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’s firing rate associated with a one-unit increase in delay, holding drop constant.</w:t>
      </w:r>
    </w:p>
    <w:p w14:paraId="42F2A4E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construct population coding axes, we concatenate the coefficients for a given predictor, e.g. </w:t>
      </w:r>
      <m:oMath>
        <m:sSubSup>
          <m:sSubSupPr>
            <m:ctrlPr>
              <w:rPr>
                <w:rFonts w:ascii="Cambria Math" w:eastAsia="Times New Roman" w:hAnsi="Cambria Math" w:cs="Times New Roman"/>
                <w:i/>
                <w:color w:val="0070C0"/>
                <w:sz w:val="24"/>
                <w:szCs w:val="24"/>
              </w:rPr>
            </m:ctrlPr>
          </m:sSubSupPr>
          <m:e>
            <m:r>
              <w:rPr>
                <w:rFonts w:ascii="Cambria Math" w:eastAsia="Times New Roman" w:hAnsi="Cambria Math" w:cs="Times New Roman"/>
                <w:color w:val="0070C0"/>
                <w:sz w:val="24"/>
                <w:szCs w:val="24"/>
              </w:rPr>
              <m:t>β</m:t>
            </m:r>
          </m:e>
          <m:sub>
            <m:r>
              <w:rPr>
                <w:rFonts w:ascii="Cambria Math" w:eastAsia="Times New Roman" w:hAnsi="Cambria Math" w:cs="Times New Roman"/>
                <w:color w:val="0070C0"/>
                <w:sz w:val="24"/>
                <w:szCs w:val="24"/>
              </w:rPr>
              <m:t>i</m:t>
            </m:r>
          </m:sub>
          <m:sup>
            <m:r>
              <m:rPr>
                <m:nor/>
              </m:rPr>
              <w:rPr>
                <w:rFonts w:ascii="Cambria Math" w:eastAsia="Times New Roman" w:hAnsi="Cambria Math" w:cs="Times New Roman"/>
                <w:color w:val="0070C0"/>
                <w:sz w:val="24"/>
                <w:szCs w:val="24"/>
              </w:rPr>
              <m:t>drop</m:t>
            </m:r>
          </m:sup>
        </m:sSubSup>
      </m:oMath>
      <w:r w:rsidRPr="00FA44BB">
        <w:rPr>
          <w:rFonts w:ascii="Times New Roman" w:eastAsia="Times New Roman" w:hAnsi="Times New Roman" w:cs="Times New Roman"/>
          <w:color w:val="0070C0"/>
          <w:sz w:val="24"/>
          <w:szCs w:val="24"/>
        </w:rPr>
        <w:t>, across neurons into a population vector,</w:t>
      </w:r>
    </w:p>
    <w:p w14:paraId="71AC4113" w14:textId="77777777" w:rsidR="00FA44BB" w:rsidRPr="00FA44BB" w:rsidRDefault="00000000" w:rsidP="00FA44BB">
      <w:pPr>
        <w:spacing w:after="160"/>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drop</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drop</m:t>
                      </m:r>
                    </m:sup>
                  </m:sSubSup>
                </m:e>
              </m:d>
            </m:e>
            <m:sup>
              <m:r>
                <w:rPr>
                  <w:rFonts w:ascii="Cambria Math" w:eastAsia="Times New Roman" w:hAnsi="Cambria Math" w:cs="Times New Roman"/>
                  <w:color w:val="0070C0"/>
                  <w:sz w:val="24"/>
                  <w:szCs w:val="24"/>
                </w:rPr>
                <m:t>T</m:t>
              </m:r>
            </m:sup>
          </m:sSup>
        </m:oMath>
      </m:oMathPara>
    </w:p>
    <w:p w14:paraId="784960F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and constructed an analogous vector for delay </w:t>
      </w:r>
      <w:r w:rsidRPr="00FA44BB">
        <w:rPr>
          <w:rFonts w:ascii="Cambria Math" w:eastAsia="Times New Roman" w:hAnsi="Cambria Math" w:cs="Times New Roman"/>
          <w:i/>
          <w:color w:val="0070C0"/>
          <w:sz w:val="24"/>
          <w:szCs w:val="24"/>
        </w:rPr>
        <w:br/>
      </w: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delay</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delay</m:t>
                      </m:r>
                    </m:sup>
                  </m:sSubSup>
                </m:e>
              </m:d>
            </m:e>
            <m:sup>
              <m:r>
                <w:rPr>
                  <w:rFonts w:ascii="Cambria Math" w:eastAsia="Times New Roman" w:hAnsi="Cambria Math" w:cs="Times New Roman"/>
                  <w:color w:val="0070C0"/>
                  <w:sz w:val="24"/>
                  <w:szCs w:val="24"/>
                </w:rPr>
                <m:t>T</m:t>
              </m:r>
            </m:sup>
          </m:sSup>
        </m:oMath>
      </m:oMathPara>
    </w:p>
    <w:p w14:paraId="321A200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These vectors define one-dimensional encoding axes in the N-dimensional neural activity space. Their elements are the contributions, or tuning weights, of individual neurons. Because neurons were pooled across recording sessions, these axes were constructed in pseudo-population space.</w:t>
      </w:r>
    </w:p>
    <w:p w14:paraId="2F4B71DA" w14:textId="77777777" w:rsidR="00FA44BB" w:rsidRPr="00FA44BB" w:rsidRDefault="00FA44BB" w:rsidP="00FA44BB">
      <w:pPr>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compare the similarity of coding dimensions, we computed the cosine similarity, </w:t>
      </w:r>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oMath>
      <w:r w:rsidRPr="00FA44BB">
        <w:rPr>
          <w:rFonts w:ascii="Times New Roman" w:eastAsia="Times New Roman" w:hAnsi="Times New Roman" w:cs="Times New Roman"/>
          <w:color w:val="0070C0"/>
          <w:sz w:val="24"/>
          <w:szCs w:val="24"/>
        </w:rPr>
        <w:t xml:space="preserve"> between the population vectors. </w:t>
      </w:r>
    </w:p>
    <w:p w14:paraId="7C5B92B5" w14:textId="77777777" w:rsidR="00FA44BB" w:rsidRPr="00EB2A3A" w:rsidRDefault="00FA44BB" w:rsidP="00FA44BB">
      <w:pPr>
        <w:rPr>
          <w:rFonts w:ascii="Times New Roman" w:eastAsia="Times New Roman" w:hAnsi="Times New Roman" w:cs="Times New Roman"/>
          <w:color w:val="0070C0"/>
          <w:sz w:val="24"/>
          <w:szCs w:val="24"/>
        </w:rPr>
      </w:pPr>
      <m:oMathPara>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 xml:space="preserve">= </m:t>
          </m:r>
          <m:f>
            <m:fPr>
              <m:ctrlPr>
                <w:rPr>
                  <w:rFonts w:ascii="Cambria Math" w:eastAsia="Times New Roman" w:hAnsi="Cambria Math" w:cs="Times New Roman"/>
                  <w:i/>
                  <w:color w:val="0070C0"/>
                  <w:sz w:val="24"/>
                  <w:szCs w:val="24"/>
                </w:rPr>
              </m:ctrlPr>
            </m:fPr>
            <m:num>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num>
            <m:den>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den>
          </m:f>
        </m:oMath>
      </m:oMathPara>
    </w:p>
    <w:p w14:paraId="3F486800" w14:textId="77777777" w:rsidR="00EB2A3A" w:rsidRPr="00EB2A3A" w:rsidRDefault="00EB2A3A" w:rsidP="00EB2A3A">
      <w:pPr>
        <w:rPr>
          <w:rFonts w:ascii="Times New Roman" w:eastAsia="Times New Roman" w:hAnsi="Times New Roman" w:cs="Times New Roman"/>
          <w:color w:val="0070C0"/>
          <w:sz w:val="24"/>
          <w:szCs w:val="24"/>
        </w:rPr>
      </w:pPr>
      <w:r w:rsidRPr="00EB2A3A">
        <w:rPr>
          <w:rFonts w:ascii="Times New Roman" w:eastAsia="Times New Roman" w:hAnsi="Times New Roman" w:cs="Times New Roman"/>
          <w:color w:val="0070C0"/>
          <w:sz w:val="24"/>
          <w:szCs w:val="24"/>
        </w:rPr>
        <w:t>This measure reflects the geometric angle between the regression-derived axes in neural population space.</w:t>
      </w:r>
    </w:p>
    <w:p w14:paraId="64C045F3" w14:textId="77777777" w:rsidR="00EB2A3A" w:rsidRPr="00FA44BB" w:rsidRDefault="00EB2A3A" w:rsidP="00FA44BB">
      <w:pPr>
        <w:rPr>
          <w:rFonts w:ascii="Times New Roman" w:eastAsia="Times New Roman" w:hAnsi="Times New Roman" w:cs="Times New Roman"/>
          <w:color w:val="0070C0"/>
          <w:sz w:val="24"/>
          <w:szCs w:val="24"/>
        </w:rPr>
      </w:pPr>
    </w:p>
    <w:p w14:paraId="601813C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Since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oMath>
      <w:r w:rsidRPr="00FA44B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oMath>
      <w:r w:rsidRPr="00FA44BB">
        <w:rPr>
          <w:rFonts w:ascii="Times New Roman" w:eastAsia="Times New Roman" w:hAnsi="Times New Roman" w:cs="Times New Roman"/>
          <w:color w:val="0070C0"/>
          <w:sz w:val="24"/>
          <w:szCs w:val="24"/>
        </w:rPr>
        <w:t xml:space="preserve">are obtained from the same regression, to exclude the possibility that the coding dimension similarity between them is an artifact of the fitting process, we adopted a cross-validated cosine similarity metric instead. To do this, we split the data into two halves, and repeated the regression separately on the two halves, and then computed the similarity between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1, and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2, and vice versa. </w:t>
      </w:r>
    </w:p>
    <w:p w14:paraId="16BB9409" w14:textId="77777777" w:rsidR="00FA44BB" w:rsidRPr="00FA44BB" w:rsidRDefault="00FA44BB" w:rsidP="00FA44BB">
      <w:pPr>
        <w:spacing w:after="160"/>
        <w:rPr>
          <w:b/>
          <w:bCs/>
          <w:color w:val="0070C0"/>
        </w:rPr>
      </w:pPr>
      <m:oMathPara>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r>
            <w:rPr>
              <w:rFonts w:ascii="Cambria Math" w:eastAsia="Times New Roman" w:hAnsi="Cambria Math" w:cs="Times New Roman"/>
              <w:color w:val="0070C0"/>
              <w:sz w:val="24"/>
              <w:szCs w:val="24"/>
            </w:rPr>
            <m:t>=</m:t>
          </m:r>
          <m:f>
            <m:fPr>
              <m:ctrlPr>
                <w:rPr>
                  <w:rFonts w:ascii="Cambria Math" w:hAnsi="Cambria Math"/>
                  <w:color w:val="0070C0"/>
                </w:rPr>
              </m:ctrlPr>
            </m:fPr>
            <m:num>
              <m:r>
                <w:rPr>
                  <w:rFonts w:ascii="Cambria Math" w:hAnsi="Cambria Math"/>
                  <w:color w:val="0070C0"/>
                </w:rPr>
                <m:t>1</m:t>
              </m:r>
            </m:num>
            <m:den>
              <m:r>
                <w:rPr>
                  <w:rFonts w:ascii="Cambria Math" w:hAnsi="Cambria Math"/>
                  <w:color w:val="0070C0"/>
                </w:rPr>
                <m:t>2</m:t>
              </m:r>
            </m:den>
          </m:f>
          <m:d>
            <m:dPr>
              <m:begChr m:val="["/>
              <m:endChr m:val="]"/>
              <m:ctrlPr>
                <w:rPr>
                  <w:rFonts w:ascii="Cambria Math" w:hAnsi="Cambria Math"/>
                  <w:color w:val="0070C0"/>
                </w:rPr>
              </m:ctrlPr>
            </m:dPr>
            <m:e>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e>
              </m:d>
              <m:r>
                <w:rPr>
                  <w:rFonts w:ascii="Cambria Math" w:hAnsi="Cambria Math"/>
                  <w:color w:val="0070C0"/>
                </w:rPr>
                <m:t>+</m:t>
              </m:r>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e>
              </m:d>
            </m:e>
          </m:d>
        </m:oMath>
      </m:oMathPara>
    </w:p>
    <w:p w14:paraId="352ACF7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by repeating the shuffling 10000 times and computing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for the shuffled data. </w:t>
      </w:r>
    </w:p>
    <w:p w14:paraId="46662342" w14:textId="77777777" w:rsidR="00FA44BB" w:rsidRPr="00FA44BB" w:rsidRDefault="00FA44BB" w:rsidP="00FA44BB">
      <w:pPr>
        <w:spacing w:after="160"/>
        <w:rPr>
          <w:rFonts w:ascii="Times New Roman" w:eastAsia="Times New Roman" w:hAnsi="Times New Roman" w:cs="Times New Roman"/>
          <w:color w:val="0070C0"/>
          <w:sz w:val="24"/>
          <w:szCs w:val="24"/>
        </w:rPr>
      </w:pPr>
    </w:p>
    <w:p w14:paraId="57636DB2" w14:textId="77777777" w:rsidR="00FA44BB" w:rsidRPr="00FA44BB" w:rsidRDefault="00FA44BB" w:rsidP="00FA44BB">
      <w:pPr>
        <w:spacing w:after="160"/>
        <w:rPr>
          <w:rFonts w:ascii="Times New Roman" w:eastAsia="Times New Roman" w:hAnsi="Times New Roman" w:cs="Times New Roman"/>
          <w:color w:val="0070C0"/>
          <w:sz w:val="24"/>
          <w:szCs w:val="24"/>
          <w:lang w:val="en-US"/>
        </w:rPr>
      </w:pPr>
      <w:r w:rsidRPr="00FA44BB">
        <w:rPr>
          <w:rFonts w:ascii="Times New Roman" w:eastAsia="Times New Roman" w:hAnsi="Times New Roman" w:cs="Times New Roman"/>
          <w:color w:val="0070C0"/>
          <w:sz w:val="24"/>
          <w:szCs w:val="24"/>
        </w:rPr>
        <w:t xml:space="preserve">We used a similar approach for defining the population coding dimension for discounted value. </w:t>
      </w:r>
      <w:r w:rsidRPr="00FA44BB">
        <w:rPr>
          <w:rFonts w:ascii="Times New Roman" w:eastAsia="Times New Roman" w:hAnsi="Times New Roman" w:cs="Times New Roman"/>
          <w:color w:val="0070C0"/>
          <w:sz w:val="24"/>
          <w:szCs w:val="24"/>
          <w:lang w:val="en-US"/>
        </w:rPr>
        <w:t xml:space="preserve">A separate regression was carried out with DV as the predictor. </w:t>
      </w:r>
    </w:p>
    <w:p w14:paraId="1C7433E3" w14:textId="77777777" w:rsidR="00FA44BB" w:rsidRPr="00FA44BB" w:rsidRDefault="00000000" w:rsidP="00FA44BB">
      <w:pPr>
        <w:spacing w:after="160"/>
        <w:jc w:val="center"/>
        <w:rPr>
          <w:rFonts w:ascii="Times New Roman" w:eastAsia="Times New Roman" w:hAnsi="Times New Roman" w:cs="Times New Roman"/>
          <w:color w:val="0070C0"/>
          <w:sz w:val="24"/>
          <w:szCs w:val="24"/>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value</m:t>
              </m:r>
            </m:sup>
          </m:sSubSup>
          <m:r>
            <w:rPr>
              <w:rFonts w:ascii="Cambria Math" w:hAnsi="Cambria Math"/>
              <w:color w:val="0070C0"/>
            </w:rPr>
            <m:t>⋅DV+</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352E2819" w14:textId="7B16627B" w:rsidR="00397720" w:rsidRPr="00866BA8" w:rsidRDefault="00FA44BB" w:rsidP="00866BA8">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Population coding dimensions for drop and delay were computed for [-250 0], [0 250], [250 500], [500 750], [750 1000] ms time windows, relative to the offer onset. We also computed it for [-250 0] ms before the go signal. Population coding dimension for value was computed at [-250 0] ms before the go signal. </w:t>
      </w:r>
      <w:r w:rsidRPr="00FA44BB">
        <w:rPr>
          <w:color w:val="0070C0"/>
        </w:rPr>
        <w:t>”</w:t>
      </w:r>
      <w:r w:rsidR="00606B93" w:rsidRPr="00DF099E">
        <w:br/>
      </w:r>
      <w:r w:rsidR="00606B93" w:rsidRPr="00DF099E">
        <w:br/>
        <w:t>3. Clarification of the analysis relating go-signal modulation to recalculated discounted value</w:t>
      </w:r>
      <w:r w:rsidR="00606B93" w:rsidRPr="00DF099E">
        <w:br/>
        <w:t>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00606B93" w:rsidRPr="00DF099E">
        <w:br/>
        <w:t>First, in the figure corresponding to this analysis, the authors correlate "inferred time" with reward and delay modulation. However, the manuscript does not clearly describe what "inferred time" measures or how it was estimated. Providing a more explicit definition of this variable would help readers interpret the analysis.</w:t>
      </w:r>
    </w:p>
    <w:p w14:paraId="551947FA" w14:textId="77777777" w:rsidR="00397720" w:rsidRDefault="00397720" w:rsidP="00397720">
      <w:pPr>
        <w:rPr>
          <w:color w:val="0070C0"/>
        </w:rPr>
      </w:pPr>
    </w:p>
    <w:p w14:paraId="086AB5F7" w14:textId="462134EA" w:rsidR="00BD2C06" w:rsidRDefault="00397720" w:rsidP="00397720">
      <w:pPr>
        <w:rPr>
          <w:color w:val="0070C0"/>
        </w:rPr>
      </w:pPr>
      <w:r w:rsidRPr="006008B7">
        <w:rPr>
          <w:color w:val="0070C0"/>
        </w:rPr>
        <w:t xml:space="preserve">Response </w:t>
      </w:r>
      <w:r>
        <w:rPr>
          <w:color w:val="0070C0"/>
        </w:rPr>
        <w:t>R2-3.1</w:t>
      </w:r>
      <w:r w:rsidRPr="006008B7">
        <w:rPr>
          <w:color w:val="0070C0"/>
        </w:rPr>
        <w:t>:</w:t>
      </w:r>
      <w:r w:rsidR="00BD6682">
        <w:rPr>
          <w:color w:val="0070C0"/>
        </w:rPr>
        <w:t xml:space="preserve"> </w:t>
      </w:r>
      <w:r w:rsidR="00BD2C06">
        <w:rPr>
          <w:color w:val="0070C0"/>
        </w:rPr>
        <w:t xml:space="preserve">First, we actually abandoned this analysis and adopted a simpler and better analysis, following the reviewer’s suggestion, in Response R2-3.2. This figure has been removed from the paper and replaced by the figure in Response R2-3.2. </w:t>
      </w:r>
    </w:p>
    <w:p w14:paraId="7673FBC3" w14:textId="77777777" w:rsidR="00BD2C06" w:rsidRDefault="00BD2C06" w:rsidP="00397720">
      <w:pPr>
        <w:rPr>
          <w:color w:val="0070C0"/>
        </w:rPr>
      </w:pPr>
    </w:p>
    <w:p w14:paraId="46C5251E" w14:textId="41045882" w:rsidR="00397720" w:rsidRPr="00180E58" w:rsidRDefault="00C3345D" w:rsidP="00397720">
      <w:r>
        <w:rPr>
          <w:color w:val="0070C0"/>
        </w:rPr>
        <w:t xml:space="preserve">We apologize for the confusion. </w:t>
      </w:r>
      <w:r w:rsidR="00BD2C06">
        <w:rPr>
          <w:color w:val="0070C0"/>
        </w:rPr>
        <w:t>It was actually a mistake on our end, and t</w:t>
      </w:r>
      <w:r>
        <w:rPr>
          <w:color w:val="0070C0"/>
        </w:rPr>
        <w:t xml:space="preserve">he “inferred time” was an incorrect label. The correct label should be “Y/P coding dimension”. </w:t>
      </w:r>
      <w:r w:rsidR="00BD2C06">
        <w:rPr>
          <w:color w:val="0070C0"/>
        </w:rPr>
        <w:t xml:space="preserve">We performed a separate regression analysis, and extracted the coding dimension for the go signal (yellow </w:t>
      </w:r>
      <w:r w:rsidR="00BD2C06">
        <w:rPr>
          <w:color w:val="0070C0"/>
        </w:rPr>
        <w:lastRenderedPageBreak/>
        <w:t>versus purple). T</w:t>
      </w:r>
      <w:r w:rsidR="001E0BAD">
        <w:rPr>
          <w:color w:val="0070C0"/>
        </w:rPr>
        <w:t>he intention of the figure was to show that in Monkey S (and not Monkey T), the coding dimension for yellow vs purple aligns with the drop/delay coding dimension, at 0-250ms after the go signal.</w:t>
      </w:r>
      <w:r w:rsidR="00BD2C06">
        <w:rPr>
          <w:color w:val="0070C0"/>
        </w:rPr>
        <w:t xml:space="preserve"> </w:t>
      </w:r>
      <w:r w:rsidR="00630B20">
        <w:rPr>
          <w:color w:val="0070C0"/>
        </w:rPr>
        <w:t xml:space="preserve">However, as the reviewer pointed out, this analysis was indirect. </w:t>
      </w:r>
      <w:r w:rsidR="00BD2C06">
        <w:rPr>
          <w:color w:val="0070C0"/>
        </w:rPr>
        <w:t xml:space="preserve">Now, </w:t>
      </w:r>
      <w:r w:rsidR="00630B20">
        <w:rPr>
          <w:color w:val="0070C0"/>
        </w:rPr>
        <w:t xml:space="preserve">we adopt a simpler and more direct analysis, to assess how the go signal modifies population encoding of value, by directly plotting the </w:t>
      </w:r>
      <w:r w:rsidR="00BD2C06">
        <w:rPr>
          <w:color w:val="0070C0"/>
        </w:rPr>
        <w:t xml:space="preserve">population activity </w:t>
      </w:r>
      <w:r w:rsidR="00630B20">
        <w:rPr>
          <w:color w:val="0070C0"/>
        </w:rPr>
        <w:t xml:space="preserve">changes </w:t>
      </w:r>
      <w:r w:rsidR="00BD2C06">
        <w:rPr>
          <w:color w:val="0070C0"/>
        </w:rPr>
        <w:t xml:space="preserve">along the value dimension </w:t>
      </w:r>
      <w:r w:rsidR="00630B20">
        <w:rPr>
          <w:color w:val="0070C0"/>
        </w:rPr>
        <w:t>before and after the go signal</w:t>
      </w:r>
      <w:r w:rsidR="00BD2C06">
        <w:rPr>
          <w:color w:val="0070C0"/>
        </w:rPr>
        <w:t xml:space="preserve">. </w:t>
      </w:r>
    </w:p>
    <w:p w14:paraId="57FFFEBA" w14:textId="77777777" w:rsidR="00397720" w:rsidRDefault="00606B93" w:rsidP="003E724E">
      <w:r w:rsidRPr="00DF099E">
        <w:b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dlPFC neurons exhibit little modulation by the go signal itself. Given this, it is difficult to understand how go-signal-related neural modulation was analyzed in relation to the proposed recalculated discounted value.</w:t>
      </w:r>
      <w:r w:rsidRPr="00DF099E">
        <w:br/>
        <w:t>If the authors' interpretation is that dlPFC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201862D6" w14:textId="77777777" w:rsidR="00397720" w:rsidRDefault="00397720" w:rsidP="003E724E"/>
    <w:p w14:paraId="0655C7CA" w14:textId="79E7A573" w:rsidR="00976B2C" w:rsidRDefault="00397720" w:rsidP="00397720">
      <w:pPr>
        <w:rPr>
          <w:color w:val="0070C0"/>
        </w:rPr>
      </w:pPr>
      <w:r w:rsidRPr="006008B7">
        <w:rPr>
          <w:color w:val="0070C0"/>
        </w:rPr>
        <w:t xml:space="preserve">Response </w:t>
      </w:r>
      <w:r>
        <w:rPr>
          <w:color w:val="0070C0"/>
        </w:rPr>
        <w:t>R2-3.2</w:t>
      </w:r>
      <w:r w:rsidRPr="006008B7">
        <w:rPr>
          <w:color w:val="0070C0"/>
        </w:rPr>
        <w:t>:</w:t>
      </w:r>
      <w:r w:rsidR="001A2E0A">
        <w:rPr>
          <w:color w:val="0070C0"/>
        </w:rPr>
        <w:t xml:space="preserve"> We thank the reviewer for the great suggestion. </w:t>
      </w:r>
    </w:p>
    <w:p w14:paraId="219BD80F" w14:textId="71E1573D" w:rsidR="00976B2C" w:rsidRDefault="00976B2C" w:rsidP="00397720">
      <w:pPr>
        <w:rPr>
          <w:color w:val="0070C0"/>
        </w:rPr>
      </w:pPr>
    </w:p>
    <w:p w14:paraId="6CBFD7DB" w14:textId="22C14DEC" w:rsidR="00976B2C" w:rsidRDefault="00976B2C" w:rsidP="00397720">
      <w:pPr>
        <w:rPr>
          <w:color w:val="0070C0"/>
        </w:rPr>
      </w:pPr>
      <w:r>
        <w:rPr>
          <w:color w:val="0070C0"/>
        </w:rPr>
        <w:t>Before we dive into the new analysis, we want to briefly clarify Figures S1 and S2. The ANOVA in Figure S1/S2 were carried out at</w:t>
      </w:r>
      <w:r w:rsidR="001B6E82">
        <w:rPr>
          <w:color w:val="0070C0"/>
        </w:rPr>
        <w:t xml:space="preserve"> [-500 1000]ms around</w:t>
      </w:r>
      <w:r>
        <w:rPr>
          <w:color w:val="0070C0"/>
        </w:rPr>
        <w:t xml:space="preserve"> the offer onset, and not around the go signal. So those figures did not </w:t>
      </w:r>
      <w:r w:rsidR="00F348AB">
        <w:rPr>
          <w:color w:val="0070C0"/>
        </w:rPr>
        <w:t>provide information on</w:t>
      </w:r>
      <w:r>
        <w:rPr>
          <w:color w:val="0070C0"/>
        </w:rPr>
        <w:t xml:space="preserve"> whether dlPFC neurons are modulated by the go signal itself. </w:t>
      </w:r>
    </w:p>
    <w:p w14:paraId="46891C48" w14:textId="77777777" w:rsidR="00976B2C" w:rsidRDefault="00976B2C" w:rsidP="00397720">
      <w:pPr>
        <w:rPr>
          <w:color w:val="0070C0"/>
        </w:rPr>
      </w:pPr>
    </w:p>
    <w:p w14:paraId="62946057" w14:textId="154CD41B" w:rsidR="00397720" w:rsidRDefault="00483E7A" w:rsidP="00397720">
      <w:pPr>
        <w:rPr>
          <w:color w:val="0070C0"/>
        </w:rPr>
      </w:pPr>
      <w:r>
        <w:rPr>
          <w:color w:val="0070C0"/>
        </w:rPr>
        <w:t>To assess the effect of the go signal on dlPFC neural activity, w</w:t>
      </w:r>
      <w:r w:rsidR="00A30810">
        <w:rPr>
          <w:color w:val="0070C0"/>
        </w:rPr>
        <w:t xml:space="preserve">e computed the population coding dimension of value </w:t>
      </w:r>
      <w:r w:rsidR="00976B2C">
        <w:rPr>
          <w:color w:val="0070C0"/>
        </w:rPr>
        <w:t>based on the -250 to 0ms time window</w:t>
      </w:r>
      <w:r w:rsidR="00A30810">
        <w:rPr>
          <w:color w:val="0070C0"/>
        </w:rPr>
        <w:t xml:space="preserve"> before the go signal</w:t>
      </w:r>
      <w:r w:rsidR="009648A4">
        <w:rPr>
          <w:color w:val="0070C0"/>
        </w:rPr>
        <w:t xml:space="preserve">, projected the population activity from a pseudo population onto the value dimension, and </w:t>
      </w:r>
      <w:r w:rsidR="00976B2C">
        <w:rPr>
          <w:color w:val="0070C0"/>
        </w:rPr>
        <w:t>asked</w:t>
      </w:r>
      <w:r w:rsidR="009648A4">
        <w:rPr>
          <w:color w:val="0070C0"/>
        </w:rPr>
        <w:t xml:space="preserve"> how the population activity evolves on the value dimension </w:t>
      </w:r>
      <w:r w:rsidR="0039023B">
        <w:rPr>
          <w:color w:val="0070C0"/>
        </w:rPr>
        <w:t>from the pre-go-signal to post-go-signal period.</w:t>
      </w:r>
      <w:r w:rsidR="009648A4">
        <w:rPr>
          <w:color w:val="0070C0"/>
        </w:rPr>
        <w:t xml:space="preserve"> </w:t>
      </w:r>
    </w:p>
    <w:p w14:paraId="09D0BF88" w14:textId="77777777" w:rsidR="00483E7A" w:rsidRDefault="00483E7A" w:rsidP="00397720">
      <w:pPr>
        <w:rPr>
          <w:color w:val="0070C0"/>
        </w:rPr>
      </w:pPr>
    </w:p>
    <w:p w14:paraId="157A2FA8" w14:textId="24CCF9E7" w:rsidR="00DD6294" w:rsidRPr="00DF099E" w:rsidRDefault="00606B93" w:rsidP="003E724E">
      <w:r w:rsidRPr="00DF099E">
        <w:br/>
        <w:t>4. Relating individual differences in neural modulation to behavioral strategy</w:t>
      </w:r>
      <w:r w:rsidRPr="00DF099E">
        <w:br/>
        <w:t xml:space="preserve">The authors report that the two monkeys may have used different behavioral strategies and also describe individual differences in several aspects of neural modulation. </w:t>
      </w:r>
      <w:r w:rsidRPr="00866BA8">
        <w:rPr>
          <w:b/>
          <w:bCs/>
        </w:rPr>
        <w:t>It would be helpful if the authors could further discuss how these individual differences in neural activity might relate to the observed differences in decision strategy.</w:t>
      </w:r>
      <w:r w:rsidRPr="00DF099E">
        <w:t xml:space="preserve"> For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10A71A6" w14:textId="77777777" w:rsidR="00606B93" w:rsidRDefault="00606B93" w:rsidP="003E724E">
      <w:pPr>
        <w:rPr>
          <w:color w:val="0070C0"/>
        </w:rPr>
      </w:pPr>
    </w:p>
    <w:p w14:paraId="472B0072" w14:textId="77777777" w:rsidR="00DD6294" w:rsidRDefault="00DD6294" w:rsidP="004A0E6E">
      <w:pPr>
        <w:rPr>
          <w:color w:val="0070C0"/>
        </w:rPr>
      </w:pPr>
      <w:r>
        <w:rPr>
          <w:color w:val="0070C0"/>
        </w:rPr>
        <w:t>Response R2-4:</w:t>
      </w:r>
    </w:p>
    <w:p w14:paraId="623135B6" w14:textId="344B488C" w:rsidR="003E724E" w:rsidRPr="003E724E" w:rsidRDefault="003E724E" w:rsidP="004A0E6E">
      <w:pPr>
        <w:rPr>
          <w:color w:val="0070C0"/>
        </w:rPr>
      </w:pPr>
      <w:r>
        <w:rPr>
          <w:color w:val="0070C0"/>
        </w:rPr>
        <w:t>We thank the reviewer for carefully reviewing our manuscript.</w:t>
      </w:r>
      <w:r w:rsidR="00560F8B">
        <w:rPr>
          <w:color w:val="0070C0"/>
        </w:rPr>
        <w:t xml:space="preserve"> We have substantially modified the methods section of the paper, to improve clarity in both the behavioral modeling, and population-based neural analysis. </w:t>
      </w:r>
    </w:p>
    <w:p w14:paraId="4B9A0B15" w14:textId="4AF81538" w:rsidR="00BB0A2C" w:rsidRPr="00D107FE" w:rsidRDefault="004A0E6E" w:rsidP="006400C8">
      <w:pPr>
        <w:rPr>
          <w:color w:val="0070C0"/>
        </w:rPr>
      </w:pPr>
      <w:r w:rsidRPr="009D215E">
        <w:br/>
      </w:r>
    </w:p>
    <w:p w14:paraId="00000039" w14:textId="32ECF77F" w:rsidR="00610AF9" w:rsidRDefault="00000000">
      <w:pPr>
        <w:spacing w:after="160"/>
        <w:rPr>
          <w:color w:val="EE0000"/>
        </w:rPr>
      </w:pPr>
      <w:r>
        <w:rPr>
          <w:color w:val="EE0000"/>
        </w:rPr>
        <w:br/>
      </w:r>
    </w:p>
    <w:p w14:paraId="6E6BDAEB" w14:textId="77777777" w:rsidR="001648D9" w:rsidRDefault="001648D9">
      <w:pPr>
        <w:spacing w:after="160"/>
        <w:rPr>
          <w:b/>
          <w:bCs/>
        </w:rPr>
      </w:pPr>
    </w:p>
    <w:p w14:paraId="0000003F" w14:textId="77777777" w:rsidR="00610AF9" w:rsidRDefault="00610AF9">
      <w:pPr>
        <w:spacing w:after="160"/>
      </w:pPr>
    </w:p>
    <w:p w14:paraId="6AB3A26E" w14:textId="77777777" w:rsidR="00DB1FA6" w:rsidRDefault="00DB1FA6">
      <w:pPr>
        <w:spacing w:after="160"/>
        <w:rPr>
          <w:color w:val="0070C0"/>
        </w:rPr>
      </w:pPr>
    </w:p>
    <w:p w14:paraId="2DC05972" w14:textId="77777777" w:rsidR="00DB1FA6" w:rsidRDefault="00DB1FA6">
      <w:pPr>
        <w:spacing w:after="160"/>
        <w:rPr>
          <w:color w:val="0070C0"/>
        </w:rPr>
      </w:pPr>
      <w:r>
        <w:rPr>
          <w:color w:val="0070C0"/>
        </w:rPr>
        <w:t>% Monkey T purple bias</w:t>
      </w:r>
    </w:p>
    <w:p w14:paraId="00000042" w14:textId="37A2030C" w:rsidR="00610AF9" w:rsidRDefault="00DB1FA6">
      <w:pPr>
        <w:spacing w:after="160"/>
        <w:rPr>
          <w:b/>
          <w:bCs/>
        </w:rPr>
      </w:pPr>
      <w:r>
        <w:rPr>
          <w:color w:val="0070C0"/>
        </w:rPr>
        <w:t>% rotating axis causes yellow/purple to evolve together</w:t>
      </w:r>
      <w:r>
        <w:rPr>
          <w:color w:val="0070C0"/>
        </w:rPr>
        <w:br/>
      </w:r>
    </w:p>
    <w:p w14:paraId="00000043" w14:textId="77777777" w:rsidR="00610AF9" w:rsidRDefault="00000000">
      <w:pPr>
        <w:spacing w:after="160"/>
        <w:rPr>
          <w:b/>
          <w:bCs/>
          <w:color w:val="0070C0"/>
        </w:rPr>
      </w:pPr>
      <w:r>
        <w:rPr>
          <w:b/>
          <w:bCs/>
          <w:color w:val="0070C0"/>
        </w:rPr>
        <w:t>Explain the link between Model 3 and neural result Fig 6 for Monkey S and not monkey T.</w:t>
      </w:r>
    </w:p>
    <w:p w14:paraId="00000044" w14:textId="77777777" w:rsidR="00610AF9" w:rsidRDefault="00000000">
      <w:pPr>
        <w:spacing w:after="160"/>
        <w:rPr>
          <w:color w:val="EE0000"/>
        </w:rPr>
      </w:pPr>
      <w:r>
        <w:rPr>
          <w:color w:val="EE0000"/>
        </w:rPr>
        <w:t xml:space="preserve"> </w:t>
      </w:r>
    </w:p>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ssella Falcone" w:date="2026-07-30T10:32:00Z" w:initials="RF">
    <w:p w14:paraId="1D470358" w14:textId="77777777" w:rsidR="00D37686" w:rsidRDefault="00D37686" w:rsidP="00D37686">
      <w:pPr>
        <w:pStyle w:val="CommentText"/>
      </w:pPr>
      <w:r>
        <w:rPr>
          <w:rStyle w:val="CommentReference"/>
        </w:rPr>
        <w:annotationRef/>
      </w:r>
      <w:r>
        <w:rPr>
          <w:i/>
          <w:iCs/>
          <w:color w:val="FF0000"/>
          <w:lang w:val="en-US"/>
        </w:rPr>
        <w:t>These results suggest that the dlPFC neurons in Monkey S exhibited a lower prevalence in linear value coding and more heterogeneous patterns of value representation, whereas neurons in Monkey T showed a greater proportion of linear coding of offer value.</w:t>
      </w:r>
      <w:r>
        <w:rPr>
          <w:b/>
          <w:bCs/>
          <w:i/>
          <w:iCs/>
          <w:color w:val="FF0000"/>
          <w:lang w:val="en-US"/>
        </w:rPr>
        <w:t xml:space="preserve"> </w:t>
      </w:r>
    </w:p>
    <w:p w14:paraId="4857F81F" w14:textId="77777777" w:rsidR="00D37686" w:rsidRDefault="00D37686" w:rsidP="00D37686">
      <w:pPr>
        <w:pStyle w:val="CommentText"/>
      </w:pPr>
      <w:r>
        <w:rPr>
          <w:b/>
          <w:bCs/>
          <w:color w:val="FF0000"/>
          <w:lang w:val="en-US"/>
        </w:rPr>
        <w:t>We also changed the discussion. Please see lines ??-??:</w:t>
      </w:r>
    </w:p>
    <w:p w14:paraId="71D69D18" w14:textId="77777777" w:rsidR="00D37686" w:rsidRDefault="00D37686" w:rsidP="00D37686">
      <w:pPr>
        <w:pStyle w:val="CommentText"/>
      </w:pPr>
      <w:r>
        <w:rPr>
          <w:i/>
          <w:iCs/>
          <w:color w:val="FF0000"/>
          <w:lang w:val="en-US"/>
        </w:rPr>
        <w:t xml:space="preserve">Additional single-neuron and population-level analyses </w:t>
      </w:r>
      <w:r>
        <w:rPr>
          <w:i/>
          <w:iCs/>
          <w:color w:val="FF0000"/>
          <w:highlight w:val="yellow"/>
          <w:lang w:val="en-US"/>
        </w:rPr>
        <w:t>revealed</w:t>
      </w:r>
      <w:r>
        <w:rPr>
          <w:i/>
          <w:iCs/>
          <w:color w:val="FF0000"/>
          <w:lang w:val="en-US"/>
        </w:rPr>
        <w:t xml:space="preserve"> the neural differences between the animals in how dlPFC encoded reward and time. In the first analysis, we examined the linearity of value coding. In Monkey S, only 10% of the neurons </w:t>
      </w:r>
      <w:r>
        <w:rPr>
          <w:i/>
          <w:iCs/>
          <w:color w:val="FF0000"/>
          <w:highlight w:val="yellow"/>
          <w:lang w:val="en-US"/>
        </w:rPr>
        <w:t>showed linear modulation by discounted value</w:t>
      </w:r>
      <w:r>
        <w:rPr>
          <w:i/>
          <w:iCs/>
          <w:color w:val="FF0000"/>
          <w:lang w:val="en-US"/>
        </w:rPr>
        <w:t xml:space="preserve">; however, the population showed an early inverse correlation between reward magnitude and delay. Population trajectories were qualitatively entangled, suggesting that value integration was distributed across the population and involved complex nonlinear relationships with reward and delay. In contrast, in Monkey T, </w:t>
      </w:r>
      <w:r>
        <w:rPr>
          <w:i/>
          <w:iCs/>
          <w:color w:val="FF0000"/>
          <w:highlight w:val="yellow"/>
          <w:lang w:val="en-US"/>
        </w:rPr>
        <w:t>a larger proportion of neurons (&gt; 30%) showed linear value coding.</w:t>
      </w:r>
      <w:r>
        <w:rPr>
          <w:i/>
          <w:iCs/>
          <w:color w:val="FF0000"/>
          <w:lang w:val="en-US"/>
        </w:rPr>
        <w:t xml:space="preserve"> Population trajectories were qualitatively unentangled and linear, with low-dimensional population trajectories clearly separated by value.</w:t>
      </w:r>
    </w:p>
    <w:p w14:paraId="2769EEDB" w14:textId="77777777" w:rsidR="00D37686" w:rsidRDefault="00D37686" w:rsidP="00D37686">
      <w:pPr>
        <w:pStyle w:val="CommentText"/>
      </w:pPr>
      <w:r>
        <w:rPr>
          <w:i/>
          <w:iCs/>
          <w:color w:val="FF0000"/>
          <w:lang w:val="en-US"/>
        </w:rPr>
        <w:t>Although these differences may reflect distinct patterns of value coding across animals, they could also be influenced by differences in recording locations. To address this possibility, we compared linear coding across different recording arrays within Monkey S. The array most comparable to the recording region sampled in Monkey T contained only 3 linearly coding neurons out of 44 recorded neurons (~7%), which was substantially lower than the proportion observed in Monkey T. Thus, differences in recording location alone are unlikely to fully account for the higher prevalence of linear value coding observed in Monkey T. Nevertheless, this comparison is limited by the lack of precise anatomical correspondence between recording sites across animals and by the small number of linearly coding neurons in Monkey S.</w:t>
      </w:r>
      <w:r>
        <w:rPr>
          <w:lang w:val="en-US"/>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69EE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C9830F" w16cex:dateUtc="2026-07-30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69EEDB" w16cid:durableId="15C983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DEA611AB-2DC3-41CF-BFB8-F6BEC6738EFC}"/>
    <w:embedItalic r:id="rId2" w:fontKey="{AE6389A4-F06E-4926-A42F-A4A2798DFC0B}"/>
    <w:embedBoldItalic r:id="rId3" w:fontKey="{EBDBC45D-52C6-4543-A650-C9EA194F25A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392D2928-C0EA-4CD7-94BB-6CF46A7768B7}"/>
  </w:font>
  <w:font w:name="Cambria">
    <w:panose1 w:val="02040503050406030204"/>
    <w:charset w:val="00"/>
    <w:family w:val="roman"/>
    <w:pitch w:val="variable"/>
    <w:sig w:usb0="E00006FF" w:usb1="420024FF" w:usb2="02000000" w:usb3="00000000" w:csb0="0000019F" w:csb1="00000000"/>
    <w:embedRegular r:id="rId5" w:fontKey="{48C59DD5-CEF8-4A01-BB69-552A6E3CC3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3514940">
    <w:abstractNumId w:val="0"/>
  </w:num>
  <w:num w:numId="2" w16cid:durableId="578059447">
    <w:abstractNumId w:val="1"/>
  </w:num>
  <w:num w:numId="3" w16cid:durableId="5712334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200C7"/>
    <w:rsid w:val="00032A20"/>
    <w:rsid w:val="00034545"/>
    <w:rsid w:val="000605B9"/>
    <w:rsid w:val="00080C02"/>
    <w:rsid w:val="0008338A"/>
    <w:rsid w:val="000849F8"/>
    <w:rsid w:val="00097239"/>
    <w:rsid w:val="00097FCD"/>
    <w:rsid w:val="000D718E"/>
    <w:rsid w:val="000E6EFE"/>
    <w:rsid w:val="000F09E9"/>
    <w:rsid w:val="001009DD"/>
    <w:rsid w:val="00101648"/>
    <w:rsid w:val="00126E83"/>
    <w:rsid w:val="00140C79"/>
    <w:rsid w:val="00146B6E"/>
    <w:rsid w:val="0015183A"/>
    <w:rsid w:val="00157515"/>
    <w:rsid w:val="001648D9"/>
    <w:rsid w:val="00180E58"/>
    <w:rsid w:val="0018577F"/>
    <w:rsid w:val="001A2E0A"/>
    <w:rsid w:val="001A6871"/>
    <w:rsid w:val="001B0248"/>
    <w:rsid w:val="001B4A1E"/>
    <w:rsid w:val="001B6E82"/>
    <w:rsid w:val="001C7986"/>
    <w:rsid w:val="001D7C79"/>
    <w:rsid w:val="001E0BAD"/>
    <w:rsid w:val="001F4802"/>
    <w:rsid w:val="001F5DA3"/>
    <w:rsid w:val="002045D8"/>
    <w:rsid w:val="00216F8B"/>
    <w:rsid w:val="00221903"/>
    <w:rsid w:val="00223A69"/>
    <w:rsid w:val="00236D11"/>
    <w:rsid w:val="0024322E"/>
    <w:rsid w:val="002614E1"/>
    <w:rsid w:val="00261DDB"/>
    <w:rsid w:val="00284AC3"/>
    <w:rsid w:val="00297B71"/>
    <w:rsid w:val="002B7280"/>
    <w:rsid w:val="002F2FE6"/>
    <w:rsid w:val="002F310E"/>
    <w:rsid w:val="003043C8"/>
    <w:rsid w:val="00322226"/>
    <w:rsid w:val="003554E4"/>
    <w:rsid w:val="00362EB1"/>
    <w:rsid w:val="0039023B"/>
    <w:rsid w:val="00396060"/>
    <w:rsid w:val="00397720"/>
    <w:rsid w:val="003A2B5A"/>
    <w:rsid w:val="003B061F"/>
    <w:rsid w:val="003B32FF"/>
    <w:rsid w:val="003C49A2"/>
    <w:rsid w:val="003E724E"/>
    <w:rsid w:val="003E7822"/>
    <w:rsid w:val="004658E1"/>
    <w:rsid w:val="0046776B"/>
    <w:rsid w:val="004772E0"/>
    <w:rsid w:val="00480BD9"/>
    <w:rsid w:val="00483E7A"/>
    <w:rsid w:val="004853D7"/>
    <w:rsid w:val="004A0E6E"/>
    <w:rsid w:val="004D2A39"/>
    <w:rsid w:val="004D42ED"/>
    <w:rsid w:val="004D6928"/>
    <w:rsid w:val="004E7508"/>
    <w:rsid w:val="004F64F6"/>
    <w:rsid w:val="00511D22"/>
    <w:rsid w:val="005343C2"/>
    <w:rsid w:val="00535FC9"/>
    <w:rsid w:val="005441B3"/>
    <w:rsid w:val="0054664D"/>
    <w:rsid w:val="00547777"/>
    <w:rsid w:val="00560F8B"/>
    <w:rsid w:val="0056494B"/>
    <w:rsid w:val="00572051"/>
    <w:rsid w:val="00594BC8"/>
    <w:rsid w:val="005956AC"/>
    <w:rsid w:val="005B2DEE"/>
    <w:rsid w:val="006008B7"/>
    <w:rsid w:val="00605E2C"/>
    <w:rsid w:val="00606B93"/>
    <w:rsid w:val="00610AF9"/>
    <w:rsid w:val="00614642"/>
    <w:rsid w:val="0062174F"/>
    <w:rsid w:val="00624008"/>
    <w:rsid w:val="00624C30"/>
    <w:rsid w:val="00630B20"/>
    <w:rsid w:val="006400C8"/>
    <w:rsid w:val="0068781C"/>
    <w:rsid w:val="006A1233"/>
    <w:rsid w:val="006A2BE0"/>
    <w:rsid w:val="006C7F4C"/>
    <w:rsid w:val="006E3F2D"/>
    <w:rsid w:val="00715A0F"/>
    <w:rsid w:val="00716A01"/>
    <w:rsid w:val="00737368"/>
    <w:rsid w:val="0077410C"/>
    <w:rsid w:val="00780648"/>
    <w:rsid w:val="007A2088"/>
    <w:rsid w:val="007D09F1"/>
    <w:rsid w:val="007E6E0D"/>
    <w:rsid w:val="007F0894"/>
    <w:rsid w:val="007F647B"/>
    <w:rsid w:val="008006C4"/>
    <w:rsid w:val="00835B09"/>
    <w:rsid w:val="00843A8D"/>
    <w:rsid w:val="0084508A"/>
    <w:rsid w:val="00860ADB"/>
    <w:rsid w:val="00866BA8"/>
    <w:rsid w:val="0087458F"/>
    <w:rsid w:val="00877AC6"/>
    <w:rsid w:val="008841C5"/>
    <w:rsid w:val="00886BE6"/>
    <w:rsid w:val="008A4D56"/>
    <w:rsid w:val="008C429A"/>
    <w:rsid w:val="008D00E8"/>
    <w:rsid w:val="008D06D6"/>
    <w:rsid w:val="008E2751"/>
    <w:rsid w:val="008F5372"/>
    <w:rsid w:val="008F69DA"/>
    <w:rsid w:val="00921DEA"/>
    <w:rsid w:val="009264B5"/>
    <w:rsid w:val="0093138B"/>
    <w:rsid w:val="00940F58"/>
    <w:rsid w:val="0094439E"/>
    <w:rsid w:val="009648A4"/>
    <w:rsid w:val="00976B2C"/>
    <w:rsid w:val="009A540A"/>
    <w:rsid w:val="009C5E43"/>
    <w:rsid w:val="009F3863"/>
    <w:rsid w:val="00A01D26"/>
    <w:rsid w:val="00A13B25"/>
    <w:rsid w:val="00A175CE"/>
    <w:rsid w:val="00A177A5"/>
    <w:rsid w:val="00A30810"/>
    <w:rsid w:val="00A63780"/>
    <w:rsid w:val="00A63C77"/>
    <w:rsid w:val="00AA4C13"/>
    <w:rsid w:val="00AC35E6"/>
    <w:rsid w:val="00AC4E33"/>
    <w:rsid w:val="00AD4B99"/>
    <w:rsid w:val="00AE32A1"/>
    <w:rsid w:val="00AE3BB9"/>
    <w:rsid w:val="00AE77D4"/>
    <w:rsid w:val="00AF1B42"/>
    <w:rsid w:val="00AF6D8E"/>
    <w:rsid w:val="00B12E94"/>
    <w:rsid w:val="00B20DC6"/>
    <w:rsid w:val="00B2380A"/>
    <w:rsid w:val="00B25008"/>
    <w:rsid w:val="00B254DD"/>
    <w:rsid w:val="00B26149"/>
    <w:rsid w:val="00B3388C"/>
    <w:rsid w:val="00B400CF"/>
    <w:rsid w:val="00B56FDC"/>
    <w:rsid w:val="00B577B0"/>
    <w:rsid w:val="00B760A3"/>
    <w:rsid w:val="00B90115"/>
    <w:rsid w:val="00B94FCE"/>
    <w:rsid w:val="00BA6D05"/>
    <w:rsid w:val="00BB0A2C"/>
    <w:rsid w:val="00BD014D"/>
    <w:rsid w:val="00BD2C06"/>
    <w:rsid w:val="00BD6682"/>
    <w:rsid w:val="00BE0403"/>
    <w:rsid w:val="00BF6F6F"/>
    <w:rsid w:val="00C06117"/>
    <w:rsid w:val="00C20951"/>
    <w:rsid w:val="00C307FC"/>
    <w:rsid w:val="00C3345D"/>
    <w:rsid w:val="00C36E20"/>
    <w:rsid w:val="00C4599B"/>
    <w:rsid w:val="00C46D3A"/>
    <w:rsid w:val="00C46F0F"/>
    <w:rsid w:val="00C92CE7"/>
    <w:rsid w:val="00CB44D3"/>
    <w:rsid w:val="00CB476D"/>
    <w:rsid w:val="00CD38CE"/>
    <w:rsid w:val="00CE64AB"/>
    <w:rsid w:val="00CE768E"/>
    <w:rsid w:val="00CF1F41"/>
    <w:rsid w:val="00CF3608"/>
    <w:rsid w:val="00CF5110"/>
    <w:rsid w:val="00D107FE"/>
    <w:rsid w:val="00D12434"/>
    <w:rsid w:val="00D222A0"/>
    <w:rsid w:val="00D37686"/>
    <w:rsid w:val="00D474F1"/>
    <w:rsid w:val="00D47E91"/>
    <w:rsid w:val="00D675ED"/>
    <w:rsid w:val="00D8124C"/>
    <w:rsid w:val="00D8669C"/>
    <w:rsid w:val="00D915EA"/>
    <w:rsid w:val="00DA56BB"/>
    <w:rsid w:val="00DB1FA6"/>
    <w:rsid w:val="00DB41FD"/>
    <w:rsid w:val="00DD4EAE"/>
    <w:rsid w:val="00DD6294"/>
    <w:rsid w:val="00DF099E"/>
    <w:rsid w:val="00E140E7"/>
    <w:rsid w:val="00E6523E"/>
    <w:rsid w:val="00EA3303"/>
    <w:rsid w:val="00EB2A3A"/>
    <w:rsid w:val="00EB5EB1"/>
    <w:rsid w:val="00ED7323"/>
    <w:rsid w:val="00EE3EA7"/>
    <w:rsid w:val="00EE724B"/>
    <w:rsid w:val="00F1439E"/>
    <w:rsid w:val="00F25741"/>
    <w:rsid w:val="00F30135"/>
    <w:rsid w:val="00F30799"/>
    <w:rsid w:val="00F348AB"/>
    <w:rsid w:val="00F45033"/>
    <w:rsid w:val="00F45A7C"/>
    <w:rsid w:val="00F55703"/>
    <w:rsid w:val="00F6300C"/>
    <w:rsid w:val="00F937FF"/>
    <w:rsid w:val="00FA44BB"/>
    <w:rsid w:val="00FA7561"/>
    <w:rsid w:val="00FB74D1"/>
    <w:rsid w:val="00FD3C5B"/>
    <w:rsid w:val="00FE15F4"/>
    <w:rsid w:val="00FE4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77878B22-BFD3-4A9B-9694-D388548D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eg"/><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5297</Words>
  <Characters>30194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3</cp:revision>
  <dcterms:created xsi:type="dcterms:W3CDTF">2026-08-05T22:32:00Z</dcterms:created>
  <dcterms:modified xsi:type="dcterms:W3CDTF">2026-08-06T15:14:00Z</dcterms:modified>
</cp:coreProperties>
</file>