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27000F16">
      <w:pPr>
        <w:spacing w:after="192" w:line="384"/>
        <w:jc w:val="left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pacing w:val="19"/>
          <w:sz w:val="28"/>
        </w:rPr>
        <w:t>技术评估报告 · 插件生态</w:t>
      </w:r>
    </w:p>
    <w:p w14:paraId="51492BA1">
      <w:pPr>
        <w:spacing w:after="120" w:line="324"/>
        <w:jc w:val="left"/>
        <w:rPr>
          <w:color w:val="1a237e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44"/>
        </w:rPr>
        <w:t>B 方案（Deno Deploy 接收端）走通后：</w:t>
      </w:r>
      <w:r>
        <w:br w:type="textWrapping"/>
      </w:r>
      <w:r>
        <w:rPr>
          <w:rFonts w:hint="eastAsia" w:ascii="微软雅黑" w:hAnsi="微软雅黑" w:eastAsia="微软雅黑" w:cs="微软雅黑"/>
          <w:b w:val="1"/>
          <w:color w:val="1a237e"/>
          <w:sz w:val="44"/>
        </w:rPr>
        <w:t>对免费插件与完整版插件的影响评估及改进建议</w:t>
      </w:r>
    </w:p>
    <w:p w14:paraId="415B2E43">
      <w:pPr>
        <w:spacing w:after="480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8"/>
        </w:rPr>
        <w:t>dsh-motor-ai-l0@0.5.0 与 dsh-motor-ai（完整版）接线核验 · 数据流分析 · 七项改进路线</w:t>
      </w:r>
    </w:p>
    <w:p w14:paraId="6B17A978">
      <w:pPr>
        <w:spacing w:after="72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0"/>
        </w:rPr>
        <w:t>MOTOR-AI 插件工程组 | 2026-10-14 | v1.0（基于线上实测与源码核验）</w:t>
      </w:r>
    </w:p>
    <w:p w14:paraId="30F72FB3">
      <w:pPr>
        <w:spacing w:after="72" w:line="384"/>
        <w:jc w:val="left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616161"/>
          <w:sz w:val="20"/>
        </w:rPr>
        <w:t>评测对象：dsh-motor-ai-l0 0.5.0（npm latest）/ dsh-motor-ai full / dsh-motor-ai-receiver-deno</w:t>
      </w:r>
    </w:p>
    <w:p w14:paraId="0A5C87F1">
      <w:pPr>
        <w:spacing w:before="240" w:after="120"/>
      </w:pPr>
      <w:r>
        <w:rPr>
          <w:rFonts w:hint="eastAsia"/>
          <w:b w:val="1"/>
        </w:rPr>
        <w:t>目录</w:t>
      </w:r>
    </w:p>
    <w:p w14:paraId="3AADA5E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一、背景与当前接线现状（代码事实）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E5B35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二、对免费插件（dsh-motor-ai-l0 0.5.0）的影响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003F3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三、对完整版（dsh-motor-ai）的影响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967A9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四、风险与诚实边界（接收端侧）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DE4DE8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五、后续改进建议（按优先级）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72102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A24FCBE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2C974ED">
      <w:pPr>
        <w:pStyle w:val="000004"/>
        <w:keepNext w:val="1"/>
        <w:keepLines w:val="1"/>
        <w:pBdr>
          <w:left w:val="single" w:color="1565c0" w:sz="24" w:space="6"/>
        </w:pBdr>
        <w:shd w:val="clear" w:fill="f5f7fa"/>
        <w:spacing w:before="480" w:beforeAutospacing="1" w:after="180" w:afterAutospacing="1" w:line="384"/>
        <w:ind w:left="480" w:right="480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30"/>
        </w:rPr>
        <w:t>执行摘要</w:t>
      </w:r>
    </w:p>
    <w:p w14:paraId="533E8419">
      <w:pPr>
        <w:pBdr>
          <w:left w:val="single" w:color="1565c0" w:sz="24"/>
        </w:pBdr>
        <w:shd w:val="clear" w:fill="f5f7fa"/>
        <w:spacing w:before="480" w:after="240" w:line="384"/>
        <w:ind w:left="480" w:right="480"/>
        <w:rPr>
          <w:color w:val="212121"/>
        </w:rPr>
      </w:pPr>
      <w:r>
        <w:rPr>
          <w:rFonts w:ascii="宋体" w:hAnsi="宋体" w:eastAsia="宋体" w:cs="宋体"/>
          <w:i w:val="1"/>
          <w:color w:val="616161"/>
          <w:sz w:val="20"/>
        </w:rPr>
        <w:t>Executive Summary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2e7d32" w:sz="18"/>
              <w:left w:val="none" w:sz="8"/>
              <w:bottom w:val="none" w:sz="8"/>
              <w:right w:val="none" w:sz="8"/>
            </w:tcBorders>
            <w:shd w:val="clear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27B78D6D">
            <w:pPr>
              <w:pBdr>
                <w:left w:val="single" w:color="1565c0" w:sz="24"/>
              </w:pBdr>
              <w:shd w:val="clear" w:fill="f5f7fa"/>
              <w:spacing w:before="480" w:after="240" w:line="384"/>
              <w:ind w:left="480" w:right="480"/>
              <w:rPr>
                <w:color w:val="616161"/>
              </w:rPr>
            </w:pPr>
            <w:r>
              <w:rPr>
                <w:rFonts w:hint="eastAsia"/>
                <w:color w:val="666666"/>
                <w:sz w:val="18"/>
              </w:rPr>
              <w:t>接收端状态</w:t>
            </w:r>
          </w:p>
          <w:p w14:paraId="5C81C7F6">
            <w:pPr>
              <w:pBdr>
                <w:left w:val="single" w:color="1565c0" w:sz="24"/>
              </w:pBdr>
              <w:shd w:val="clear" w:fill="f5f7fa"/>
              <w:spacing w:before="480" w:after="240" w:line="384"/>
              <w:ind w:left="480" w:right="480"/>
              <w:rPr>
                <w:color w:val="616161"/>
              </w:rPr>
            </w:pPr>
            <w:r>
              <w:rPr>
                <w:rFonts w:hint="eastAsia"/>
                <w:b w:val="1"/>
                <w:color w:val="2e7d32"/>
                <w:sz w:val="36"/>
              </w:rPr>
              <w:t>已上线</w:t>
            </w:r>
            <w:r>
              <w:rPr>
                <w:color w:val="666666"/>
                <w:sz w:val="18"/>
              </w:rPr>
              <w:t xml:space="preserve"> Deno Deploy 2 + KV</w:t>
            </w:r>
          </w:p>
        </w:tc>
      </w:tr>
    </w:tbl>
    <w:p w14:paraId="75958F42">
      <w:pPr>
        <w:pBdr>
          <w:left w:val="single" w:color="1565c0" w:sz="24"/>
        </w:pBdr>
        <w:shd w:val="clear" w:fill="f5f7fa"/>
        <w:spacing w:before="480" w:after="240" w:line="240"/>
        <w:ind w:left="480" w:right="48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333333" w:sz="18"/>
              <w:left w:val="none" w:sz="8"/>
              <w:bottom w:val="none" w:sz="8"/>
              <w:right w:val="none" w:sz="8"/>
            </w:tcBorders>
            <w:shd w:val="clear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67CAAF3E">
            <w:pPr>
              <w:pBdr>
                <w:left w:val="single" w:color="1565c0" w:sz="24"/>
              </w:pBdr>
              <w:shd w:val="clear" w:fill="f5f7fa"/>
              <w:spacing w:before="480" w:after="240" w:line="384"/>
              <w:ind w:left="480" w:right="480"/>
              <w:rPr>
                <w:color w:val="616161"/>
              </w:rPr>
            </w:pPr>
            <w:r>
              <w:rPr>
                <w:rFonts w:hint="eastAsia"/>
                <w:color w:val="666666"/>
                <w:sz w:val="18"/>
              </w:rPr>
              <w:t>闸门线上实测</w:t>
            </w:r>
          </w:p>
          <w:p w14:paraId="1CC92595">
            <w:pPr>
              <w:pBdr>
                <w:left w:val="single" w:color="1565c0" w:sz="24"/>
              </w:pBdr>
              <w:shd w:val="clear" w:fill="f5f7fa"/>
              <w:spacing w:before="480" w:after="240" w:line="384"/>
              <w:ind w:left="480" w:right="480"/>
              <w:rPr>
                <w:color w:val="616161"/>
              </w:rPr>
            </w:pPr>
            <w:r>
              <w:rPr>
                <w:rFonts w:hint="eastAsia"/>
                <w:b w:val="1"/>
                <w:color w:val="111827"/>
                <w:sz w:val="36"/>
              </w:rPr>
              <w:t>10 + 2 拒</w:t>
            </w:r>
            <w:r>
              <w:rPr>
                <w:rFonts w:hint="eastAsia"/>
                <w:color w:val="666666"/>
                <w:sz w:val="18"/>
              </w:rPr>
              <w:t xml:space="preserve"> 12 连发恰好 10 放行</w:t>
            </w:r>
          </w:p>
        </w:tc>
      </w:tr>
    </w:tbl>
    <w:p w14:paraId="3649AD0B">
      <w:pPr>
        <w:pBdr>
          <w:left w:val="single" w:color="1565c0" w:sz="24"/>
        </w:pBdr>
        <w:shd w:val="clear" w:fill="f5f7fa"/>
        <w:spacing w:before="480" w:after="240" w:line="240"/>
        <w:ind w:left="480" w:right="48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333333" w:sz="18"/>
              <w:left w:val="none" w:sz="8"/>
              <w:bottom w:val="none" w:sz="8"/>
              <w:right w:val="none" w:sz="8"/>
            </w:tcBorders>
            <w:shd w:val="clear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6B9D9A0E">
            <w:pPr>
              <w:pBdr>
                <w:left w:val="single" w:color="1565c0" w:sz="24"/>
              </w:pBdr>
              <w:shd w:val="clear" w:fill="f5f7fa"/>
              <w:spacing w:before="480" w:after="240" w:line="384"/>
              <w:ind w:left="480" w:right="480"/>
              <w:rPr>
                <w:color w:val="616161"/>
              </w:rPr>
            </w:pPr>
            <w:r>
              <w:rPr>
                <w:rFonts w:hint="eastAsia"/>
                <w:color w:val="666666"/>
                <w:sz w:val="18"/>
              </w:rPr>
              <w:t>本地探针</w:t>
            </w:r>
          </w:p>
          <w:p w14:paraId="792F2B5A">
            <w:pPr>
              <w:pBdr>
                <w:left w:val="single" w:color="1565c0" w:sz="24"/>
              </w:pBdr>
              <w:shd w:val="clear" w:fill="f5f7fa"/>
              <w:spacing w:before="480" w:after="240" w:line="384"/>
              <w:ind w:left="480" w:right="480"/>
              <w:rPr>
                <w:color w:val="616161"/>
              </w:rPr>
            </w:pPr>
            <w:r>
              <w:rPr>
                <w:b w:val="1"/>
                <w:color w:val="111827"/>
                <w:sz w:val="36"/>
              </w:rPr>
              <w:t>13 / 13</w:t>
            </w:r>
            <w:r>
              <w:rPr>
                <w:rFonts w:hint="eastAsia"/>
                <w:color w:val="666666"/>
                <w:sz w:val="18"/>
              </w:rPr>
              <w:t xml:space="preserve"> 断言全绿（临时 DSH_HOME）</w:t>
            </w:r>
          </w:p>
        </w:tc>
      </w:tr>
    </w:tbl>
    <w:p w14:paraId="104922AD">
      <w:pPr>
        <w:pBdr>
          <w:left w:val="single" w:color="1565c0" w:sz="24"/>
        </w:pBdr>
        <w:shd w:val="clear" w:fill="f5f7fa"/>
        <w:spacing w:before="480" w:after="240" w:line="240"/>
        <w:ind w:left="480" w:right="480"/>
        <w:rPr>
          <w:color w:val="212121"/>
        </w:rPr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e65100" w:sz="18"/>
              <w:left w:val="none" w:sz="8"/>
              <w:bottom w:val="none" w:sz="8"/>
              <w:right w:val="none" w:sz="8"/>
            </w:tcBorders>
            <w:shd w:val="clear" w:fill="fffff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67C9E0D8">
            <w:pPr>
              <w:pBdr>
                <w:left w:val="single" w:color="1565c0" w:sz="24"/>
              </w:pBdr>
              <w:shd w:val="clear" w:fill="f5f7fa"/>
              <w:spacing w:before="480" w:after="240" w:line="384"/>
              <w:ind w:left="480" w:right="480"/>
              <w:rPr>
                <w:color w:val="616161"/>
              </w:rPr>
            </w:pPr>
            <w:r>
              <w:rPr>
                <w:rFonts w:hint="eastAsia"/>
                <w:color w:val="666666"/>
                <w:sz w:val="18"/>
              </w:rPr>
              <w:t>完整版影响</w:t>
            </w:r>
          </w:p>
          <w:p w14:paraId="4B6B69D0">
            <w:pPr>
              <w:pBdr>
                <w:left w:val="single" w:color="1565c0" w:sz="24"/>
              </w:pBdr>
              <w:shd w:val="clear" w:fill="f5f7fa"/>
              <w:spacing w:before="480" w:after="240" w:line="384"/>
              <w:ind w:left="480" w:right="480"/>
              <w:rPr>
                <w:color w:val="616161"/>
              </w:rPr>
            </w:pPr>
            <w:r>
              <w:rPr>
                <w:rFonts w:hint="eastAsia"/>
                <w:b w:val="1"/>
                <w:color w:val="e65100"/>
                <w:sz w:val="36"/>
              </w:rPr>
              <w:t>零影响</w:t>
            </w:r>
            <w:r>
              <w:rPr>
                <w:rFonts w:hint="eastAsia"/>
                <w:color w:val="666666"/>
                <w:sz w:val="18"/>
              </w:rPr>
              <w:t xml:space="preserve"> 未预填地址、无端点接线</w:t>
            </w:r>
          </w:p>
        </w:tc>
      </w:tr>
    </w:tbl>
    <w:p w14:paraId="5683F9E1">
      <w:pPr>
        <w:pBdr>
          <w:left w:val="single" w:color="1565c0" w:sz="24"/>
        </w:pBdr>
        <w:shd w:val="clear" w:fill="f5f7fa"/>
        <w:spacing w:before="480" w:after="180" w:line="384"/>
        <w:ind w:left="480" w:right="480"/>
        <w:jc w:val="left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 xml:space="preserve">官方接收端 </w:t>
      </w:r>
      <w:r>
        <w:rPr>
          <w:rFonts w:ascii="Consolas" w:hAnsi="Consolas" w:eastAsia="Consolas" w:cs="Consolas"/>
          <w:color w:val="212121"/>
          <w:sz w:val="20"/>
        </w:rPr>
        <w:t>https://dsh-motor-ai-receiver.wangxuewangxue98.deno.net</w:t>
      </w:r>
      <w:r>
        <w:rPr>
          <w:rFonts w:hint="eastAsia" w:ascii="宋体" w:hAnsi="宋体" w:eastAsia="宋体" w:cs="宋体"/>
          <w:color w:val="212121"/>
          <w:sz w:val="24"/>
        </w:rPr>
        <w:t xml:space="preserve"> 已上线并实测通过（闸门 10+2 拒、直连 200 / 1.3s、IP 未被 DNS 污染）。对</w:t>
      </w:r>
      <w:r>
        <w:rPr>
          <w:rFonts w:hint="eastAsia" w:ascii="宋体" w:hAnsi="宋体" w:eastAsia="宋体" w:cs="宋体"/>
          <w:b w:val="1"/>
          <w:color w:val="212121"/>
          <w:sz w:val="24"/>
        </w:rPr>
        <w:t>免费插件 l0@0.5.0</w:t>
      </w:r>
      <w:r>
        <w:rPr>
          <w:rFonts w:hint="eastAsia" w:ascii="宋体" w:hAnsi="宋体" w:eastAsia="宋体" w:cs="宋体"/>
          <w:color w:val="212121"/>
          <w:sz w:val="24"/>
        </w:rPr>
        <w:t>：出厂即默认接线，每次工具调用旁路回传统计数据（非阻塞、不参与放行），「出厂即孤岛」在计数归并层面解决、在限流层面本就已本地闭环。对</w:t>
      </w:r>
      <w:r>
        <w:rPr>
          <w:rFonts w:hint="eastAsia" w:ascii="宋体" w:hAnsi="宋体" w:eastAsia="宋体" w:cs="宋体"/>
          <w:b w:val="1"/>
          <w:color w:val="212121"/>
          <w:sz w:val="24"/>
        </w:rPr>
        <w:t>完整版</w:t>
      </w:r>
      <w:r>
        <w:rPr>
          <w:rFonts w:hint="eastAsia" w:ascii="宋体" w:hAnsi="宋体" w:eastAsia="宋体" w:cs="宋体"/>
          <w:color w:val="212121"/>
          <w:sz w:val="24"/>
        </w:rPr>
        <w:t>：当前零影响、零风险，要对齐需发一版预填地址。telemetry / experience 两个端点目前无任何客户端接线，属契约预留。</w:t>
      </w:r>
    </w:p>
    <w:p w14:paraId="76E4489D">
      <w:pPr>
        <w:pStyle w:val="000004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1a237e"/>
          <w:sz w:val="30"/>
        </w:rPr>
        <w:t>一、背景与当前接线现状（代码事实）</w:t>
      </w:r>
      <w:bookmarkEnd w:id="1"/>
    </w:p>
    <w:p w14:paraId="04006DD4">
      <w:pPr>
        <w:spacing w:after="180" w:line="384"/>
        <w:jc w:val="left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B 方案的初衷是解决「出厂即孤岛」：插件分发出去后，官方收不到任何使用数据，免费额度计数也没有归并通道。接收端上线后，数据流并非「全自动贯通」——三侧（l0 / full / 接收端）的接线程度各不相同，先用代码事实把现状钉住。</w:t>
      </w:r>
    </w:p>
    <w:p w14:paraId="36651945">
      <w:pPr>
        <w:pStyle w:val="000005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1.1 数据流全景</w:t>
      </w:r>
    </w:p>
    <w:tbl>
      <w:tblPr>
        <w:tblW w:w="8306" w:type="dxa"/>
        <w:shd w:color="212121"/>
        <w:tblLayout w:type="autofit"/>
        <w:tblCellMar/>
      </w:tblPr>
      <w:tblGrid>
        <w:gridCol w:w="1827"/>
        <w:gridCol w:w="1661"/>
        <w:gridCol w:w="2159"/>
        <w:gridCol w:w="2657"/>
      </w:tblGrid>
      <w:tr>
        <w:trPr>
          <w:tblHeader w:val="1"/>
        </w:trPr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4F79C0C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数据流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60598E4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发送方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1B92DF2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目标端点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45DBCE2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触发条件与阻塞性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72D0F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免费额度旁路计数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C9BD1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l0 0.5.0（默认开）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A7035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POST /api/dsh/free-call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806D2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每次工具调用前；fire-and-forget，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不阻塞调用链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27B001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完整版旁路计数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E00768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full（未配置）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8EF4F3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回落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127.0.0.1:5000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449F97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仅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tier==='free'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；连接被拒即忽略，不阻塞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CAA9E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聚合遥测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E808D6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无客户端接线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CAAB8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/api/dsh/telemetry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1A4E5C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预留；l0 的使用统计走管理端 telemetryEndpoint，是另一套</w:t>
            </w:r>
          </w:p>
        </w:tc>
      </w:tr>
      <w:tr>
        <w:trPr/>
        <w:tc>
          <w:tcPr>
            <w:tcW w:w="182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1C99D5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设计经验样本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0009EE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无客户端接线</w:t>
            </w:r>
          </w:p>
        </w:tc>
        <w:tc>
          <w:tcPr>
            <w:tcW w:w="2159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D80871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/api/dsh/experience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F5D760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预留，暂无发送方</w:t>
            </w:r>
          </w:p>
        </w:tc>
      </w:tr>
    </w:tbl>
    <w:p w14:paraId="5049F8B2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e65100" w:sz="24"/>
              <w:bottom w:val="none" w:sz="8"/>
              <w:right w:val="none" w:sz="8"/>
            </w:tcBorders>
            <w:shd w:val="clear" w:fill="fdf3ef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4F955E7C">
            <w:pPr>
              <w:rPr>
                <w:color w:val="212121"/>
              </w:rPr>
            </w:pPr>
            <w:r>
              <w:t>⚠️</w:t>
            </w:r>
          </w:p>
          <w:p w14:paraId="46E51964">
            <w:pPr>
              <w:spacing w:before="72" w:after="72"/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关键事实修正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：接收端的 telemetry / experience 两个端点目前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没有任何插件代码调用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（全仓 grep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api/dsh/telemetry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、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api/dsh/experience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 零命中）。接收端当前唯一活的流量是 free-call 旁路计数。</w:t>
            </w:r>
          </w:p>
        </w:tc>
      </w:tr>
    </w:tbl>
    <w:p w14:paraId="491D5239">
      <w:pPr>
        <w:pStyle w:val="000005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1.2 三侧接线核验表（2026-10-14 实测）</w:t>
      </w:r>
    </w:p>
    <w:tbl>
      <w:tblPr>
        <w:tblW w:w="8306" w:type="dxa"/>
        <w:shd w:color="212121"/>
        <w:tblLayout w:type="autofit"/>
        <w:tblCellMar/>
      </w:tblPr>
      <w:tblGrid>
        <w:gridCol w:w="1495"/>
        <w:gridCol w:w="2491"/>
        <w:gridCol w:w="2657"/>
        <w:gridCol w:w="1661"/>
      </w:tblGrid>
      <w:tr>
        <w:trPr>
          <w:tblHeader w:val="1"/>
        </w:trPr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60251B9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接线项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2641BE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l0（免费）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6DFAA3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full（完整版）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38FB4D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证据锚点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F009C4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限额口径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AB25C7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本地硬闸，默认 10 次/天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6241C7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本地硬闸，默认 10 次/天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83775D2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 xml:space="preserve">l0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quota.mjs:98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；full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quota.mjs:39,115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F7B94E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地址解析链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3D972D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同链 → </w:t>
            </w: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空（零请求）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DC028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同链 → 回落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127.0.0.1:5000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7DF6EF1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 xml:space="preserve">l0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quota.mjs:81-84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；full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quota.mjs:88-91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227374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默认地址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1D6C7C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0"/>
              </w:rPr>
              <w:t>已预填官方接收端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332DB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未预填（cordis.patch.yml 无该项）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9D1AF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两侧 cordis.patch.yml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56C3D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free-call 旁路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2C12C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有，fire-and-forget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864312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有，仅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tier==='free'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时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800FCF3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 xml:space="preserve">l0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quota.mjs:201,256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；full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quota.mjs:223,283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67C84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遥测/经验端点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74F81C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无接线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56DD3D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无接线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7D10E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全仓 grep 零命中</w:t>
            </w:r>
          </w:p>
        </w:tc>
      </w:tr>
      <w:tr>
        <w:trPr/>
        <w:tc>
          <w:tcPr>
            <w:tcW w:w="149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48839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本地遥测总开关</w:t>
            </w:r>
          </w:p>
        </w:tc>
        <w:tc>
          <w:tcPr>
            <w:tcW w:w="249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A5CD6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telemetryEnabled: false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（默认关）</w:t>
            </w:r>
          </w:p>
        </w:tc>
        <w:tc>
          <w:tcPr>
            <w:tcW w:w="2657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0C9D127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—</w:t>
            </w:r>
          </w:p>
        </w:tc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FAFA4DB">
            <w:pPr>
              <w:jc w:val="left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 xml:space="preserve">l0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cordis.patch.yml:29</w:t>
            </w:r>
          </w:p>
        </w:tc>
      </w:tr>
    </w:tbl>
    <w:p w14:paraId="5DA42D02">
      <w:pPr>
        <w:pStyle w:val="000004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2" w:name="section-2"/>
      <w:r>
        <w:rPr>
          <w:rFonts w:hint="eastAsia" w:ascii="微软雅黑" w:hAnsi="微软雅黑" w:eastAsia="微软雅黑" w:cs="微软雅黑"/>
          <w:b w:val="1"/>
          <w:color w:val="1a237e"/>
          <w:sz w:val="30"/>
        </w:rPr>
        <w:t>二、对免费插件（dsh-motor-ai-l0 0.5.0）的影响</w:t>
      </w:r>
      <w:bookmarkEnd w:id="2"/>
    </w:p>
    <w:p w14:paraId="4F80B588">
      <w:pPr>
        <w:spacing w:after="180" w:line="384"/>
        <w:jc w:val="left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免费插件是本次 B 方案唯一真正接线的客户端。总体判断：</w:t>
      </w:r>
      <w:r>
        <w:rPr>
          <w:rFonts w:hint="eastAsia" w:ascii="宋体" w:hAnsi="宋体" w:eastAsia="宋体" w:cs="宋体"/>
          <w:b w:val="1"/>
          <w:color w:val="212121"/>
          <w:sz w:val="24"/>
        </w:rPr>
        <w:t>收益在归并与能见度，代价在隐私立场与两个口径差</w:t>
      </w:r>
      <w:r>
        <w:rPr>
          <w:rFonts w:hint="eastAsia" w:ascii="宋体" w:hAnsi="宋体" w:eastAsia="宋体" w:cs="宋体"/>
          <w:color w:val="212121"/>
          <w:sz w:val="24"/>
        </w:rPr>
        <w:t>；限流能力本身在 0.5.0 已本地闭环，不依赖接收端。</w:t>
      </w:r>
    </w:p>
    <w:p w14:paraId="5FB39D3F">
      <w:pPr>
        <w:pStyle w:val="000005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2.1 正向影响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1328"/>
        <w:gridCol w:w="5315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74A7CF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维度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4E6ADF3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变化</w:t>
            </w:r>
          </w:p>
        </w:tc>
        <w:tc>
          <w:tcPr>
            <w:tcW w:w="53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4100BF7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11197E5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跨机额度归并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489452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✅ 新增</w:t>
            </w:r>
          </w:p>
        </w:tc>
        <w:tc>
          <w:tcPr>
            <w:tcW w:w="53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329C30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旁路响应若报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allowed:false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且 </w:t>
            </w:r>
            <w:r>
              <w:rPr>
                <w:rFonts w:hint="eastAsia" w:ascii="Consolas" w:hAnsi="Consolas" w:eastAsia="Consolas" w:cs="Consolas"/>
                <w:color w:val="212121"/>
                <w:sz w:val="20"/>
              </w:rPr>
              <w:t>used &gt; 本地计数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，会把本地计数抬升——重装 / 换目录导致的清零可被追回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C7D503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使用能见度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014153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✅ 从 0 到 1</w:t>
            </w:r>
          </w:p>
        </w:tc>
        <w:tc>
          <w:tcPr>
            <w:tcW w:w="53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D0147F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官方首次可观测匿名调用量（设备哈希 + 调用次数），「出厂即孤岛」在计数层面解除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880FF9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延迟代价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3B37401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✅ 零</w:t>
            </w:r>
          </w:p>
        </w:tc>
        <w:tc>
          <w:tcPr>
            <w:tcW w:w="53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7280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旁路 fire-and-forget + 定时器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unref()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；实测后端挂死时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checkFreeQuota</w:t>
            </w:r>
            <w:r>
              <w:rPr>
                <w:rFonts w:ascii="宋体" w:hAnsi="宋体" w:eastAsia="宋体" w:cs="宋体"/>
                <w:b w:val="1"/>
                <w:color w:val="c62828"/>
                <w:sz w:val="20"/>
              </w:rPr>
              <w:t>1ms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返回（探针 D3：11 次共 31ms）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0BBA40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功能可用性</w:t>
            </w:r>
          </w:p>
        </w:tc>
        <w:tc>
          <w:tcPr>
            <w:tcW w:w="132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EFC4813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✅ 不受影响</w:t>
            </w:r>
          </w:p>
        </w:tc>
        <w:tc>
          <w:tcPr>
            <w:tcW w:w="531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7EE07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放行决策 100% 本地（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free-quota.json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），后端不可达 = 不归并、照常放行</w:t>
            </w:r>
          </w:p>
        </w:tc>
      </w:tr>
    </w:tbl>
    <w:p w14:paraId="52BA1C7A">
      <w:pPr>
        <w:pStyle w:val="000005"/>
        <w:keepNext w:val="1"/>
        <w:keepLines w:val="1"/>
        <w:spacing w:before="240" w:beforeAutospacing="1" w:after="180" w:afterAutospacing="1" w:line="384"/>
        <w:jc w:val="left"/>
        <w:outlineLvl w:val="2"/>
        <w:rPr>
          <w:color w:val="1a237e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26"/>
        </w:rPr>
        <w:t>2.2 需要如实告知的代价</w:t>
      </w:r>
    </w:p>
    <w:p w14:paraId="5894DA01">
      <w:pPr>
        <w:numPr>
          <w:ilvl w:val="0"/>
          <w:numId w:val="1"/>
        </w:numPr>
        <w:pBdr>
          <w:left w:space="21"/>
        </w:pBdr>
        <w:spacing w:after="72" w:line="384"/>
        <w:jc w:val="left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默认即外发</w:t>
      </w:r>
      <w:r>
        <w:rPr>
          <w:rFonts w:hint="eastAsia" w:ascii="宋体" w:hAnsi="宋体" w:eastAsia="宋体" w:cs="宋体"/>
          <w:color w:val="212121"/>
          <w:sz w:val="24"/>
        </w:rPr>
        <w:t>：</w:t>
      </w:r>
      <w:r>
        <w:rPr>
          <w:rFonts w:ascii="Consolas" w:hAnsi="Consolas" w:eastAsia="Consolas" w:cs="Consolas"/>
          <w:color w:val="212121"/>
          <w:sz w:val="20"/>
        </w:rPr>
        <w:t>freeQuotaEnabled: true</w:t>
      </w:r>
      <w:r>
        <w:rPr>
          <w:rFonts w:hint="eastAsia" w:ascii="宋体" w:hAnsi="宋体" w:eastAsia="宋体" w:cs="宋体"/>
          <w:color w:val="212121"/>
          <w:sz w:val="24"/>
        </w:rPr>
        <w:t xml:space="preserve"> + 预填地址，安装后每次工具调用向境外服务器 POST </w:t>
      </w:r>
      <w:r>
        <w:rPr>
          <w:rFonts w:ascii="Consolas" w:hAnsi="Consolas" w:eastAsia="Consolas" w:cs="Consolas"/>
          <w:color w:val="212121"/>
          <w:sz w:val="20"/>
        </w:rPr>
        <w:t>{plugin_id, device_id}</w:t>
      </w:r>
      <w:r>
        <w:rPr>
          <w:rFonts w:hint="eastAsia" w:ascii="宋体" w:hAnsi="宋体" w:eastAsia="宋体" w:cs="宋体"/>
          <w:color w:val="212121"/>
          <w:sz w:val="24"/>
        </w:rPr>
        <w:t>（</w:t>
      </w:r>
      <w:r>
        <w:rPr>
          <w:rFonts w:ascii="Consolas" w:hAnsi="Consolas" w:eastAsia="Consolas" w:cs="Consolas"/>
          <w:color w:val="212121"/>
          <w:sz w:val="20"/>
        </w:rPr>
        <w:t>device_id = sha256(hostname|platform|arch)</w:t>
      </w:r>
      <w:r>
        <w:rPr>
          <w:rFonts w:hint="eastAsia" w:ascii="宋体" w:hAnsi="宋体" w:eastAsia="宋体" w:cs="宋体"/>
          <w:color w:val="212121"/>
          <w:sz w:val="24"/>
        </w:rPr>
        <w:t xml:space="preserve"> 前 16 位）。README 已披露、开关可关，但「默认开」本身是隐私立场选择，建议上架页再次明示。</w:t>
      </w:r>
    </w:p>
    <w:p w14:paraId="41F6991A">
      <w:pPr>
        <w:numPr>
          <w:ilvl w:val="0"/>
          <w:numId w:val="1"/>
        </w:numPr>
        <w:pBdr>
          <w:left w:space="21"/>
        </w:pBdr>
        <w:spacing w:after="72" w:line="384"/>
        <w:jc w:val="left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指纹碰撞风险</w:t>
      </w:r>
      <w:r>
        <w:rPr>
          <w:rFonts w:hint="eastAsia" w:ascii="宋体" w:hAnsi="宋体" w:eastAsia="宋体" w:cs="宋体"/>
          <w:color w:val="212121"/>
          <w:sz w:val="24"/>
        </w:rPr>
        <w:t>：3 字段指纹在同一主机名多用户场景（公用电脑、镜像克隆）会共用一本账——A 的用量会抬升 B 的计数（合并逻辑双向）。</w:t>
      </w:r>
    </w:p>
    <w:p w14:paraId="18BC6C46">
      <w:pPr>
        <w:numPr>
          <w:ilvl w:val="0"/>
          <w:numId w:val="1"/>
        </w:numPr>
        <w:pBdr>
          <w:left w:space="21"/>
        </w:pBdr>
        <w:spacing w:after="72" w:line="384"/>
        <w:jc w:val="left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day 口径差</w:t>
      </w:r>
      <w:r>
        <w:rPr>
          <w:rFonts w:hint="eastAsia" w:ascii="宋体" w:hAnsi="宋体" w:eastAsia="宋体" w:cs="宋体"/>
          <w:color w:val="212121"/>
          <w:sz w:val="24"/>
        </w:rPr>
        <w:t>：接收端按 UTC+8 自然日切，插件按机器本地时区切；海外用户会出现归并窗口错位（国内用户无感）。</w:t>
      </w:r>
    </w:p>
    <w:p w14:paraId="315DA64D">
      <w:pPr>
        <w:numPr>
          <w:ilvl w:val="0"/>
          <w:numId w:val="1"/>
        </w:numPr>
        <w:pBdr>
          <w:left w:space="21"/>
        </w:pBdr>
        <w:spacing w:after="72" w:line="384"/>
        <w:jc w:val="left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limit 口径差</w:t>
      </w:r>
      <w:r>
        <w:rPr>
          <w:rFonts w:hint="eastAsia" w:ascii="宋体" w:hAnsi="宋体" w:eastAsia="宋体" w:cs="宋体"/>
          <w:color w:val="212121"/>
          <w:sz w:val="24"/>
        </w:rPr>
        <w:t xml:space="preserve">：接收端固定 10；插件可被 </w:t>
      </w:r>
      <w:r>
        <w:rPr>
          <w:rFonts w:ascii="Consolas" w:hAnsi="Consolas" w:eastAsia="Consolas" w:cs="Consolas"/>
          <w:color w:val="212121"/>
          <w:sz w:val="20"/>
        </w:rPr>
        <w:t>DSH_FREE_DAILY_LIMIT</w:t>
      </w:r>
      <w:r>
        <w:rPr>
          <w:rFonts w:hint="eastAsia" w:ascii="宋体" w:hAnsi="宋体" w:eastAsia="宋体" w:cs="宋体"/>
          <w:color w:val="212121"/>
          <w:sz w:val="24"/>
        </w:rPr>
        <w:t xml:space="preserve"> 覆盖，用户本地设 20 时接收端最多计到 10 ⇒ 计数低报。</w:t>
      </w:r>
    </w:p>
    <w:p w14:paraId="0C1FF2B8">
      <w:pPr>
        <w:pStyle w:val="000004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3" w:name="section-3"/>
      <w:r>
        <w:rPr>
          <w:rFonts w:hint="eastAsia" w:ascii="微软雅黑" w:hAnsi="微软雅黑" w:eastAsia="微软雅黑" w:cs="微软雅黑"/>
          <w:b w:val="1"/>
          <w:color w:val="1a237e"/>
          <w:sz w:val="30"/>
        </w:rPr>
        <w:t>三、对完整版（dsh-motor-ai）的影响</w:t>
      </w:r>
      <w:bookmarkEnd w:id="3"/>
    </w:p>
    <w:p w14:paraId="108319FD">
      <w:pPr>
        <w:spacing w:after="180" w:line="384"/>
        <w:jc w:val="left"/>
        <w:rPr>
          <w:color w:val="212121"/>
        </w:rPr>
      </w:pPr>
      <w:r>
        <w:rPr>
          <w:rFonts w:hint="eastAsia" w:ascii="宋体" w:hAnsi="宋体" w:eastAsia="宋体" w:cs="宋体"/>
          <w:b w:val="1"/>
          <w:color w:val="212121"/>
          <w:sz w:val="24"/>
        </w:rPr>
        <w:t>结论：当前零影响，且零风险。</w:t>
      </w:r>
      <w:r>
        <w:rPr>
          <w:rFonts w:hint="eastAsia" w:ascii="宋体" w:hAnsi="宋体" w:eastAsia="宋体" w:cs="宋体"/>
          <w:color w:val="212121"/>
          <w:sz w:val="24"/>
        </w:rPr>
        <w:t xml:space="preserve">完整版未预填接收端地址，默认回落 </w:t>
      </w:r>
      <w:r>
        <w:rPr>
          <w:rFonts w:ascii="Consolas" w:hAnsi="Consolas" w:eastAsia="Consolas" w:cs="Consolas"/>
          <w:color w:val="212121"/>
          <w:sz w:val="20"/>
        </w:rPr>
        <w:t>127.0.0.1:5000</w:t>
      </w:r>
      <w:r>
        <w:rPr>
          <w:rFonts w:hint="eastAsia" w:ascii="宋体" w:hAnsi="宋体" w:eastAsia="宋体" w:cs="宋体"/>
          <w:color w:val="212121"/>
          <w:sz w:val="24"/>
        </w:rPr>
        <w:t>（连接被拒即 fail-open 旁路忽略）；其放行决策本就是 100% 本地，遥测端点也无接线。也就是说，B 方案目前是</w:t>
      </w:r>
      <w:r>
        <w:rPr>
          <w:rFonts w:hint="eastAsia" w:ascii="宋体" w:hAnsi="宋体" w:eastAsia="宋体" w:cs="宋体"/>
          <w:b w:val="1"/>
          <w:color w:val="212121"/>
          <w:sz w:val="24"/>
        </w:rPr>
        <w:t>免费插件专属</w:t>
      </w:r>
      <w:r>
        <w:rPr>
          <w:rFonts w:hint="eastAsia" w:ascii="宋体" w:hAnsi="宋体" w:eastAsia="宋体" w:cs="宋体"/>
          <w:color w:val="212121"/>
          <w:sz w:val="24"/>
        </w:rPr>
        <w:t>的基础设施。</w:t>
      </w:r>
    </w:p>
    <w:tbl>
      <w:tblPr>
        <w:tblW w:w="8306" w:type="dxa"/>
        <w:shd w:color="212121"/>
        <w:tblLayout w:type="autofit"/>
        <w:tblCellMar/>
      </w:tblPr>
      <w:tblGrid>
        <w:gridCol w:w="1993"/>
        <w:gridCol w:w="6312"/>
      </w:tblGrid>
      <w:tr>
        <w:trPr>
          <w:tblHeader w:val="1"/>
        </w:trPr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9F3412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检查项</w:t>
            </w:r>
          </w:p>
        </w:tc>
        <w:tc>
          <w:tcPr>
            <w:tcW w:w="63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2093F1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状态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7350E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默认行为</w:t>
            </w:r>
          </w:p>
        </w:tc>
        <w:tc>
          <w:tcPr>
            <w:tcW w:w="63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48796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未预填地址 ⇒ 回落本地空端口，功能无感（full 放行决策 100% 本地）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F8D81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遥测端点</w:t>
            </w:r>
          </w:p>
        </w:tc>
        <w:tc>
          <w:tcPr>
            <w:tcW w:w="63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A49C14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无接线，接收端两个端点对 full 完全闲置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874B7BA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激活 / License</w:t>
            </w:r>
          </w:p>
        </w:tc>
        <w:tc>
          <w:tcPr>
            <w:tcW w:w="63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22596C7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不经过接收端，无耦合</w:t>
            </w:r>
          </w:p>
        </w:tc>
      </w:tr>
      <w:tr>
        <w:trPr/>
        <w:tc>
          <w:tcPr>
            <w:tcW w:w="1993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5AE6D5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潜在风险</w:t>
            </w:r>
          </w:p>
        </w:tc>
        <w:tc>
          <w:tcPr>
            <w:tcW w:w="6312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54A3B1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无；唯一「影响」是 full 用户若自行配置该地址可同样获得跨机归并，但目前无文档引导</w:t>
            </w:r>
          </w:p>
        </w:tc>
      </w:tr>
    </w:tbl>
    <w:p w14:paraId="6C5CB36C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1579b" w:sz="24"/>
              <w:bottom w:val="none" w:sz="8"/>
              <w:right w:val="none" w:sz="8"/>
            </w:tcBorders>
            <w:shd w:val="clear" w:fill="f0f5fa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557860AA">
            <w:pPr>
              <w:rPr>
                <w:color w:val="212121"/>
              </w:rPr>
            </w:pPr>
            <w:r>
              <w:t>ℹ️</w:t>
            </w:r>
          </w:p>
          <w:p w14:paraId="7483F5DF">
            <w:pPr>
              <w:spacing w:before="72" w:after="72"/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完整版要享用接收端能力，只需随下次 full 发版在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cordis.patch.yml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 预填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commerceBackendUrl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>（对齐 l0 的一行改动），无需改任何闸门逻辑。</w:t>
            </w:r>
          </w:p>
        </w:tc>
      </w:tr>
    </w:tbl>
    <w:p w14:paraId="3295AB40">
      <w:pPr>
        <w:pStyle w:val="000004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4" w:name="section-4"/>
      <w:r>
        <w:rPr>
          <w:rFonts w:hint="eastAsia" w:ascii="微软雅黑" w:hAnsi="微软雅黑" w:eastAsia="微软雅黑" w:cs="微软雅黑"/>
          <w:b w:val="1"/>
          <w:color w:val="1a237e"/>
          <w:sz w:val="30"/>
        </w:rPr>
        <w:t>四、风险与诚实边界（接收端侧）</w:t>
      </w:r>
      <w:bookmarkEnd w:id="4"/>
    </w:p>
    <w:p w14:paraId="6401110D">
      <w:pPr>
        <w:spacing w:after="180" w:line="384"/>
        <w:jc w:val="left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接收端按「统计信道」标准设计，以下风险均已评估并留下缓解措施；对插件功能均不构成阻塞。</w:t>
      </w:r>
    </w:p>
    <w:tbl>
      <w:tblPr>
        <w:tblW w:w="8306" w:type="dxa"/>
        <w:shd w:color="212121"/>
        <w:tblLayout w:type="autofit"/>
        <w:tblCellMar/>
      </w:tblPr>
      <w:tblGrid>
        <w:gridCol w:w="1661"/>
        <w:gridCol w:w="830"/>
        <w:gridCol w:w="5814"/>
      </w:tblGrid>
      <w:tr>
        <w:trPr>
          <w:tblHeader w:val="1"/>
        </w:trPr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6DE5810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风险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56C8151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等级</w:t>
            </w:r>
          </w:p>
        </w:tc>
        <w:tc>
          <w:tcPr>
            <w:tcW w:w="581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39482E9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现状与缓解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13CEA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端点无鉴权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0581FB3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🟡 中</w:t>
            </w:r>
          </w:p>
        </w:tc>
        <w:tc>
          <w:tcPr>
            <w:tcW w:w="581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7EC05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任何人可打；按「统计信道」设计（append-only + 8KB~512KB 体积上限 + 每 IP 每分钟 120 次 best-effort 限流）。内嵌 key 可被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npm pack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读走，故不假装能防逆向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EBF24A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限流非权威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34FC6B4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🟡 中</w:t>
            </w:r>
          </w:p>
        </w:tc>
        <w:tc>
          <w:tcPr>
            <w:tcW w:w="581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9369F3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isolate 内存计数，Deno Deploy 每 isolate 独立，非权威防线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7F2E85C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平台依赖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38053D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🟡 中</w:t>
            </w:r>
          </w:p>
        </w:tc>
        <w:tc>
          <w:tcPr>
            <w:tcW w:w="581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B0125E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数据与可用性系于 Deno Deploy 免费档政策；好在插件侧失联即降级（不归并、照常放行），无单点故障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C8066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域名可达性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03E6D2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🟢 低</w:t>
            </w:r>
          </w:p>
        </w:tc>
        <w:tc>
          <w:tcPr>
            <w:tcW w:w="581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C64FA6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*.deno.net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本机直连实测 200 / 1.3s（IP 69.67.170.170 未污染）；GFW 策略若变，影响仅止于归并不止于功能</w:t>
            </w:r>
          </w:p>
        </w:tc>
      </w:tr>
      <w:tr>
        <w:trPr/>
        <w:tc>
          <w:tcPr>
            <w:tcW w:w="1661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3EA433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软限制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6B31BD3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🟢 低</w:t>
            </w:r>
          </w:p>
        </w:tc>
        <w:tc>
          <w:tcPr>
            <w:tcW w:w="581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6F1F7F1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删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free-quota.json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即清零——免费档合理定位，商业版走激活码硬闸（0.5.0 docstring 已自承）</w:t>
            </w:r>
          </w:p>
        </w:tc>
      </w:tr>
    </w:tbl>
    <w:p w14:paraId="26FBA8EC">
      <w:pPr>
        <w:pStyle w:val="000004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5" w:name="section-5"/>
      <w:r>
        <w:rPr>
          <w:rFonts w:hint="eastAsia" w:ascii="微软雅黑" w:hAnsi="微软雅黑" w:eastAsia="微软雅黑" w:cs="微软雅黑"/>
          <w:b w:val="1"/>
          <w:color w:val="1a237e"/>
          <w:sz w:val="30"/>
        </w:rPr>
        <w:t>五、后续改进建议（按优先级）</w:t>
      </w:r>
      <w:bookmarkEnd w:id="5"/>
    </w:p>
    <w:p w14:paraId="2F91331E">
      <w:pPr>
        <w:spacing w:after="180" w:line="384"/>
        <w:jc w:val="left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七项建议按「先堵高危缺口、再对齐口径、后做运营与商业化延伸」排序；前三项建议随下一个 l0 / full 版本落地。</w:t>
      </w:r>
    </w:p>
    <w:tbl>
      <w:tblPr>
        <w:tblW w:w="8306" w:type="dxa"/>
        <w:shd w:color="212121"/>
        <w:tblLayout w:type="autofit"/>
        <w:tblCellMar/>
      </w:tblPr>
      <w:tblGrid>
        <w:gridCol w:w="498"/>
        <w:gridCol w:w="830"/>
        <w:gridCol w:w="3654"/>
        <w:gridCol w:w="996"/>
        <w:gridCol w:w="2325"/>
      </w:tblGrid>
      <w:tr>
        <w:trPr>
          <w:tblHeader w:val="1"/>
        </w:trPr>
        <w:tc>
          <w:tcPr>
            <w:tcW w:w="49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96D828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ascii="微软雅黑" w:hAnsi="微软雅黑" w:eastAsia="微软雅黑" w:cs="微软雅黑"/>
                <w:b w:val="1"/>
                <w:color w:val="1a237e"/>
                <w:sz w:val="20"/>
              </w:rPr>
              <w:t>#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1E25F51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优先级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1901591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建议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064B96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成本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20" w:type="dxa"/>
              <w:left w:w="168" w:type="dxa"/>
              <w:bottom w:w="120" w:type="dxa"/>
              <w:right w:w="168" w:type="dxa"/>
            </w:tcMar>
            <w:vAlign w:val="center"/>
          </w:tcPr>
          <w:p w14:paraId="0B48152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收益</w:t>
            </w:r>
          </w:p>
        </w:tc>
      </w:tr>
      <w:tr>
        <w:trPr/>
        <w:tc>
          <w:tcPr>
            <w:tcW w:w="49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9485D5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1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DF31153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P0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A01C2F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修 P0-门1：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runL0Pipeline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pipeline.mjs:70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）及子工具纯函数出口注入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assertFreeQuota('pipeline', config)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，共用 config + 一次性消费标记防重扣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426EA18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小（&lt;20 行）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956AE0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堵住脚本 / CI 直调零限制的唯一高危缺口</w:t>
            </w:r>
          </w:p>
        </w:tc>
      </w:tr>
      <w:tr>
        <w:trPr/>
        <w:tc>
          <w:tcPr>
            <w:tcW w:w="49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666282D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2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F01CE6B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P1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071011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full 版预填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commerceBackendUrl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（对齐 l0），让完整版免费档也获得跨机归并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E87CB19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小（一行 + 发版）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E9F038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两侧计数一本账</w:t>
            </w:r>
          </w:p>
        </w:tc>
      </w:tr>
      <w:tr>
        <w:trPr/>
        <w:tc>
          <w:tcPr>
            <w:tcW w:w="49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7FE9397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3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CDE6395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P1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58FAF8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口径统一：free-call 入参增加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day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 字段，接收端以插件上报的 day 为 KV 键；limit 改由插件上报或请求携带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7716F9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中（契约双升）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EADEDE2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消除时区 / 限额低报偏差</w:t>
            </w:r>
          </w:p>
        </w:tc>
      </w:tr>
      <w:tr>
        <w:trPr/>
        <w:tc>
          <w:tcPr>
            <w:tcW w:w="49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7816DA4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4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F6CC256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P2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387A809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 xml:space="preserve">给接收端加只读聚合端点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GET /api/dsh/stats</w:t>
            </w:r>
            <w:r>
              <w:rPr>
                <w:rFonts w:hint="eastAsia" w:ascii="宋体" w:hAnsi="宋体" w:eastAsia="宋体" w:cs="宋体"/>
                <w:color w:val="212121"/>
                <w:sz w:val="20"/>
              </w:rPr>
              <w:t>（设备数 / 调用量），替代手工查 KV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95FED82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小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A6150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运营可观测</w:t>
            </w:r>
          </w:p>
        </w:tc>
      </w:tr>
      <w:tr>
        <w:trPr/>
        <w:tc>
          <w:tcPr>
            <w:tcW w:w="49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A86F916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5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3E55914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P2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22A1E4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隐私立场复核：默认外发是否需要改为「首次运行明示」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6948F8F0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小（文档 / 配置）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2016D5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合规稳健</w:t>
            </w:r>
          </w:p>
        </w:tc>
      </w:tr>
      <w:tr>
        <w:trPr/>
        <w:tc>
          <w:tcPr>
            <w:tcW w:w="49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1B25CD61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6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78491B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P2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8346DCB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telemetry / experience 端点：要么接线（full 侧补 POST），要么在 README 标注「预留未启用」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6D8C1D0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小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6AA0E26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消除死端点歧义</w:t>
            </w:r>
          </w:p>
        </w:tc>
      </w:tr>
      <w:tr>
        <w:trPr/>
        <w:tc>
          <w:tcPr>
            <w:tcW w:w="498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D81ECE4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7</w:t>
            </w:r>
          </w:p>
        </w:tc>
        <w:tc>
          <w:tcPr>
            <w:tcW w:w="83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4656E1A">
            <w:pPr>
              <w:jc w:val="center"/>
              <w:rPr>
                <w:color w:val="212121"/>
              </w:rPr>
            </w:pPr>
            <w:r>
              <w:rPr>
                <w:rFonts w:ascii="宋体" w:hAnsi="宋体" w:eastAsia="宋体" w:cs="宋体"/>
                <w:color w:val="212121"/>
                <w:sz w:val="20"/>
              </w:rPr>
              <w:t>P3</w:t>
            </w:r>
          </w:p>
        </w:tc>
        <w:tc>
          <w:tcPr>
            <w:tcW w:w="3654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2BAA3CD8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长期：把接收端演进为商业后端（激活校验 / 支付回调）复用同架构；CF Worker 版保留为境外备胎（契约已逐字一致）</w:t>
            </w:r>
          </w:p>
        </w:tc>
        <w:tc>
          <w:tcPr>
            <w:tcW w:w="99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70CB72D3">
            <w:pPr>
              <w:jc w:val="center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大</w:t>
            </w:r>
          </w:p>
        </w:tc>
        <w:tc>
          <w:tcPr>
            <w:tcW w:w="2325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00C85B5F">
            <w:pPr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color w:val="212121"/>
                <w:sz w:val="20"/>
              </w:rPr>
              <w:t>商业化基础设施</w:t>
            </w:r>
          </w:p>
        </w:tc>
      </w:tr>
    </w:tbl>
    <w:p w14:paraId="7671E39B">
      <w:pPr>
        <w:pStyle w:val="000004"/>
        <w:keepNext w:val="1"/>
        <w:keepLines w:val="1"/>
        <w:pBdr>
          <w:left w:val="single" w:color="1565c0" w:sz="24" w:space="6"/>
        </w:pBdr>
        <w:spacing w:before="480" w:beforeAutospacing="1" w:after="180" w:afterAutospacing="1" w:line="384"/>
        <w:jc w:val="left"/>
        <w:outlineLvl w:val="1"/>
        <w:rPr>
          <w:color w:val="1a237e"/>
          <w:sz w:val="32"/>
          <w:szCs w:val="32"/>
        </w:rPr>
      </w:pPr>
      <w:bookmarkStart w:id="6" w:name="section-6"/>
      <w:r>
        <w:rPr>
          <w:rFonts w:hint="eastAsia" w:ascii="微软雅黑" w:hAnsi="微软雅黑" w:eastAsia="微软雅黑" w:cs="微软雅黑"/>
          <w:b w:val="1"/>
          <w:color w:val="1a237e"/>
          <w:sz w:val="30"/>
        </w:rPr>
        <w:t>六、结论</w:t>
      </w:r>
      <w:bookmarkEnd w:id="6"/>
    </w:p>
    <w:p w14:paraId="63018811">
      <w:pPr>
        <w:spacing w:after="180" w:line="384"/>
        <w:jc w:val="left"/>
        <w:rPr>
          <w:color w:val="212121"/>
        </w:rPr>
      </w:pPr>
      <w:r>
        <w:rPr>
          <w:rFonts w:hint="eastAsia" w:ascii="宋体" w:hAnsi="宋体" w:eastAsia="宋体" w:cs="宋体"/>
          <w:color w:val="212121"/>
          <w:sz w:val="24"/>
        </w:rPr>
        <w:t>B 方案走通的实质收益是</w:t>
      </w:r>
      <w:r>
        <w:rPr>
          <w:rFonts w:hint="eastAsia" w:ascii="宋体" w:hAnsi="宋体" w:eastAsia="宋体" w:cs="宋体"/>
          <w:b w:val="1"/>
          <w:color w:val="212121"/>
          <w:sz w:val="24"/>
        </w:rPr>
        <w:t>「官方第一次能看见免费插件的真实使用」</w:t>
      </w:r>
      <w:r>
        <w:rPr>
          <w:rFonts w:hint="eastAsia" w:ascii="宋体" w:hAnsi="宋体" w:eastAsia="宋体" w:cs="宋体"/>
          <w:color w:val="212121"/>
          <w:sz w:val="24"/>
        </w:rPr>
        <w:t xml:space="preserve">，且以零延迟代价、零功能风险的方式取得。免费插件的限流能力在 0.5.0 已本地闭环——这是比接收端更重要的修复；接收端补上的是归并与能见度。完整版尚未接入，建议随下次 full 发版预填地址对齐。唯一仍悬而未决的高危项是 </w:t>
      </w:r>
      <w:r>
        <w:rPr>
          <w:rFonts w:hint="eastAsia" w:ascii="宋体" w:hAnsi="宋体" w:eastAsia="宋体" w:cs="宋体"/>
          <w:b w:val="1"/>
          <w:color w:val="212121"/>
          <w:sz w:val="24"/>
        </w:rPr>
        <w:t>P0-门1（纯函数脱闸）</w:t>
      </w:r>
      <w:r>
        <w:rPr>
          <w:rFonts w:hint="eastAsia" w:ascii="宋体" w:hAnsi="宋体" w:eastAsia="宋体" w:cs="宋体"/>
          <w:color w:val="212121"/>
          <w:sz w:val="24"/>
        </w:rPr>
        <w:t>，建议在下一个 l0 版本中修复。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2e7d32" w:sz="24"/>
              <w:bottom w:val="none" w:sz="8"/>
              <w:right w:val="none" w:sz="8"/>
            </w:tcBorders>
            <w:shd w:val="clear" w:fill="f0f7f0"/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</w:tcPr>
          <w:p w14:paraId="48DE0EB7">
            <w:pPr>
              <w:rPr>
                <w:color w:val="212121"/>
              </w:rPr>
            </w:pPr>
            <w:r>
              <w:t>✅</w:t>
            </w:r>
          </w:p>
          <w:p w14:paraId="0AEE1382">
            <w:pPr>
              <w:spacing w:before="72" w:after="72"/>
              <w:jc w:val="left"/>
              <w:rPr>
                <w:color w:val="212121"/>
              </w:rPr>
            </w:pPr>
            <w:r>
              <w:rPr>
                <w:rFonts w:hint="eastAsia" w:ascii="宋体" w:hAnsi="宋体" w:eastAsia="宋体" w:cs="宋体"/>
                <w:b w:val="1"/>
                <w:color w:val="212121"/>
                <w:sz w:val="24"/>
              </w:rPr>
              <w:t>验收状态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：接收端线上四端点冒烟通过；本地探针 </w:t>
            </w:r>
            <w:r>
              <w:rPr>
                <w:rFonts w:ascii="Consolas" w:hAnsi="Consolas" w:eastAsia="Consolas" w:cs="Consolas"/>
                <w:color w:val="212121"/>
                <w:sz w:val="20"/>
              </w:rPr>
              <w:t>quota_probe_0.5.0.mjs</w:t>
            </w:r>
            <w:r>
              <w:rPr>
                <w:rFonts w:hint="eastAsia" w:ascii="宋体" w:hAnsi="宋体" w:eastAsia="宋体" w:cs="宋体"/>
                <w:color w:val="212121"/>
                <w:sz w:val="24"/>
              </w:rPr>
              <w:t xml:space="preserve"> 13/13 全绿；l0 0.5.0 已发 npm latest 并完成镜像同步（无漂移）。</w:t>
            </w:r>
          </w:p>
        </w:tc>
      </w:tr>
    </w:tbl>
    <w:p w14:paraId="32FE6989">
      <w:pPr>
        <w:pBdr>
          <w:top w:val="single" w:color="e0e0e0" w:sz="6" w:space="12"/>
        </w:pBdr>
        <w:spacing w:before="480" w:after="180" w:line="384"/>
        <w:jc w:val="left"/>
        <w:rPr>
          <w:color w:val="616161"/>
        </w:rPr>
      </w:pPr>
      <w:r>
        <w:rPr>
          <w:rFonts w:hint="eastAsia" w:ascii="宋体" w:hAnsi="宋体" w:eastAsia="宋体" w:cs="宋体"/>
          <w:b w:val="1"/>
          <w:color w:val="616161"/>
          <w:sz w:val="24"/>
        </w:rPr>
        <w:t>元信息</w:t>
      </w:r>
      <w:r>
        <w:rPr>
          <w:rFonts w:hint="eastAsia" w:ascii="宋体" w:hAnsi="宋体" w:eastAsia="宋体" w:cs="宋体"/>
          <w:color w:val="616161"/>
          <w:sz w:val="24"/>
        </w:rPr>
        <w:t>：目标读者——中高级 Node.js / 插件生态开发者（DSH 插件维护者）；前置知识——DSH 插件机制、免费 / 完整双包架构、Deno Deploy 2 基础。</w:t>
      </w:r>
    </w:p>
    <w:p w14:paraId="394B9430">
      <w:pPr>
        <w:pBdr>
          <w:top w:val="single" w:color="e0e0e0" w:sz="6" w:space="12"/>
        </w:pBdr>
        <w:spacing w:before="480" w:after="180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4"/>
        </w:rPr>
        <w:t>技术栈版本：dsh-motor-ai-l0@0.5.0（npm latest）/ dsh-motor-ai（full，rc 线）/ Deno Deploy 2（@deno/deploy 0.0.9908）/ Deno 2.9.6 / Node 24.19.0。</w:t>
      </w:r>
    </w:p>
    <w:p w14:paraId="1A3175CD">
      <w:pPr>
        <w:pBdr>
          <w:top w:val="single" w:color="e0e0e0" w:sz="6" w:space="12"/>
        </w:pBdr>
        <w:spacing w:before="480" w:after="180" w:line="384"/>
        <w:jc w:val="left"/>
        <w:rPr>
          <w:color w:val="616161"/>
        </w:rPr>
      </w:pPr>
      <w:r>
        <w:rPr>
          <w:rFonts w:hint="eastAsia" w:ascii="宋体" w:hAnsi="宋体" w:eastAsia="宋体" w:cs="宋体"/>
          <w:color w:val="616161"/>
          <w:sz w:val="24"/>
        </w:rPr>
        <w:t>实测基线：</w:t>
      </w:r>
      <w:r>
        <w:rPr>
          <w:rFonts w:ascii="Consolas" w:hAnsi="Consolas" w:eastAsia="Consolas" w:cs="Consolas"/>
          <w:color w:val="616161"/>
          <w:sz w:val="20"/>
        </w:rPr>
        <w:t>scripts/quota_probe_0.5.0.mjs</w:t>
      </w:r>
      <w:r>
        <w:rPr>
          <w:rFonts w:hint="eastAsia" w:ascii="宋体" w:hAnsi="宋体" w:eastAsia="宋体" w:cs="宋体"/>
          <w:color w:val="616161"/>
          <w:sz w:val="24"/>
        </w:rPr>
        <w:t xml:space="preserve"> 13/13 全绿；线上闸门 10+2 拒；直连 200 / 1.3s。</w:t>
      </w:r>
    </w:p>
    <w:p w14:paraId="387A69DE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5FAD05C0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14F3E0D9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able of figures" w:semiHidden="1" w:unhideWhenUsed="1"/>
    <w:lsdException w:name="index heading" w:semiHidden="1" w:unhideWhenUsed="1"/>
    <w:lsdException w:name="endnote text" w:semiHidden="1" w:unhideWhenUsed="1"/>
    <w:lsdException w:name="heading 2" w:uiPriority="9" w:semiHidden="1" w:unhideWhenUsed="1" w:qFormat="1"/>
    <w:lsdException w:name="heading 8" w:uiPriority="9" w:semiHidden="1" w:unhideWhenUsed="1" w:qFormat="1"/>
    <w:lsdException w:name="List Number 5" w:semiHidden="1" w:unhideWhenUsed="1"/>
    <w:lsdException w:name="heading 5" w:uiPriority="9" w:semiHidden="1" w:unhideWhenUsed="1" w:qFormat="1"/>
    <w:lsdException w:name="Normal Indent" w:semiHidden="1" w:unhideWhenUsed="1"/>
    <w:lsdException w:name="heading 3" w:uiPriority="9" w:semiHidden="1" w:unhideWhenUsed="1" w:qFormat="1"/>
    <w:lsdException w:name="index 1" w:semiHidden="1" w:unhideWhenUsed="1"/>
    <w:lsdException w:name="envelope address" w:semiHidden="1" w:unhideWhenUsed="1"/>
    <w:lsdException w:name="Closing" w:semiHidden="1" w:unhideWhenUsed="1"/>
    <w:lsdException w:name="index 7" w:semiHidden="1" w:unhideWhenUsed="1"/>
    <w:lsdException w:name="Body Text Indent" w:semiHidden="1" w:unhideWhenUsed="1"/>
    <w:lsdException w:name="endnote reference" w:semiHidden="1" w:unhideWhenUsed="1"/>
    <w:lsdException w:name="index 2" w:semiHidden="1" w:unhideWhenUsed="1"/>
    <w:lsdException w:name="index 8" w:semiHidden="1" w:unhideWhenUsed="1"/>
    <w:lsdException w:name="toc 9" w:uiPriority="39" w:semiHidden="1" w:unhideWhenUsed="1"/>
    <w:lsdException w:name="Body Text 2" w:semiHidden="1" w:unhideWhenUsed="1"/>
    <w:lsdException w:name="List 2" w:semiHidden="1" w:unhideWhenUsed="1"/>
    <w:lsdException w:name="List Continue 3" w:semiHidden="1" w:unhideWhenUsed="1"/>
    <w:lsdException w:name="table of authorities" w:semiHidden="1" w:unhideWhenUsed="1"/>
    <w:lsdException w:name="footer" w:semiHidden="1" w:unhideWhenUsed="1"/>
    <w:lsdException w:name="index 9" w:semiHidden="1" w:unhideWhenUsed="1"/>
    <w:lsdException w:name="Body Text Indent 3" w:semiHidden="1" w:unhideWhenUsed="1"/>
    <w:lsdException w:name="toc 4" w:uiPriority="39" w:semiHidden="1" w:unhideWhenUsed="1"/>
    <w:lsdException w:name="List 4" w:semiHidden="1" w:unhideWhenUsed="1"/>
    <w:lsdException w:name="Hyperlink" w:semiHidden="1" w:unhideWhenUsed="1"/>
    <w:lsdException w:name="List Bullet 2" w:semiHidden="1" w:unhideWhenUsed="1"/>
    <w:lsdException w:name="Block Text" w:semiHidden="1" w:unhideWhenUsed="1"/>
    <w:lsdException w:name="heading 7" w:uiPriority="9" w:semiHidden="1" w:unhideWhenUsed="1" w:qFormat="1"/>
    <w:lsdException w:name="List 5" w:semiHidden="1" w:unhideWhenUsed="1"/>
    <w:lsdException w:name="Body Text First Indent 2" w:semiHidden="1" w:unhideWhenUsed="1"/>
    <w:lsdException w:name="index 3" w:semiHidden="1" w:unhideWhenUsed="1"/>
    <w:lsdException w:name="page number" w:semiHidden="1" w:unhideWhenUsed="1"/>
    <w:lsdException w:name="Note Heading" w:semiHidden="1" w:unhideWhenUsed="1"/>
    <w:lsdException w:name="List Number 2" w:semiHidden="1" w:unhideWhenUsed="1"/>
    <w:lsdException w:name="caption" w:uiPriority="35" w:semiHidden="1" w:unhideWhenUsed="1" w:qFormat="1"/>
    <w:lsdException w:name="Message Header" w:semiHidden="1" w:unhideWhenUsed="1"/>
    <w:lsdException w:name="Default Paragraph Font" w:uiPriority="1" w:semiHidden="1" w:unhideWhenUsed="1"/>
    <w:lsdException w:name="Salutation" w:semiHidden="1" w:unhideWhenUsed="1"/>
    <w:lsdException w:name="Body Text First Indent" w:semiHidden="1" w:unhideWhenUsed="1"/>
    <w:lsdException w:name="index 4" w:semiHidden="1" w:unhideWhenUsed="1"/>
    <w:lsdException w:name="footnote reference" w:semiHidden="1" w:unhideWhenUsed="1"/>
    <w:lsdException w:name="Title" w:uiPriority="10" w:qFormat="1"/>
    <w:lsdException w:name="index 6" w:semiHidden="1" w:unhideWhenUsed="1"/>
    <w:lsdException w:name="annotation reference" w:semiHidden="1" w:unhideWhenUsed="1"/>
    <w:lsdException w:name="List" w:semiHidden="1" w:unhideWhenUsed="1"/>
    <w:lsdException w:name="List Continue 5" w:semiHidden="1" w:unhideWhenUsed="1"/>
    <w:lsdException w:name="index 5" w:semiHidden="1" w:unhideWhenUsed="1"/>
    <w:lsdException w:name="FollowedHyperlink" w:semiHidden="1" w:unhideWhenUsed="1"/>
    <w:lsdException w:name="Strong" w:uiPriority="22" w:qFormat="1"/>
    <w:lsdException w:name="toc 8" w:uiPriority="39" w:semiHidden="1" w:unhideWhenUsed="1"/>
    <w:lsdException w:name="toc 2" w:uiPriority="39" w:semiHidden="1" w:unhideWhenUsed="1"/>
    <w:lsdException w:name="List Bullet 4" w:semiHidden="1" w:unhideWhenUsed="1"/>
    <w:lsdException w:name="toc 5" w:uiPriority="39" w:semiHidden="1" w:unhideWhenUsed="1"/>
    <w:lsdException w:name="List Bullet 3" w:semiHidden="1" w:unhideWhenUsed="1"/>
    <w:lsdException w:name="List Continue" w:semiHidden="1" w:unhideWhenUsed="1"/>
    <w:lsdException w:name="List Bullet" w:semiHidden="1" w:unhideWhenUsed="1"/>
    <w:lsdException w:name="toc 3" w:uiPriority="39" w:semiHidden="1" w:unhideWhenUsed="1"/>
    <w:lsdException w:name="List Bullet 5" w:semiHidden="1" w:unhideWhenUsed="1"/>
    <w:lsdException w:name="heading 9" w:uiPriority="9" w:semiHidden="1" w:unhideWhenUsed="1" w:qFormat="1"/>
    <w:lsdException w:name="macro" w:semiHidden="1" w:unhideWhenUsed="1"/>
    <w:lsdException w:name="Body Text" w:semiHidden="1" w:unhideWhenUsed="1"/>
    <w:lsdException w:name="footnote text" w:semiHidden="1" w:unhideWhenUsed="1"/>
    <w:lsdException w:name="List Number 4" w:semiHidden="1" w:unhideWhenUsed="1"/>
    <w:lsdException w:name="Normal" w:uiPriority="0" w:qFormat="1"/>
    <w:lsdException w:name="heading 6" w:uiPriority="9" w:semiHidden="1" w:unhideWhenUsed="1" w:qFormat="1"/>
    <w:lsdException w:name="heading 4" w:uiPriority="9" w:semiHidden="1" w:unhideWhenUsed="1" w:qFormat="1"/>
    <w:lsdException w:name="envelope return" w:semiHidden="1" w:unhideWhenUsed="1"/>
    <w:lsdException w:name="toc 6" w:uiPriority="39" w:semiHidden="1" w:unhideWhenUsed="1"/>
    <w:lsdException w:name="toa heading" w:semiHidden="1" w:unhideWhenUsed="1"/>
    <w:lsdException w:name="List Continue 4" w:semiHidden="1" w:unhideWhenUsed="1"/>
    <w:lsdException w:name="List Number 3" w:semiHidden="1" w:unhideWhenUsed="1"/>
    <w:lsdException w:name="line number" w:semiHidden="1" w:unhideWhenUsed="1"/>
    <w:lsdException w:name="List Number" w:semiHidden="1" w:unhideWhenUsed="1"/>
    <w:lsdException w:name="header" w:semiHidden="1" w:unhideWhenUsed="1"/>
    <w:lsdException w:name="List 3" w:semiHidden="1" w:unhideWhenUsed="1"/>
    <w:lsdException w:name="List Continue 2" w:semiHidden="1" w:unhideWhenUsed="1"/>
    <w:lsdException w:name="Body Text Indent 2" w:semiHidden="1" w:unhideWhenUsed="1"/>
    <w:lsdException w:name="heading 1" w:uiPriority="9" w:qFormat="1"/>
    <w:lsdException w:name="toc 7" w:uiPriority="39" w:semiHidden="1" w:unhideWhenUsed="1"/>
    <w:lsdException w:name="toc 1" w:uiPriority="39" w:semiHidden="1" w:unhideWhenUsed="1"/>
    <w:lsdException w:name="Date" w:semiHidden="1" w:unhideWhenUsed="1"/>
    <w:lsdException w:name="Signature" w:semiHidden="1" w:unhideWhenUsed="1"/>
    <w:lsdException w:name="Body Text 3" w:semiHidden="1" w:unhideWhenUsed="1"/>
    <w:lsdException w:name="Subtitle" w:uiPriority="11" w:qFormat="1"/>
    <w:lsdException w:name="annotation text" w:semiHidden="1" w:unhideWhenUsed="1"/>
  </w:latentStyles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2026-10-14T22:55:44Z</dcterms:created>
  <dcterms:modified xsi:type="dcterms:W3CDTF">2026-10-14T22:55:44Z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"01a13ad723d374739b8fcb4854cb498f", "ReservedCode1": "", "ContentPropagator": "00119111010856365494821B355", "PropagateID": "01a13ad723d374739b8fcb4854cb498f", "ReservedCode2": ""}}</vt:lpwstr>
  </property>
</Properties>
</file>