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72"/>
          <w:szCs w:val="72"/>
        </w:rPr>
        <w:t xml:space="preserve">ChannelHub</w:t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52"/>
          <w:szCs w:val="52"/>
        </w:rPr>
        <w:t xml:space="preserve">5G NR 信道数据工场平台说明书</w:t>
      </w:r>
    </w:p>
    <w:p>
      <w:pPr>
        <w:spacing w:after="10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（数据采集 · 处理 · 管理 · 评估一体化平台）</w:t>
      </w:r>
    </w:p>
    <w:p>
      <w:pPr>
        <w:spacing w:before="1500"/>
      </w:pPr>
    </w:p>
    <w:p>
      <w:pPr>
        <w:spacing w:after="10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版本：V2.0</w:t>
      </w:r>
    </w:p>
    <w:p>
      <w:pPr>
        <w:spacing w:after="10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日期：2026 年 5 月</w:t>
      </w:r>
    </w:p>
    <w:p>
      <w:r>
        <w:br w:type="page"/>
      </w:r>
    </w:p>
    <w:p>
      <w:pPr>
        <w:pStyle w:val="Heading1"/>
        <w:spacing w:after="240" w:before="36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第一章  平台概述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1.1  平台定位与功能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ChannelHub 是面向 5G NR 信道表征学习的数据工场平台，定位为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信道数据工厂</w:t>
      </w:r>
      <w:r>
        <w:rPr>
          <w:rFonts w:ascii="SimSun" w:cs="SimSun" w:eastAsia="SimSun" w:hAnsi="SimSun"/>
          <w:sz w:val="24"/>
          <w:szCs w:val="24"/>
        </w:rPr>
        <w:t xml:space="preserve">与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模型评估引擎</w:t>
      </w:r>
      <w:r>
        <w:rPr>
          <w:rFonts w:ascii="SimSun" w:cs="SimSun" w:eastAsia="SimSun" w:hAnsi="SimSun"/>
          <w:sz w:val="24"/>
          <w:szCs w:val="24"/>
        </w:rPr>
        <w:t xml:space="preserve">的一体化系统。平台负责多源信道数据的采集、管理、划分与导出，同时支持外部训练模型的导入、推理与评估。训练过程在外部独立平台完成，平台专注于数据质量与评估公正性的保障。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平台的核心工作流包括三个阶段：（1）通过多种数据源采集信道数据，支持 3GPP 38.901 统计模型、射线追踪仿真及 MATLAB QuaDRiGa 引擎；（2）对采集数据进行特征提取、数据集划分与多格式导出，供外部训练框架消费；（3）导入外部训练好的模型，在锁定的测试集上评估并生成排行榜，确保模型对比的公平性。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1.2  技术架构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平台采用前后端分离架构，后端基于 FastAPI 框架提供 RESTful API，前端使用 React 18 与 Ant Design 组件库构建交互界面。任务调度通过 Dramatiq 消息队列实现异步处理，Redis 作为消息代理。数据持久化采用 SQLite 数据库（兼容 PostgreSQL），配合 Alembic 进行数据库迁移管理。</w:t>
      </w:r>
    </w:p>
    <w:p>
      <w:pPr>
        <w:spacing w:after="80" w:before="200"/>
        <w:jc w:val="center"/>
      </w:pPr>
      <w:r>
        <w:rPr>
          <w:rFonts w:ascii="SimHei" w:cs="SimHei" w:eastAsia="SimHei" w:hAnsi="SimHei"/>
          <w:sz w:val="21"/>
          <w:szCs w:val="21"/>
        </w:rPr>
        <w:t xml:space="preserve">表 1-1  平台技术栈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906"/>
      </w:tblGrid>
      <w:tr>
        <w:tc>
          <w:tcPr>
            <w:tcW w:type="dxa" w:w="16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层次</w:t>
            </w:r>
          </w:p>
        </w:tc>
        <w:tc>
          <w:tcPr>
            <w:tcW w:type="dxa" w:w="38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技术组件</w:t>
            </w:r>
          </w:p>
        </w:tc>
        <w:tc>
          <w:tcPr>
            <w:tcW w:type="dxa" w:w="2906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前端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React 18 + TypeScript + Ant Design</w:t>
            </w:r>
          </w:p>
        </w:tc>
        <w:tc>
          <w:tcPr>
            <w:tcW w:type="dxa" w:w="29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单页应用，响应式布局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后端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FastAPI + SQLAlchemy + Pydantic</w:t>
            </w:r>
          </w:p>
        </w:tc>
        <w:tc>
          <w:tcPr>
            <w:tcW w:type="dxa" w:w="29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RESTful API，类型安全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数据库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SQLite + Alembic</w:t>
            </w:r>
          </w:p>
        </w:tc>
        <w:tc>
          <w:tcPr>
            <w:tcW w:type="dxa" w:w="29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轻量级，支持迁移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任务队列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Dramatiq + Redis</w:t>
            </w:r>
          </w:p>
        </w:tc>
        <w:tc>
          <w:tcPr>
            <w:tcW w:type="dxa" w:w="29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异步任务调度与监控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信道仿真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NumPy + SciPy + Sionna 2.0</w:t>
            </w:r>
          </w:p>
        </w:tc>
        <w:tc>
          <w:tcPr>
            <w:tcW w:type="dxa" w:w="29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3GPP 信道模型实现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ML 框架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PyTorch</w:t>
            </w:r>
          </w:p>
        </w:tc>
        <w:tc>
          <w:tcPr>
            <w:tcW w:type="dxa" w:w="29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模型评估与推理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配置管理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Hydra + pydantic-settings</w:t>
            </w:r>
          </w:p>
        </w:tc>
        <w:tc>
          <w:tcPr>
            <w:tcW w:type="dxa" w:w="2906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ML 超参与基础设施配置分离</w:t>
            </w:r>
          </w:p>
        </w:tc>
      </w:tr>
    </w:tbl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1.3  功能导航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平台前端提供以下主要功能页面，通过左侧导航栏进行切换：</w:t>
      </w:r>
    </w:p>
    <w:p>
      <w:pPr>
        <w:spacing w:after="80" w:before="200"/>
        <w:jc w:val="center"/>
      </w:pPr>
      <w:r>
        <w:rPr>
          <w:rFonts w:ascii="SimHei" w:cs="SimHei" w:eastAsia="SimHei" w:hAnsi="SimHei"/>
          <w:sz w:val="21"/>
          <w:szCs w:val="21"/>
        </w:rPr>
        <w:t xml:space="preserve">表 1-2  平台功能页面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906"/>
      </w:tblGrid>
      <w:tr>
        <w:tc>
          <w:tcPr>
            <w:tcW w:type="dxa" w:w="14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页面</w:t>
            </w:r>
          </w:p>
        </w:tc>
        <w:tc>
          <w:tcPr>
            <w:tcW w:type="dxa" w:w="20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4906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功能说明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仪表盘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</w:t>
            </w:r>
          </w:p>
        </w:tc>
        <w:tc>
          <w:tcPr>
            <w:tcW w:type="dxa" w:w="49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系统概览、数据统计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数据集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/datasets</w:t>
            </w:r>
          </w:p>
        </w:tc>
        <w:tc>
          <w:tcPr>
            <w:tcW w:type="dxa" w:w="49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数据源聚合列表与详情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信道浏览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/channels</w:t>
            </w:r>
          </w:p>
        </w:tc>
        <w:tc>
          <w:tcPr>
            <w:tcW w:type="dxa" w:w="49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Bridge 处理后的信道可视化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数据采集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/collect</w:t>
            </w:r>
          </w:p>
        </w:tc>
        <w:tc>
          <w:tcPr>
            <w:tcW w:type="dxa" w:w="49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四步向导式采集配置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数据处理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/process</w:t>
            </w:r>
          </w:p>
        </w:tc>
        <w:tc>
          <w:tcPr>
            <w:tcW w:type="dxa" w:w="49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Bridge 特征提取任务管理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任务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/jobs</w:t>
            </w:r>
          </w:p>
        </w:tc>
        <w:tc>
          <w:tcPr>
            <w:tcW w:type="dxa" w:w="49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任务列表、创建与实时监控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运行记录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/runs</w:t>
            </w:r>
          </w:p>
        </w:tc>
        <w:tc>
          <w:tcPr>
            <w:tcW w:type="dxa" w:w="49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训练/评估运行记录与指标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对比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/compare</w:t>
            </w:r>
          </w:p>
        </w:tc>
        <w:tc>
          <w:tcPr>
            <w:tcW w:type="dxa" w:w="49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多模型指标对比分析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模型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/models</w:t>
            </w:r>
          </w:p>
        </w:tc>
        <w:tc>
          <w:tcPr>
            <w:tcW w:type="dxa" w:w="4906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模型仓库、上传、评估、排行榜</w:t>
            </w:r>
          </w:p>
        </w:tc>
      </w:tr>
    </w:tbl>
    <w:p>
      <w:r>
        <w:br w:type="page"/>
      </w:r>
    </w:p>
    <w:p>
      <w:pPr>
        <w:pStyle w:val="Heading1"/>
        <w:spacing w:after="240" w:before="36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第二章  数据采集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2.1  数据源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平台支持三种信道数据源，各自具有不同的物理建模精度与计算依赖。三种数据源共享统一的输出格式（ChannelSample），确保下游处理流程的一致性。</w:t>
      </w:r>
    </w:p>
    <w:p>
      <w:pPr>
        <w:spacing w:after="80" w:before="200"/>
        <w:jc w:val="center"/>
      </w:pPr>
      <w:r>
        <w:rPr>
          <w:rFonts w:ascii="SimHei" w:cs="SimHei" w:eastAsia="SimHei" w:hAnsi="SimHei"/>
          <w:sz w:val="21"/>
          <w:szCs w:val="21"/>
        </w:rPr>
        <w:t xml:space="preserve">表 2-1  数据源对比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800"/>
        <w:gridCol w:w="2306"/>
      </w:tblGrid>
      <w:tr>
        <w:tc>
          <w:tcPr>
            <w:tcW w:type="dxa" w:w="16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数据源</w:t>
            </w:r>
          </w:p>
        </w:tc>
        <w:tc>
          <w:tcPr>
            <w:tcW w:type="dxa" w:w="26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建模方法</w:t>
            </w:r>
          </w:p>
        </w:tc>
        <w:tc>
          <w:tcPr>
            <w:tcW w:type="dxa" w:w="18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依赖</w:t>
            </w:r>
          </w:p>
        </w:tc>
        <w:tc>
          <w:tcPr>
            <w:tcW w:type="dxa" w:w="2306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适用场景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internal_sim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3GPP 38.901 统计模型 (TDL/CDL)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纯 Python</w:t>
            </w:r>
          </w:p>
        </w:tc>
        <w:tc>
          <w:tcPr>
            <w:tcW w:type="dxa" w:w="23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快速验证、大规模生成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sionna_rt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Sionna 射线追踪 + TDL 回退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GPU + Sionna 2.0</w:t>
            </w:r>
          </w:p>
        </w:tc>
        <w:tc>
          <w:tcPr>
            <w:tcW w:type="dxa" w:w="23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真实场景精确建模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quadriga_real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QuaDRiGa 引擎 (MATLAB)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本地 MATLAB</w:t>
            </w:r>
          </w:p>
        </w:tc>
        <w:tc>
          <w:tcPr>
            <w:tcW w:type="dxa" w:w="2306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3GPP 全场景覆盖</w:t>
            </w:r>
          </w:p>
        </w:tc>
      </w:tr>
    </w:tbl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2.2  采集向导操作流程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数据采集通过四步向导（CollectWizard）完成，用户依次选择数据源、配置设备参数、设置信道参数、确认并提交。向导的设计确保参数完整性与物理一致性。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2.2.1  Step 1：选择数据源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用户在第一步选择数据源类型。选择后，后续表单将根据数据源约束动态调整可用选项。例如，室内热点（InH）和农村宏站（RMa）场景的路径损耗模型仅在 QuaDRiGa 数据源下可用。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2.2.2  Step 2：设备与环境配置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第二步通过可折叠面板（Collapse）组织参数，包含拓扑配置、天线阵列、射频参数和终端配置四个面板。顶部提供六个场景预设卡片，点击后自动填充全部参数，用户可在此基础上自由修改。</w:t>
      </w:r>
    </w:p>
    <w:p>
      <w:pPr>
        <w:spacing w:after="80" w:before="200"/>
        <w:jc w:val="center"/>
      </w:pPr>
      <w:r>
        <w:rPr>
          <w:rFonts w:ascii="SimHei" w:cs="SimHei" w:eastAsia="SimHei" w:hAnsi="SimHei"/>
          <w:sz w:val="21"/>
          <w:szCs w:val="21"/>
        </w:rPr>
        <w:t xml:space="preserve">表 2-2  场景预设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1200"/>
        <w:gridCol w:w="1000"/>
        <w:gridCol w:w="2406"/>
      </w:tblGrid>
      <w:tr>
        <w:tc>
          <w:tcPr>
            <w:tcW w:type="dxa" w:w="15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预设名称</w:t>
            </w:r>
          </w:p>
        </w:tc>
        <w:tc>
          <w:tcPr>
            <w:tcW w:type="dxa" w:w="10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场景</w:t>
            </w:r>
          </w:p>
        </w:tc>
        <w:tc>
          <w:tcPr>
            <w:tcW w:type="dxa" w:w="12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频段</w:t>
            </w:r>
          </w:p>
        </w:tc>
        <w:tc>
          <w:tcPr>
            <w:tcW w:type="dxa" w:w="12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带宽</w:t>
            </w:r>
          </w:p>
        </w:tc>
        <w:tc>
          <w:tcPr>
            <w:tcW w:type="dxa" w:w="10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ISD</w:t>
            </w:r>
          </w:p>
        </w:tc>
        <w:tc>
          <w:tcPr>
            <w:tcW w:type="dxa" w:w="2406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天线配置</w:t>
            </w:r>
          </w:p>
        </w:tc>
      </w:tr>
      <w:tr>
        <w:tc>
          <w:tcPr>
            <w:tcW w:type="dxa" w:w="15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城市宏站 64T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UMa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3.5 GHz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100 MHz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500 m</w:t>
            </w:r>
          </w:p>
        </w:tc>
        <w:tc>
          <w:tcPr>
            <w:tcW w:type="dxa" w:w="24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8×4×2 = 64T64R</w:t>
            </w:r>
          </w:p>
        </w:tc>
      </w:tr>
      <w:tr>
        <w:tc>
          <w:tcPr>
            <w:tcW w:type="dxa" w:w="15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城市微站 32T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UMi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3.5 GHz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100 MHz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200 m</w:t>
            </w:r>
          </w:p>
        </w:tc>
        <w:tc>
          <w:tcPr>
            <w:tcW w:type="dxa" w:w="24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4×4×2 = 32T32R</w:t>
            </w:r>
          </w:p>
        </w:tc>
      </w:tr>
      <w:tr>
        <w:tc>
          <w:tcPr>
            <w:tcW w:type="dxa" w:w="15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室内热点 8T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InH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3.5 GHz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50 MHz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50 m</w:t>
            </w:r>
          </w:p>
        </w:tc>
        <w:tc>
          <w:tcPr>
            <w:tcW w:type="dxa" w:w="24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2×2×2 = 8T8R</w:t>
            </w:r>
          </w:p>
        </w:tc>
      </w:tr>
      <w:tr>
        <w:tc>
          <w:tcPr>
            <w:tcW w:type="dxa" w:w="15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农村宏站 4T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RMa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700 MHz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20 MHz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1732 m</w:t>
            </w:r>
          </w:p>
        </w:tc>
        <w:tc>
          <w:tcPr>
            <w:tcW w:type="dxa" w:w="24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2×2×1 = 4T4R</w:t>
            </w:r>
          </w:p>
        </w:tc>
      </w:tr>
      <w:tr>
        <w:tc>
          <w:tcPr>
            <w:tcW w:type="dxa" w:w="15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毫米波 28G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UMi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28 GHz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100 MHz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100 m</w:t>
            </w:r>
          </w:p>
        </w:tc>
        <w:tc>
          <w:tcPr>
            <w:tcW w:type="dxa" w:w="24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8×4×2 = 64T64R</w:t>
            </w:r>
          </w:p>
        </w:tc>
      </w:tr>
      <w:tr>
        <w:tc>
          <w:tcPr>
            <w:tcW w:type="dxa" w:w="15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高铁 350km/h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UMa-LOS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2.6 GHz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100 MHz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1000 m</w:t>
            </w:r>
          </w:p>
        </w:tc>
        <w:tc>
          <w:tcPr>
            <w:tcW w:type="dxa" w:w="2406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8×4×2 = 64T64R</w:t>
            </w:r>
          </w:p>
        </w:tc>
      </w:tr>
    </w:tbl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拓扑配置面板支持六边形蜂窝与线性轨道两种布局。蜂窝模式下站点数限制为 1/3/7/19/37（对应 0~4 环），线性模式下可自由设置（2~57 站）。天线阵列面板支持 BS 和 UE 各自独立的面阵预设，以及交叉极化鉴别度（XPD）配置。</w:t>
      </w:r>
    </w:p>
    <w:p>
      <w:pPr>
        <w:spacing w:after="60" w:before="160"/>
        <w:jc w:val="center"/>
      </w:pPr>
      <w:r>
        <w:drawing>
          <wp:inline distT="0" distB="0" distL="0" distR="0">
            <wp:extent cx="4000500" cy="3714750"/>
            <wp:effectExtent t="0" r="0" b="0" l="0"/>
            <wp:docPr id="1" name="fig_hex_topology.png" descr="fig_hex_topology.png" title="fig_hex_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SimHei" w:cs="SimHei" w:eastAsia="SimHei" w:hAnsi="SimHei"/>
          <w:sz w:val="21"/>
          <w:szCs w:val="21"/>
        </w:rPr>
        <w:t xml:space="preserve">图 2-1  7 小区六边形蜂窝拓扑示意图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射频参数面板中，RB 数根据带宽与子载波间隔自动查询 3GPP TS 38.101</w:t>
      </w:r>
      <w:r>
        <w:rPr>
          <w:rFonts w:ascii="Times New Roman" w:cs="Times New Roman" w:eastAsia="Times New Roman" w:hAnsi="Times New Roman"/>
          <w:sz w:val="21"/>
          <w:szCs w:val="21"/>
          <w:vertAlign w:val="superscript"/>
        </w:rPr>
        <w:t xml:space="preserve">[1]</w:t>
      </w:r>
      <w:r>
        <w:rPr>
          <w:rFonts w:ascii="SimSun" w:cs="SimSun" w:eastAsia="SimSun" w:hAnsi="SimSun"/>
          <w:sz w:val="24"/>
          <w:szCs w:val="24"/>
        </w:rPr>
        <w:t xml:space="preserve"> Table 5.3.2-1 标准表确定，无需手动输入。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2.2.3  Step 3：信道配置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信道配置包含核心参数与高级参数两层。核心参数始终可见，包括链路方向、信道估计模式、导频类型、采样数和传播场景。SRS 高级参数（周期、跳频、梳齿、带宽树等）默认折叠，需要时展开配置。</w:t>
      </w:r>
    </w:p>
    <w:p>
      <w:pPr>
        <w:spacing w:after="80" w:before="200"/>
        <w:jc w:val="center"/>
      </w:pPr>
      <w:r>
        <w:rPr>
          <w:rFonts w:ascii="SimHei" w:cs="SimHei" w:eastAsia="SimHei" w:hAnsi="SimHei"/>
          <w:sz w:val="21"/>
          <w:szCs w:val="21"/>
        </w:rPr>
        <w:t xml:space="preserve">表 2-3  信道估计模式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4506"/>
      </w:tblGrid>
      <w:tr>
        <w:tc>
          <w:tcPr>
            <w:tcW w:type="dxa" w:w="16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模式</w:t>
            </w:r>
          </w:p>
        </w:tc>
        <w:tc>
          <w:tcPr>
            <w:tcW w:type="dxa" w:w="22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4506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特点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ideal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理想估计</w:t>
            </w:r>
          </w:p>
        </w:tc>
        <w:tc>
          <w:tcPr>
            <w:tcW w:type="dxa" w:w="45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直接使用真实信道，无噪声和干扰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ls_linear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LS + 线性插值</w:t>
            </w:r>
          </w:p>
        </w:tc>
        <w:tc>
          <w:tcPr>
            <w:tcW w:type="dxa" w:w="45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导频位置 LS 估计，频域线性插值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ls_mmse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LS + MMSE 插值</w:t>
            </w:r>
          </w:p>
        </w:tc>
        <w:tc>
          <w:tcPr>
            <w:tcW w:type="dxa" w:w="45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利用信道统计信息的 MMSE 估计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ls_hop_concat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LS + 跳频拼接</w:t>
            </w:r>
          </w:p>
        </w:tc>
        <w:tc>
          <w:tcPr>
            <w:tcW w:type="dxa" w:w="4506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SRS 逐跳独立估计后按 RB 拼接</w:t>
            </w:r>
          </w:p>
        </w:tc>
      </w:tr>
    </w:tbl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2.2.4  Step 4：确认与提交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确认页以 Tag 横幅显示关键配置摘要（数据源、站点数、天线规格、频段、带宽、采样数），下方 Descriptions 组件展示完整参数。提交后系统自动创建 simulate 类型任务，并通过 Dramatiq 队列分发至 Worker 执行。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2.3  高铁场景专属能力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平台内置高铁（HSR）场景支持，采用线性拓扑部署模型。站点交替部署在轨道两侧（间距可配），UE 集中分布在列车车厢内随列车整体移动。主要特性如下：</w:t>
      </w:r>
    </w:p>
    <w:p>
      <w:pPr>
        <w:spacing w:after="80" w:before="200"/>
        <w:jc w:val="center"/>
      </w:pPr>
      <w:r>
        <w:rPr>
          <w:rFonts w:ascii="SimHei" w:cs="SimHei" w:eastAsia="SimHei" w:hAnsi="SimHei"/>
          <w:sz w:val="21"/>
          <w:szCs w:val="21"/>
        </w:rPr>
        <w:t xml:space="preserve">表 2-4  高铁场景参数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906"/>
      </w:tblGrid>
      <w:tr>
        <w:tc>
          <w:tcPr>
            <w:tcW w:type="dxa" w:w="18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特性</w:t>
            </w:r>
          </w:p>
        </w:tc>
        <w:tc>
          <w:tcPr>
            <w:tcW w:type="dxa" w:w="26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默认值</w:t>
            </w:r>
          </w:p>
        </w:tc>
        <w:tc>
          <w:tcPr>
            <w:tcW w:type="dxa" w:w="3906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线性拓扑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topology_layout: linear</w:t>
            </w:r>
          </w:p>
        </w:tc>
        <w:tc>
          <w:tcPr>
            <w:tcW w:type="dxa" w:w="39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站点交替部署在轨道两侧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轨道偏移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track_offset_m: 80</w:t>
            </w:r>
          </w:p>
        </w:tc>
        <w:tc>
          <w:tcPr>
            <w:tcW w:type="dxa" w:w="39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站点到轨道中心线的垂直距离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HyperCell 组网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hypercell_size: 4</w:t>
            </w:r>
          </w:p>
        </w:tc>
        <w:tc>
          <w:tcPr>
            <w:tcW w:type="dxa" w:w="39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每组 RRH 共享 PCI，减少切换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车体穿透损耗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22 dB</w:t>
            </w:r>
          </w:p>
        </w:tc>
        <w:tc>
          <w:tcPr>
            <w:tcW w:type="dxa" w:w="39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3GPP TR 38.913 Table 7.4.4-1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移动模式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track</w:t>
            </w:r>
          </w:p>
        </w:tc>
        <w:tc>
          <w:tcPr>
            <w:tcW w:type="dxa" w:w="39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沿轨道中心线匀速行驶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Doppler 计算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自动</w:t>
            </w:r>
          </w:p>
        </w:tc>
        <w:tc>
          <w:tcPr>
            <w:tcW w:type="dxa" w:w="3906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相对最近基站的径向 Doppler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5143500" cy="1714500"/>
            <wp:effectExtent t="0" r="0" b="0" l="0"/>
            <wp:docPr id="1" name="fig_linear_topology.png" descr="fig_linear_topology.png" title="fig_linear_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SimHei" w:cs="SimHei" w:eastAsia="SimHei" w:hAnsi="SimHei"/>
          <w:sz w:val="21"/>
          <w:szCs w:val="21"/>
        </w:rPr>
        <w:t xml:space="preserve">图 2-2  高铁线性拓扑部署示意图</w:t>
      </w:r>
    </w:p>
    <w:p>
      <w:r>
        <w:br w:type="page"/>
      </w:r>
    </w:p>
    <w:p>
      <w:pPr>
        <w:pStyle w:val="Heading1"/>
        <w:spacing w:after="240" w:before="36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第三章  信道物理建模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3.1  OFDM 频域资源配置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平台支持 NR FR1 频段的全部标准带宽（5~100 MHz）与子载波间隔（15/30/60/120 kHz）。RB 数量严格按照 3GPP TS 38.101</w:t>
      </w:r>
      <w:r>
        <w:rPr>
          <w:rFonts w:ascii="Times New Roman" w:cs="Times New Roman" w:eastAsia="Times New Roman" w:hAnsi="Times New Roman"/>
          <w:sz w:val="21"/>
          <w:szCs w:val="21"/>
          <w:vertAlign w:val="superscript"/>
        </w:rPr>
        <w:t xml:space="preserve">[1]</w:t>
      </w:r>
      <w:r>
        <w:rPr>
          <w:rFonts w:ascii="SimSun" w:cs="SimSun" w:eastAsia="SimSun" w:hAnsi="SimSun"/>
          <w:sz w:val="24"/>
          <w:szCs w:val="24"/>
        </w:rPr>
        <w:t xml:space="preserve"> Table 5.3.2-1 查表确定，以 100 MHz 带宽、30 kHz 子载波间隔为例，对应 273 个 RB。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3.2  TDD 时隙配置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TDD 时隙模式严格按照 3GPP TS 38.213</w:t>
      </w:r>
      <w:r>
        <w:rPr>
          <w:rFonts w:ascii="Times New Roman" w:cs="Times New Roman" w:eastAsia="Times New Roman" w:hAnsi="Times New Roman"/>
          <w:sz w:val="21"/>
          <w:szCs w:val="21"/>
          <w:vertAlign w:val="superscript"/>
        </w:rPr>
        <w:t xml:space="preserve">[2]</w:t>
      </w:r>
      <w:r>
        <w:rPr>
          <w:rFonts w:ascii="SimSun" w:cs="SimSun" w:eastAsia="SimSun" w:hAnsi="SimSun"/>
          <w:sz w:val="24"/>
          <w:szCs w:val="24"/>
        </w:rPr>
        <w:t xml:space="preserve"> §11.1 实现，每个样本映射到一个 TDD slot。导频放置遵循时隙方向约束：SRS 仅在上行符号发送，CSI-RS 仅在下行符号发送，保护间隔符号不放置导频。</w:t>
      </w:r>
    </w:p>
    <w:p>
      <w:pPr>
        <w:spacing w:after="80" w:before="200"/>
        <w:jc w:val="center"/>
      </w:pPr>
      <w:r>
        <w:rPr>
          <w:rFonts w:ascii="SimHei" w:cs="SimHei" w:eastAsia="SimHei" w:hAnsi="SimHei"/>
          <w:sz w:val="21"/>
          <w:szCs w:val="21"/>
        </w:rPr>
        <w:t xml:space="preserve">表 3-1  支持的 TDD 时隙配比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2506"/>
      </w:tblGrid>
      <w:tr>
        <w:tc>
          <w:tcPr>
            <w:tcW w:type="dxa" w:w="18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配比</w:t>
            </w:r>
          </w:p>
        </w:tc>
        <w:tc>
          <w:tcPr>
            <w:tcW w:type="dxa" w:w="28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时隙序列</w:t>
            </w:r>
          </w:p>
        </w:tc>
        <w:tc>
          <w:tcPr>
            <w:tcW w:type="dxa" w:w="12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周期</w:t>
            </w:r>
          </w:p>
        </w:tc>
        <w:tc>
          <w:tcPr>
            <w:tcW w:type="dxa" w:w="2506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DL:UL 符号比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DDDSU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D-D-D-S-U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5 ms</w:t>
            </w:r>
          </w:p>
        </w:tc>
        <w:tc>
          <w:tcPr>
            <w:tcW w:type="dxa" w:w="25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44:16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DDSUU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D-D-S-U-U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5 ms</w:t>
            </w:r>
          </w:p>
        </w:tc>
        <w:tc>
          <w:tcPr>
            <w:tcW w:type="dxa" w:w="25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38:30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DDDDDDDSUU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D×7-S-U-U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10 ms</w:t>
            </w:r>
          </w:p>
        </w:tc>
        <w:tc>
          <w:tcPr>
            <w:tcW w:type="dxa" w:w="25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104:32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DDDSUDDSUU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D×3-S-U-D×2-S-U-U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10 ms</w:t>
            </w:r>
          </w:p>
        </w:tc>
        <w:tc>
          <w:tcPr>
            <w:tcW w:type="dxa" w:w="25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90:32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DSUUD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D-S-U-U-D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5 ms</w:t>
            </w:r>
          </w:p>
        </w:tc>
        <w:tc>
          <w:tcPr>
            <w:tcW w:type="dxa" w:w="2506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20:32</w:t>
            </w:r>
          </w:p>
        </w:tc>
      </w:tr>
    </w:tbl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3.3  路径损耗模型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路径损耗模型遵循 3GPP TR 38.901</w:t>
      </w:r>
      <w:r>
        <w:rPr>
          <w:rFonts w:ascii="Times New Roman" w:cs="Times New Roman" w:eastAsia="Times New Roman" w:hAnsi="Times New Roman"/>
          <w:sz w:val="21"/>
          <w:szCs w:val="21"/>
          <w:vertAlign w:val="superscript"/>
        </w:rPr>
        <w:t xml:space="preserve">[3]</w:t>
      </w:r>
      <w:r>
        <w:rPr>
          <w:rFonts w:ascii="SimSun" w:cs="SimSun" w:eastAsia="SimSun" w:hAnsi="SimSun"/>
          <w:sz w:val="24"/>
          <w:szCs w:val="24"/>
        </w:rPr>
        <w:t xml:space="preserve"> Table 7.4.1-1 规定。系统根据 Table 7.4.2-1 的 LOS 概率公式自动判定每个小区的 LOS/NLOS 状态，并选择对应的路损公式与信道模型。每个小区独立进行 LOS 判定（per-cell LOS），避免使用错误的路损模型。</w:t>
      </w:r>
    </w:p>
    <w:p>
      <w:pPr>
        <w:spacing w:after="80" w:before="200"/>
        <w:jc w:val="center"/>
      </w:pPr>
      <w:r>
        <w:rPr>
          <w:rFonts w:ascii="SimHei" w:cs="SimHei" w:eastAsia="SimHei" w:hAnsi="SimHei"/>
          <w:sz w:val="21"/>
          <w:szCs w:val="21"/>
        </w:rPr>
        <w:t xml:space="preserve">表 3-2  路径损耗公式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3706"/>
        <w:gridCol w:w="2000"/>
      </w:tblGrid>
      <w:tr>
        <w:tc>
          <w:tcPr>
            <w:tcW w:type="dxa" w:w="13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场景</w:t>
            </w:r>
          </w:p>
        </w:tc>
        <w:tc>
          <w:tcPr>
            <w:tcW w:type="dxa" w:w="13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条件</w:t>
            </w:r>
          </w:p>
        </w:tc>
        <w:tc>
          <w:tcPr>
            <w:tcW w:type="dxa" w:w="3706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路损公式 PL [dB]</w:t>
            </w:r>
          </w:p>
        </w:tc>
        <w:tc>
          <w:tcPr>
            <w:tcW w:type="dxa" w:w="20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阴影衰落 σ_SF</w:t>
            </w:r>
          </w:p>
        </w:tc>
      </w:tr>
      <w:tr>
        <w:tc>
          <w:tcPr>
            <w:tcW w:type="dxa" w:w="13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UMa-LOS</w:t>
            </w:r>
          </w:p>
        </w:tc>
        <w:tc>
          <w:tcPr>
            <w:tcW w:type="dxa" w:w="13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d₂D ≤ d'BP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28.0 + 22·lg(d₃D) + 20·lg(fc)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4 dB</w:t>
            </w:r>
          </w:p>
        </w:tc>
      </w:tr>
      <w:tr>
        <w:tc>
          <w:tcPr>
            <w:tcW w:type="dxa" w:w="13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UMa-NLOS</w:t>
            </w:r>
          </w:p>
        </w:tc>
        <w:tc>
          <w:tcPr>
            <w:tcW w:type="dxa" w:w="13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—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13.54 + 39.08·lg(d₃D) + 20·lg(fc)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6 dB</w:t>
            </w:r>
          </w:p>
        </w:tc>
      </w:tr>
      <w:tr>
        <w:tc>
          <w:tcPr>
            <w:tcW w:type="dxa" w:w="13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UMi-LOS</w:t>
            </w:r>
          </w:p>
        </w:tc>
        <w:tc>
          <w:tcPr>
            <w:tcW w:type="dxa" w:w="13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d₂D ≤ d'BP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32.4 + 21·lg(d₃D) + 20·lg(fc)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4 dB</w:t>
            </w:r>
          </w:p>
        </w:tc>
      </w:tr>
      <w:tr>
        <w:tc>
          <w:tcPr>
            <w:tcW w:type="dxa" w:w="13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UMi-NLOS</w:t>
            </w:r>
          </w:p>
        </w:tc>
        <w:tc>
          <w:tcPr>
            <w:tcW w:type="dxa" w:w="13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—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22.4 + 35.3·lg(d₃D) + 21.3·lg(fc)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7.82 dB</w:t>
            </w:r>
          </w:p>
        </w:tc>
      </w:tr>
      <w:tr>
        <w:tc>
          <w:tcPr>
            <w:tcW w:type="dxa" w:w="13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InF</w:t>
            </w:r>
          </w:p>
        </w:tc>
        <w:tc>
          <w:tcPr>
            <w:tcW w:type="dxa" w:w="13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—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31.84 + 21.50·lg(d₃D) + 19.0·lg(fc)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7.56 dB</w:t>
            </w:r>
          </w:p>
        </w:tc>
      </w:tr>
    </w:tbl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其中 d'BP = 4·h'BS·h'UT·fc/c 为断点距离，fc 以 Hz 为单位，d₃D 为 3D 距离，lg 为以 10 为底的对数。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3.4  信道模型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平台支持 3GPP 38.901</w:t>
      </w:r>
      <w:r>
        <w:rPr>
          <w:rFonts w:ascii="Times New Roman" w:cs="Times New Roman" w:eastAsia="Times New Roman" w:hAnsi="Times New Roman"/>
          <w:sz w:val="21"/>
          <w:szCs w:val="21"/>
          <w:vertAlign w:val="superscript"/>
        </w:rPr>
        <w:t xml:space="preserve">[3]</w:t>
      </w:r>
      <w:r>
        <w:rPr>
          <w:rFonts w:ascii="SimSun" w:cs="SimSun" w:eastAsia="SimSun" w:hAnsi="SimSun"/>
          <w:sz w:val="24"/>
          <w:szCs w:val="24"/>
        </w:rPr>
        <w:t xml:space="preserve"> 定义的 TDL（Tapped Delay Line）和 CDL（Cluster Delay Line）两类信道模型。NLOS 场景默认使用 TDL-A/B/C，LOS 场景自动切换至 TDL-D/E（含 Rician K 因子）。信道的时延扩展（τ_rms）和阴影衰落（SF）等大尺度参数从 Table 7.5-6 采样，并通过位置量化确保空间一致性。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3.5  干扰建模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平台采用物理层级的干扰建模，区别于等效高斯噪声近似。上行干扰通过邻区 UE 按 3GPP TS 38.211</w:t>
      </w:r>
      <w:r>
        <w:rPr>
          <w:rFonts w:ascii="Times New Roman" w:cs="Times New Roman" w:eastAsia="Times New Roman" w:hAnsi="Times New Roman"/>
          <w:sz w:val="21"/>
          <w:szCs w:val="21"/>
          <w:vertAlign w:val="superscript"/>
        </w:rPr>
        <w:t xml:space="preserve">[4]</w:t>
      </w:r>
      <w:r>
        <w:rPr>
          <w:rFonts w:ascii="SimSun" w:cs="SimSun" w:eastAsia="SimSun" w:hAnsi="SimSun"/>
          <w:sz w:val="24"/>
          <w:szCs w:val="24"/>
        </w:rPr>
        <w:t xml:space="preserve"> §6.4.1.4 标准 SRS 序列发送实现，各 UE 使用独立的 n_SRS_ID 和循环移位。下行干扰通过邻区各自 PCI 对应的 CSI-RS Gold 序列叠加实现。LS 估计器使用服务小区导频解调，干扰残留在估计信道中，真实反映干扰对信道估计的影响。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3.5.1  邻区预编码投影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在实际系统中，邻区基站会对其调度用户施加预编码，因此对目标用户的干扰并非全秩。平台通过邻区预编码投影机制模拟这一效果：对每个邻区 BS_k，生成其到自身调度用户 P_k 的下行信道 H(BS_k→P_k)，通过 SVD 计算预编码矩阵 W_k，然后将干扰信道 H(BS_k→Q) 投影到 W_k 的列空间中。投影后干扰功率降低约 10·lg(rank/BS_ant) dB。</w:t>
      </w:r>
    </w:p>
    <w:p>
      <w:pPr>
        <w:spacing w:after="60" w:before="160"/>
        <w:jc w:val="center"/>
      </w:pPr>
      <w:r>
        <w:drawing>
          <wp:inline distT="0" distB="0" distL="0" distR="0">
            <wp:extent cx="4000500" cy="3619500"/>
            <wp:effectExtent t="0" r="0" b="0" l="0"/>
            <wp:docPr id="1" name="fig_interference.png" descr="fig_interference.png" title="fig_interfer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SimHei" w:cs="SimHei" w:eastAsia="SimHei" w:hAnsi="SimHei"/>
          <w:sz w:val="21"/>
          <w:szCs w:val="21"/>
        </w:rPr>
        <w:t xml:space="preserve">图 3-1  邻区 DL 预编码投影干扰建模示意图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3.5.2  多 UE 干扰信道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上行干扰建模使用独立的 per-UE 信道。每个邻区生成最多 num_interfering_ues 个独立 UE，各 UE 位置在邻区覆盖范围内均匀分布，并独立生成 H(UE_kn→BS_serving) 信道。每个样本随机激活部分 UE 以模拟调度碰撞的不确定性。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3.6  SRS 频域跳频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SRS 频域跳频严格按照 3GPP TS 38.211</w:t>
      </w:r>
      <w:r>
        <w:rPr>
          <w:rFonts w:ascii="Times New Roman" w:cs="Times New Roman" w:eastAsia="Times New Roman" w:hAnsi="Times New Roman"/>
          <w:sz w:val="21"/>
          <w:szCs w:val="21"/>
          <w:vertAlign w:val="superscript"/>
        </w:rPr>
        <w:t xml:space="preserve">[4]</w:t>
      </w:r>
      <w:r>
        <w:rPr>
          <w:rFonts w:ascii="SimSun" w:cs="SimSun" w:eastAsia="SimSun" w:hAnsi="SimSun"/>
          <w:sz w:val="24"/>
          <w:szCs w:val="24"/>
        </w:rPr>
        <w:t xml:space="preserve"> §6.4.1.4.3 的带宽树结构实现。配置索引 C_SRS 确定带宽树参数 m_SRS[0..3] 和 N[0..3]，层级 B_SRS 决定每次发送的 RB 数。SRS 在不同时隙跳到不同频率位置，完整跳频周期覆盖 m_SRS[0] 个 RB。基站累积一个完整跳频周期的所有 SRS 观测后再进行信道估计，避免在 SRS 带宽内做插值。</w:t>
      </w:r>
    </w:p>
    <w:p>
      <w:pPr>
        <w:spacing w:after="80" w:before="200"/>
        <w:jc w:val="center"/>
      </w:pPr>
      <w:r>
        <w:rPr>
          <w:rFonts w:ascii="SimHei" w:cs="SimHei" w:eastAsia="SimHei" w:hAnsi="SimHei"/>
          <w:sz w:val="21"/>
          <w:szCs w:val="21"/>
        </w:rPr>
        <w:t xml:space="preserve">表 3-3  SRS 配置参数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306"/>
        <w:gridCol w:w="3200"/>
      </w:tblGrid>
      <w:tr>
        <w:tc>
          <w:tcPr>
            <w:tcW w:type="dxa" w:w="16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默认值</w:t>
            </w:r>
          </w:p>
        </w:tc>
        <w:tc>
          <w:tcPr>
            <w:tcW w:type="dxa" w:w="2306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3GPP 来源</w:t>
            </w:r>
          </w:p>
        </w:tc>
        <w:tc>
          <w:tcPr>
            <w:tcW w:type="dxa" w:w="32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srs_periodicity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10</w:t>
            </w:r>
          </w:p>
        </w:tc>
        <w:tc>
          <w:tcPr>
            <w:tcW w:type="dxa" w:w="23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Table 6.4.1.4.4-1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SRS 周期（时隙）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srs_comb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</w:t>
            </w:r>
          </w:p>
        </w:tc>
        <w:tc>
          <w:tcPr>
            <w:tcW w:type="dxa" w:w="23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§6.4.1.4.2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传输梳齿 K_TC ∈ {2, 4, 8}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srs_c_srs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</w:t>
            </w:r>
          </w:p>
        </w:tc>
        <w:tc>
          <w:tcPr>
            <w:tcW w:type="dxa" w:w="23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Table 6.4.1.4.3-1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带宽配置索引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srs_b_srs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</w:t>
            </w:r>
          </w:p>
        </w:tc>
        <w:tc>
          <w:tcPr>
            <w:tcW w:type="dxa" w:w="23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§6.4.1.4.3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带宽层级 0~3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srs_b_hop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</w:t>
            </w:r>
          </w:p>
        </w:tc>
        <w:tc>
          <w:tcPr>
            <w:tcW w:type="dxa" w:w="23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§6.4.1.4.3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频域跳频参数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srs_n_rrc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</w:t>
            </w:r>
          </w:p>
        </w:tc>
        <w:tc>
          <w:tcPr>
            <w:tcW w:type="dxa" w:w="2306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§6.4.1.4.3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频域起始 RB 位置</w:t>
            </w:r>
          </w:p>
        </w:tc>
      </w:tr>
    </w:tbl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3.7  DL 预编码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TDD 系统下，基站通过上行 SRS 估计信道，利用 TDD 互易性推导下行信道，再通过 SVD 计算预编码权值。具体流程为：（1）从 SRS 导频估计 H_UL_est；（2）利用 TDD 互易 H_DL = conj(H_UL)；（3）对 H_DL 进行 SVD 分解，取 W_DL = U[:, :rank]；（4）基于奇异值分布自动确定传输 rank（σ_i &gt; 0.1·σ_max 的层数）。预编码矩阵 W_DL 的 shape 为 [RB, BS_ant, rank]，每个 RB 独立计算。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3.8  SSB 波束管理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平台实现了 SSB 波束扫描测量，支持 4/8/16 波束配置。每个小区使用 DFT 波束权值进行波束扫描，计算各波束的 SS-RSRP、RSRQ 和 SS-SINR，选取最佳波束。测量结果存储在 ChannelSample 的 SSB 字段中，可用于波束管理、小区选择等 ML 任务。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3.9  面阵天线模型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平台支持 3GPP 定义的双极化面阵天线（Panel Array）模型，取代传统单极化 ULA。面阵配置通过 [N_H, N_V, N_P] 三元组指定，如 [8, 4, 2] 表示 8 列×4 行×2 极化 = 64 天线端口。空间相关矩阵采用 Kronecker 结构 R = R_H ⊗ R_V ⊗ R_P，其中 R_H/R_V 使用指数衰减模型 ρ^|i-j|，R_P 为极化相关矩阵 [[1, μ], [μ, 1]]，μ = 10^(-XPD/10)。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3.10  移动性建模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平台支持五种 UE 移动模式，覆盖静止、匀速、随机游走、随机航路点和轨道固定轨迹等典型场景。轨迹生成模块为每个 UE 生成连续位置序列，多普勒频移从位置差分自动推导。</w:t>
      </w:r>
    </w:p>
    <w:p>
      <w:pPr>
        <w:spacing w:after="80" w:before="200"/>
        <w:jc w:val="center"/>
      </w:pPr>
      <w:r>
        <w:rPr>
          <w:rFonts w:ascii="SimHei" w:cs="SimHei" w:eastAsia="SimHei" w:hAnsi="SimHei"/>
          <w:sz w:val="21"/>
          <w:szCs w:val="21"/>
        </w:rPr>
        <w:t xml:space="preserve">表 3-4  移动模式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706"/>
      </w:tblGrid>
      <w:tr>
        <w:tc>
          <w:tcPr>
            <w:tcW w:type="dxa" w:w="18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模式</w:t>
            </w:r>
          </w:p>
        </w:tc>
        <w:tc>
          <w:tcPr>
            <w:tcW w:type="dxa" w:w="28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运动特征</w:t>
            </w:r>
          </w:p>
        </w:tc>
        <w:tc>
          <w:tcPr>
            <w:tcW w:type="dxa" w:w="3706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适用场景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static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静止，UE 位置固定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室内固定终端、基准测试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linear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匀速直线运动，随机方向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高速公路、直线道路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random_walk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随机游走，每步随机转向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步行用户、城市漫游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random_waypoint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随机航路点模型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通用移动场景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track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沿轨道中心线匀速行驶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高铁场景</w:t>
            </w:r>
          </w:p>
        </w:tc>
      </w:tr>
    </w:tbl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3.11  信道固有属性保障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为确保生成信道数据的物理可信性，平台在信道生成阶段实施了多项保障机制，覆盖空间一致性、时频互易性、LOS 判定和信道溯源等关键属性。</w:t>
      </w:r>
    </w:p>
    <w:p>
      <w:pPr>
        <w:spacing w:after="80" w:before="200"/>
        <w:jc w:val="center"/>
      </w:pPr>
      <w:r>
        <w:rPr>
          <w:rFonts w:ascii="SimHei" w:cs="SimHei" w:eastAsia="SimHei" w:hAnsi="SimHei"/>
          <w:sz w:val="21"/>
          <w:szCs w:val="21"/>
        </w:rPr>
        <w:t xml:space="preserve">表 3-5  信道固有属性保障机制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806"/>
      </w:tblGrid>
      <w:tr>
        <w:tc>
          <w:tcPr>
            <w:tcW w:type="dxa" w:w="15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属性</w:t>
            </w:r>
          </w:p>
        </w:tc>
        <w:tc>
          <w:tcPr>
            <w:tcW w:type="dxa" w:w="20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保障机制</w:t>
            </w:r>
          </w:p>
        </w:tc>
        <w:tc>
          <w:tcPr>
            <w:tcW w:type="dxa" w:w="4806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技术要点</w:t>
            </w:r>
          </w:p>
        </w:tc>
      </w:tr>
      <w:tr>
        <w:tc>
          <w:tcPr>
            <w:tcW w:type="dxa" w:w="15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空间一致性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位置量化确定性采样</w:t>
            </w:r>
          </w:p>
        </w:tc>
        <w:tc>
          <w:tcPr>
            <w:tcW w:type="dxa" w:w="48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大尺度参数使用位置量化到相关距离网格的确定性 RNG</w:t>
            </w:r>
          </w:p>
        </w:tc>
      </w:tr>
      <w:tr>
        <w:tc>
          <w:tcPr>
            <w:tcW w:type="dxa" w:w="15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TDD 互易性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频域平滑校准噪声</w:t>
            </w:r>
          </w:p>
        </w:tc>
        <w:tc>
          <w:tcPr>
            <w:tcW w:type="dxa" w:w="48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H_UL = conj(H_DL^T) + 频域低秩插值噪声</w:t>
            </w:r>
          </w:p>
        </w:tc>
      </w:tr>
      <w:tr>
        <w:tc>
          <w:tcPr>
            <w:tcW w:type="dxa" w:w="15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per-cell LOS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独立 LOS 判定</w:t>
            </w:r>
          </w:p>
        </w:tc>
        <w:tc>
          <w:tcPr>
            <w:tcW w:type="dxa" w:w="48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每小区独立计算 LOS 概率，避免错误路损选择</w:t>
            </w:r>
          </w:p>
        </w:tc>
      </w:tr>
      <w:tr>
        <w:tc>
          <w:tcPr>
            <w:tcW w:type="dxa" w:w="15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信道溯源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generation_mode 标记</w:t>
            </w:r>
          </w:p>
        </w:tc>
        <w:tc>
          <w:tcPr>
            <w:tcW w:type="dxa" w:w="48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区分 sionna_rt 和 tdl_fallback 信道</w:t>
            </w:r>
          </w:p>
        </w:tc>
      </w:tr>
      <w:tr>
        <w:tc>
          <w:tcPr>
            <w:tcW w:type="dxa" w:w="15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理想信道纯净性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无干扰保证</w:t>
            </w:r>
          </w:p>
        </w:tc>
        <w:tc>
          <w:tcPr>
            <w:tcW w:type="dxa" w:w="4806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h_serving_true 取自单 BS→UE 纯净信道</w:t>
            </w:r>
          </w:p>
        </w:tc>
      </w:tr>
    </w:tbl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大尺度参数的空间相关距离遵循 3GPP 38.901</w:t>
      </w:r>
      <w:r>
        <w:rPr>
          <w:rFonts w:ascii="Times New Roman" w:cs="Times New Roman" w:eastAsia="Times New Roman" w:hAnsi="Times New Roman"/>
          <w:sz w:val="21"/>
          <w:szCs w:val="21"/>
          <w:vertAlign w:val="superscript"/>
        </w:rPr>
        <w:t xml:space="preserve">[3]</w:t>
      </w:r>
      <w:r>
        <w:rPr>
          <w:rFonts w:ascii="SimSun" w:cs="SimSun" w:eastAsia="SimSun" w:hAnsi="SimSun"/>
          <w:sz w:val="24"/>
          <w:szCs w:val="24"/>
        </w:rPr>
        <w:t xml:space="preserve"> Table 7.5-6 规定。UMa-NLOS 场景下时延扩展（DS）的相关距离为 40 m，UMi-NLOS 为 10 m。平台将 UE 位置量化到对应场景的最小相关距离网格，确保网格内的相邻采样点共享相同的大尺度参数。</w:t>
      </w:r>
    </w:p>
    <w:p>
      <w:r>
        <w:br w:type="page"/>
      </w:r>
    </w:p>
    <w:p>
      <w:pPr>
        <w:pStyle w:val="Heading1"/>
        <w:spacing w:after="240" w:before="36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第四章  数据管理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4.1  数据集列表与详情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数据集页面（/datasets）按数据源聚合显示统计信息，包括每个数据源的样本总数、SNR/SIR/SINR 均值、链路类型分布和处理阶段分布（raw/bridged）。点击数据源可进入详情页，查看 SINR 分布直方图和样本级明细。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4.2  信道样本结构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每条信道记录（ChannelSample）包含信道矩阵、标量指标、SSB 测量和元数据四大类字段。核心信道数据的张量维度为 [T, RB, BS_ant, UE_ant]，其中 T 为 OFDM 符号数，RB 为资源块数，BS_ant 和 UE_ant 分别为基站和终端天线数。</w:t>
      </w:r>
    </w:p>
    <w:p>
      <w:pPr>
        <w:spacing w:after="80" w:before="200"/>
        <w:jc w:val="center"/>
      </w:pPr>
      <w:r>
        <w:rPr>
          <w:rFonts w:ascii="SimHei" w:cs="SimHei" w:eastAsia="SimHei" w:hAnsi="SimHei"/>
          <w:sz w:val="21"/>
          <w:szCs w:val="21"/>
        </w:rPr>
        <w:t xml:space="preserve">表 4-1  ChannelSample 核心字段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506"/>
        <w:gridCol w:w="3000"/>
      </w:tblGrid>
      <w:tr>
        <w:tc>
          <w:tcPr>
            <w:tcW w:type="dxa" w:w="16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506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Shape</w:t>
            </w:r>
          </w:p>
        </w:tc>
        <w:tc>
          <w:tcPr>
            <w:tcW w:type="dxa" w:w="30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h_serving_true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complex64</w:t>
            </w:r>
          </w:p>
        </w:tc>
        <w:tc>
          <w:tcPr>
            <w:tcW w:type="dxa" w:w="25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[T, RB, BS, UE]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理想服务小区信道（无干扰）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h_serving_est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complex64</w:t>
            </w:r>
          </w:p>
        </w:tc>
        <w:tc>
          <w:tcPr>
            <w:tcW w:type="dxa" w:w="25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[T, RB, BS, UE]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含干扰的估计服务小区信道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h_interferers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complex64</w:t>
            </w:r>
          </w:p>
        </w:tc>
        <w:tc>
          <w:tcPr>
            <w:tcW w:type="dxa" w:w="25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[K-1, T, RB, BS, UE]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干扰小区信道（可选）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snr_dB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float</w:t>
            </w:r>
          </w:p>
        </w:tc>
        <w:tc>
          <w:tcPr>
            <w:tcW w:type="dxa" w:w="25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标量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信噪比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sir_dB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float|None</w:t>
            </w:r>
          </w:p>
        </w:tc>
        <w:tc>
          <w:tcPr>
            <w:tcW w:type="dxa" w:w="25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标量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信干比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sinr_dB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float</w:t>
            </w:r>
          </w:p>
        </w:tc>
        <w:tc>
          <w:tcPr>
            <w:tcW w:type="dxa" w:w="25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标量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信干噪比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ue_position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float64</w:t>
            </w:r>
          </w:p>
        </w:tc>
        <w:tc>
          <w:tcPr>
            <w:tcW w:type="dxa" w:w="25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[3]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UE 位置 (x, y, z) 米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w_dl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complex64</w:t>
            </w:r>
          </w:p>
        </w:tc>
        <w:tc>
          <w:tcPr>
            <w:tcW w:type="dxa" w:w="2506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[RB, BS, rank]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DL 预编码权值矩阵</w:t>
            </w:r>
          </w:p>
        </w:tc>
      </w:tr>
    </w:tbl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4.3  信道浏览器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信道浏览器（/channels）提供 Bridge 处理后样本的交互式可视化功能。用户可浏览信道幅度热力图（理想信道、估计信道、误差信道），查看 16 个 Token 的特征分布，以及 SNR/SIR/SINR 等元数据。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4.4  Bridge 特征提取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Bridge 模块将原始 ChannelSample 转换为定长 Token 序列，作为下游 ChannelMAE 编码器的输入。处理流程分为三个阶段：（1）特征提取：从信道矩阵计算 16 个 Token 字段和 8 个门控字段；（2）归一化：物理值映射到 [-1, 1] 区间；（3）嵌入：归一化特征经门控和线性投影生成 [B, 16, 128] 的 Token 序列。</w:t>
      </w:r>
    </w:p>
    <w:p>
      <w:pPr>
        <w:spacing w:after="80" w:before="200"/>
        <w:jc w:val="center"/>
      </w:pPr>
      <w:r>
        <w:rPr>
          <w:rFonts w:ascii="SimHei" w:cs="SimHei" w:eastAsia="SimHei" w:hAnsi="SimHei"/>
          <w:sz w:val="21"/>
          <w:szCs w:val="21"/>
        </w:rPr>
        <w:t xml:space="preserve">表 4-2  16 Token 特征说明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4306"/>
      </w:tblGrid>
      <w:tr>
        <w:tc>
          <w:tcPr>
            <w:tcW w:type="dxa" w:w="12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Token 索引</w:t>
            </w:r>
          </w:p>
        </w:tc>
        <w:tc>
          <w:tcPr>
            <w:tcW w:type="dxa" w:w="14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14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来源</w:t>
            </w:r>
          </w:p>
        </w:tc>
        <w:tc>
          <w:tcPr>
            <w:tcW w:type="dxa" w:w="4306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物理含义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PDP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UL 信道</w:t>
            </w:r>
          </w:p>
        </w:tc>
        <w:tc>
          <w:tcPr>
            <w:tcW w:type="dxa" w:w="43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功率时延谱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1~4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SRS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UL 信道</w:t>
            </w:r>
          </w:p>
        </w:tc>
        <w:tc>
          <w:tcPr>
            <w:tcW w:type="dxa" w:w="43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SRS 信道估计特征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5~8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PMI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DL 信道</w:t>
            </w:r>
          </w:p>
        </w:tc>
        <w:tc>
          <w:tcPr>
            <w:tcW w:type="dxa" w:w="43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38.214 Type I 码本搜索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9~12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DFT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UL 信道</w:t>
            </w:r>
          </w:p>
        </w:tc>
        <w:tc>
          <w:tcPr>
            <w:tcW w:type="dxa" w:w="43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DFT 域信道表示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13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RSRP_SRS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UL 信道</w:t>
            </w:r>
          </w:p>
        </w:tc>
        <w:tc>
          <w:tcPr>
            <w:tcW w:type="dxa" w:w="43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SRS 参考信号功率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14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RSRP_CB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UL 信道</w:t>
            </w:r>
          </w:p>
        </w:tc>
        <w:tc>
          <w:tcPr>
            <w:tcW w:type="dxa" w:w="43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码本参考信号功率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15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Cell RSRP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SSB 测量</w:t>
            </w:r>
          </w:p>
        </w:tc>
        <w:tc>
          <w:tcPr>
            <w:tcW w:type="dxa" w:w="4306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服务小区 SS-RSRP</w:t>
            </w:r>
          </w:p>
        </w:tc>
      </w:tr>
    </w:tbl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4.5  数据集划分与锁定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平台提供 train/val/test 三分法的数据集划分功能。划分支持三种策略：随机划分（random）、按位置划分（by_position）和按波束划分（by_beam）。测试集一旦锁定，后续新采集的数据自动进入训练集，不影响已锁定的测试集，确保评估基准的一致性。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锁定操作通过前端“数据集划分与导出”卡片完成，用户选择划分策略、随机种子和比例后，可通过开关控制是否立即锁定。锁定后 split_version 自增，评估报告绑定版本号。解锁操作需要二次确认。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4.6  数据导出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平台支持三种导出格式，每种格式的导出包均为自包含（含契约版本、Split 版本号、维度信息和使用示例）。</w:t>
      </w:r>
    </w:p>
    <w:p>
      <w:pPr>
        <w:spacing w:after="80" w:before="200"/>
        <w:jc w:val="center"/>
      </w:pPr>
      <w:r>
        <w:rPr>
          <w:rFonts w:ascii="SimHei" w:cs="SimHei" w:eastAsia="SimHei" w:hAnsi="SimHei"/>
          <w:sz w:val="21"/>
          <w:szCs w:val="21"/>
        </w:rPr>
        <w:t xml:space="preserve">表 4-3  数据导出格式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706"/>
        <w:gridCol w:w="2800"/>
      </w:tblGrid>
      <w:tr>
        <w:tc>
          <w:tcPr>
            <w:tcW w:type="dxa" w:w="12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格式</w:t>
            </w:r>
          </w:p>
        </w:tc>
        <w:tc>
          <w:tcPr>
            <w:tcW w:type="dxa" w:w="16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文件类型</w:t>
            </w:r>
          </w:p>
        </w:tc>
        <w:tc>
          <w:tcPr>
            <w:tcW w:type="dxa" w:w="2706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特点</w:t>
            </w:r>
          </w:p>
        </w:tc>
        <w:tc>
          <w:tcPr>
            <w:tcW w:type="dxa" w:w="28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适用场景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HDF5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.h5 单文件</w:t>
            </w:r>
          </w:p>
        </w:tc>
        <w:tc>
          <w:tcPr>
            <w:tcW w:type="dxa" w:w="2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gzip 压缩，跨语言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PyTorch/JAX 训练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WebDataset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.tar 分片</w:t>
            </w:r>
          </w:p>
        </w:tc>
        <w:tc>
          <w:tcPr>
            <w:tcW w:type="dxa" w:w="2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流式读取，支持分片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大规模分布式训练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pt_dir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目录 + .pt 文件</w:t>
            </w:r>
          </w:p>
        </w:tc>
        <w:tc>
          <w:tcPr>
            <w:tcW w:type="dxa" w:w="2706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与平台内部格式一致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快速原型开发</w:t>
            </w:r>
          </w:p>
        </w:tc>
      </w:tr>
    </w:tbl>
    <w:p>
      <w:r>
        <w:br w:type="page"/>
      </w:r>
    </w:p>
    <w:p>
      <w:pPr>
        <w:pStyle w:val="Heading1"/>
        <w:spacing w:after="240" w:before="36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第五章  模型管理与评估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5.1  模型上传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模型仓库页面（/models）提供模型上传入口。用户通过拖拽上传 .pt/.pth/.ckpt 格式的 Checkpoint 文件，系统自动执行 ChannelMAE 兼容性验证（检查 encoder/decoder/latent_proj 等关键 key），并创建 Run 记录和 ModelArtifact 注册。上传完成后可选择立即在锁定测试集上触发评估。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5.2  模型评估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评估流程在锁定的测试集上执行，主要计算信道图谱（Channel Charting）相关指标，包括 KNN 一致性准确率（KNN Acc）、归一化均方误差（NMSE）、可信度（Trustworthiness）和连续性（Continuity）等。评估结果以 metrics.json 形式存储，嵌入向量以 embeddings.parquet 格式输出。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5.3  模型推理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推理功能允许用户在指定数据集分区上批量运行模型，生成信道嵌入向量。用户可选择数据划分（train/val/test）、batch size 和样本数量上限。推理结果可用于下游任务，如信道图谱构建、位置估计和波束预测等。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5.4  模型排行榜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排行榜（/models → 排行榜 Tab）汇总所有已评估模型的指标，默认按 KNN Acc 降序排列。表格包含排名、运行 ID、标签、兼容性状态、KNN Acc、NMSE (dB)、Continuity、Trustworthiness 和评估时间等列。前三名以金/银/铜色标签标注。测试集版本号绑定每次评估，确保不同版本测试集的评估结果可追溯。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5.5  端到端工作流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平台的完整工作流如下：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SimSun" w:cs="SimSun" w:eastAsia="SimSun" w:hAnsi="SimSun"/>
          <w:sz w:val="24"/>
          <w:szCs w:val="24"/>
        </w:rPr>
        <w:t xml:space="preserve">通过数据采集向导采集多源信道数据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SimSun" w:cs="SimSun" w:eastAsia="SimSun" w:hAnsi="SimSun"/>
          <w:sz w:val="24"/>
          <w:szCs w:val="24"/>
        </w:rPr>
        <w:t xml:space="preserve">划分数据集并锁定测试集（版本 v1）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SimSun" w:cs="SimSun" w:eastAsia="SimSun" w:hAnsi="SimSun"/>
          <w:sz w:val="24"/>
          <w:szCs w:val="24"/>
        </w:rPr>
        <w:t xml:space="preserve">将训练集导出为 HDF5/WebDataset 格式，供外部平台下载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SimSun" w:cs="SimSun" w:eastAsia="SimSun" w:hAnsi="SimSun"/>
          <w:sz w:val="24"/>
          <w:szCs w:val="24"/>
        </w:rPr>
        <w:t xml:space="preserve">在外部平台完成模型训练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SimSun" w:cs="SimSun" w:eastAsia="SimSun" w:hAnsi="SimSun"/>
          <w:sz w:val="24"/>
          <w:szCs w:val="24"/>
        </w:rPr>
        <w:t xml:space="preserve">继续采集新数据，自动归入训练集（测试集不变）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SimSun" w:cs="SimSun" w:eastAsia="SimSun" w:hAnsi="SimSun"/>
          <w:sz w:val="24"/>
          <w:szCs w:val="24"/>
        </w:rPr>
        <w:t xml:space="preserve">将训练好的 Checkpoint 上传至平台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SimSun" w:cs="SimSun" w:eastAsia="SimSun" w:hAnsi="SimSun"/>
          <w:sz w:val="24"/>
          <w:szCs w:val="24"/>
        </w:rPr>
        <w:t xml:space="preserve">平台在锁定测试集 v1 上自动评估，输出指标</w:t>
      </w:r>
    </w:p>
    <w:p>
      <w:pPr>
        <w:pStyle w:val="ListParagraph"/>
        <w:numPr>
          <w:ilvl w:val="0"/>
          <w:numId w:val="2"/>
        </w:numPr>
        <w:spacing w:line="340"/>
      </w:pPr>
      <w:r>
        <w:rPr>
          <w:rFonts w:ascii="SimSun" w:cs="SimSun" w:eastAsia="SimSun" w:hAnsi="SimSun"/>
          <w:sz w:val="24"/>
          <w:szCs w:val="24"/>
        </w:rPr>
        <w:t xml:space="preserve">通过排行榜对比选取最优模型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1857375"/>
            <wp:effectExtent t="0" r="0" b="0" l="0"/>
            <wp:docPr id="1" name="fig_workflow.png" descr="fig_workflow.png" title="fig_work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SimHei" w:cs="SimHei" w:eastAsia="SimHei" w:hAnsi="SimHei"/>
          <w:sz w:val="21"/>
          <w:szCs w:val="21"/>
        </w:rPr>
        <w:t xml:space="preserve">图 5-1  平台端到端工作流</w:t>
      </w:r>
    </w:p>
    <w:p>
      <w:r>
        <w:br w:type="page"/>
      </w:r>
    </w:p>
    <w:p>
      <w:pPr>
        <w:pStyle w:val="Heading1"/>
        <w:spacing w:after="240" w:before="36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第六章  任务系统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6.1  任务类型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平台通过异步任务系统管理所有耗时操作。每种任务类型对应一个 Dramatiq Actor，通过 Redis 消息队列分发至 Worker 进程执行。</w:t>
      </w:r>
    </w:p>
    <w:p>
      <w:pPr>
        <w:spacing w:after="80" w:before="200"/>
        <w:jc w:val="center"/>
      </w:pPr>
      <w:r>
        <w:rPr>
          <w:rFonts w:ascii="SimHei" w:cs="SimHei" w:eastAsia="SimHei" w:hAnsi="SimHei"/>
          <w:sz w:val="21"/>
          <w:szCs w:val="21"/>
        </w:rPr>
        <w:t xml:space="preserve">表 6-1  任务类型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106"/>
      </w:tblGrid>
      <w:tr>
        <w:tc>
          <w:tcPr>
            <w:tcW w:type="dxa" w:w="16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5106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simulate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信道仿真</w:t>
            </w:r>
          </w:p>
        </w:tc>
        <w:tc>
          <w:tcPr>
            <w:tcW w:type="dxa" w:w="51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执行信道数据采集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convert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数据转换</w:t>
            </w:r>
          </w:p>
        </w:tc>
        <w:tc>
          <w:tcPr>
            <w:tcW w:type="dxa" w:w="51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格式转换（如 .mat → .pt）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bridge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特征提取</w:t>
            </w:r>
          </w:p>
        </w:tc>
        <w:tc>
          <w:tcPr>
            <w:tcW w:type="dxa" w:w="51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Bridge 处理，生成 Token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eval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模型评估</w:t>
            </w:r>
          </w:p>
        </w:tc>
        <w:tc>
          <w:tcPr>
            <w:tcW w:type="dxa" w:w="51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在测试集上评估模型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infer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模型推理</w:t>
            </w:r>
          </w:p>
        </w:tc>
        <w:tc>
          <w:tcPr>
            <w:tcW w:type="dxa" w:w="51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批量生成嵌入向量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export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模型导出</w:t>
            </w:r>
          </w:p>
        </w:tc>
        <w:tc>
          <w:tcPr>
            <w:tcW w:type="dxa" w:w="51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导出 ONNX/TorchScript 格式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report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报告生成</w:t>
            </w:r>
          </w:p>
        </w:tc>
        <w:tc>
          <w:tcPr>
            <w:tcW w:type="dxa" w:w="51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生成评估报告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dataset_export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数据集导出</w:t>
            </w:r>
          </w:p>
        </w:tc>
        <w:tc>
          <w:tcPr>
            <w:tcW w:type="dxa" w:w="5106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导出 HDF5/WebDataset/pt_dir</w:t>
            </w:r>
          </w:p>
        </w:tc>
      </w:tr>
    </w:tbl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6.2  任务管理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任务页面（/jobs）展示所有任务的状态列表，支持按类型和状态筛选。任务创建页面（/jobs/new）提供表单式任务配置，支持批量运行模式。任务详情页面（/jobs/:jobId）显示实时日志输出和运行指标。任务状态包括 pending（等待）、running（运行中）、done（完成）和 failed（失败）四种。</w:t>
      </w:r>
    </w:p>
    <w:p>
      <w:r>
        <w:br w:type="page"/>
      </w:r>
    </w:p>
    <w:p>
      <w:pPr>
        <w:pStyle w:val="Heading1"/>
        <w:spacing w:after="240" w:before="36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第七章  API 参考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平台后端提供 RESTful API，基于 FastAPI 自动生成 OpenAPI 文档（/docs）。以下列出核心 API 端点。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7.1  数据集 API</w:t>
      </w:r>
    </w:p>
    <w:p>
      <w:pPr>
        <w:spacing w:after="80" w:before="200"/>
        <w:jc w:val="center"/>
      </w:pPr>
      <w:r>
        <w:rPr>
          <w:rFonts w:ascii="SimHei" w:cs="SimHei" w:eastAsia="SimHei" w:hAnsi="SimHei"/>
          <w:sz w:val="21"/>
          <w:szCs w:val="21"/>
        </w:rPr>
        <w:t xml:space="preserve">表 7-1  数据集相关 API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6"/>
        <w:gridCol w:w="3800"/>
      </w:tblGrid>
      <w:tr>
        <w:tc>
          <w:tcPr>
            <w:tcW w:type="dxa" w:w="8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dxa" w:w="3706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38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/api/datasets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数据源聚合列表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/api/datasets/:source/samples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样本分页查询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/api/datasets/collect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触发数据采集任务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DELETE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/api/datasets/:source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删除数据源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/api/datasets/split/status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查看 Split 状态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/api/datasets/split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计算划分并可选锁定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/api/datasets/export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提交数据集导出任务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/api/datasets/exports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列出已完成的导出包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/api/datasets/exports/:name/download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下载导出文件</w:t>
            </w:r>
          </w:p>
        </w:tc>
      </w:tr>
    </w:tbl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7.2  模型 API</w:t>
      </w:r>
    </w:p>
    <w:p>
      <w:pPr>
        <w:spacing w:after="80" w:before="200"/>
        <w:jc w:val="center"/>
      </w:pPr>
      <w:r>
        <w:rPr>
          <w:rFonts w:ascii="SimHei" w:cs="SimHei" w:eastAsia="SimHei" w:hAnsi="SimHei"/>
          <w:sz w:val="21"/>
          <w:szCs w:val="21"/>
        </w:rPr>
        <w:t xml:space="preserve">表 7-2  模型相关 API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6"/>
        <w:gridCol w:w="3800"/>
      </w:tblGrid>
      <w:tr>
        <w:tc>
          <w:tcPr>
            <w:tcW w:type="dxa" w:w="8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dxa" w:w="3706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38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/api/models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模型列表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/api/models/upload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上传模型 Checkpoint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/api/models/{run_id}/evaluate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触发模型评估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/api/models/{run_id}/infer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触发模型推理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/api/models/{run_id}/meta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获取模型元数据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/api/models/leaderboard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模型排行榜</w:t>
            </w:r>
          </w:p>
        </w:tc>
      </w:tr>
    </w:tbl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7.3  任务与其他 API</w:t>
      </w:r>
    </w:p>
    <w:p>
      <w:pPr>
        <w:spacing w:after="80" w:before="200"/>
        <w:jc w:val="center"/>
      </w:pPr>
      <w:r>
        <w:rPr>
          <w:rFonts w:ascii="SimHei" w:cs="SimHei" w:eastAsia="SimHei" w:hAnsi="SimHei"/>
          <w:sz w:val="21"/>
          <w:szCs w:val="21"/>
        </w:rPr>
        <w:t xml:space="preserve">表 7-3  任务与辅助 API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6"/>
        <w:gridCol w:w="3800"/>
      </w:tblGrid>
      <w:tr>
        <w:tc>
          <w:tcPr>
            <w:tcW w:type="dxa" w:w="8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dxa" w:w="3706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3800"/>
            <w:tcBorders>
              <w:top w:val="single" w:color="000000" w:sz="3"/>
              <w:left w:val="none" w:sz="0"/>
              <w:bottom w:val="single" w:color="000000" w:sz="1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/api/jobs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任务列表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/api/jobs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创建任务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/api/jobs/:jobId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任务详情与日志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/api/topology/preview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拓扑预览渲染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/api/channels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Bridge 处理后的样本列表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3706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/api/channels/:index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000000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单个样本完整数据</w:t>
            </w:r>
          </w:p>
        </w:tc>
      </w:tr>
    </w:tbl>
    <w:p>
      <w:r>
        <w:br w:type="page"/>
      </w:r>
    </w:p>
    <w:p>
      <w:pPr>
        <w:pStyle w:val="Heading1"/>
        <w:spacing w:after="240" w:before="36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第八章  外部训练对接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8.1  数据导出与下载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导出完成后，用户可通过 API 或前端直接下载导出文件。HDF5 文件直接下载，目录格式（pt_dir）自动打包为 .zip。前端导出列表已集成下载链接。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8.2  训练数据消费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以 HDF5 格式为例，外部训练平台可通过以下代码加载训练数据：</w:t>
      </w:r>
    </w:p>
    <w:p>
      <w:pPr>
        <w:spacing w:after="120" w:before="12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with h5py.File("msg_export_train_hdf5.h5", "r") as f:</w:t>
      </w:r>
    </w:p>
    <w:p>
      <w:pPr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sample = ChannelSample.from_hdf5_group(f["samples/0"])</w:t>
      </w:r>
    </w:p>
    <w:p>
      <w:pPr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h_true = sample.h_serving_true  # [T, RB, BS, UE]</w:t>
      </w:r>
    </w:p>
    <w:p>
      <w:pPr>
        <w:spacing w:after="12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h_est  = sample.h_serving_est   # with interference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8.3  模型回传与评估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训练完成后，用户通过 /api/models/upload 端点上传 Checkpoint 文件。上传时系统自动验证 ChannelMAE 兼容性。验证通过后可调用 /api/models/{run_id}/evaluate 在锁定测试集上触发评估。评估完成后结果自动进入排行榜。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8.4  兼容性要求</w:t>
      </w:r>
    </w:p>
    <w:p>
      <w:pPr>
        <w:spacing w:after="60" w:before="6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上传的 Checkpoint 须满足以下条件：（1）文件格式为 PyTorch 的 .pt/.pth/.ckpt；（2）state_dict 中包含 ChannelMAE 的 encoder、decoder 和 latent_proj 相关 key；（3）或以 {"model": state_dict} 格式封装。不满足条件的 Checkpoint 仍可上传，但会被标记为“兼容性未确认”。</w:t>
      </w:r>
    </w:p>
    <w:p>
      <w:r>
        <w:br w:type="page"/>
      </w:r>
    </w:p>
    <w:p>
      <w:pPr>
        <w:pStyle w:val="Heading1"/>
        <w:spacing w:after="240" w:before="36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参考文献</w:t>
      </w:r>
    </w:p>
    <w:p>
      <w:pPr>
        <w:spacing w:after="60" w:line="340"/>
        <w:ind w:left="480" w:hanging="4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[1]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3GPP TS 38.101-1, "NR; User Equipment (UE) radio transmission and reception; Part 1: Range 1 Standalone," V18.6.0, 2024.</w:t>
      </w:r>
    </w:p>
    <w:p>
      <w:pPr>
        <w:spacing w:after="60" w:line="340"/>
        <w:ind w:left="480" w:hanging="4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[2]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3GPP TS 38.213, "NR; Physical layer procedures for control," V18.5.0, 2024.</w:t>
      </w:r>
    </w:p>
    <w:p>
      <w:pPr>
        <w:spacing w:after="60" w:line="340"/>
        <w:ind w:left="480" w:hanging="4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[3]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3GPP TR 38.901, "Study on channel model for frequencies from 0.5 to 100 GHz," V17.1.0, 2023.</w:t>
      </w:r>
    </w:p>
    <w:p>
      <w:pPr>
        <w:spacing w:after="60" w:line="340"/>
        <w:ind w:left="480" w:hanging="4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[4]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3GPP TS 38.211, "NR; Physical channels and modulation," V18.5.0, 2024.</w:t>
      </w:r>
    </w:p>
    <w:p>
      <w:pPr>
        <w:spacing w:after="60" w:line="340"/>
        <w:ind w:left="480" w:hanging="4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[5]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3GPP TS 38.214, "NR; Physical layer procedures for data," V18.5.0, 2024.</w:t>
      </w:r>
    </w:p>
    <w:p>
      <w:pPr>
        <w:spacing w:after="60" w:line="340"/>
        <w:ind w:left="480" w:hanging="4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[6]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3GPP TR 38.913, "Study on scenarios and requirements for next generation access technologies," V17.0.0, 2022.</w:t>
      </w:r>
    </w:p>
    <w:p>
      <w:pPr>
        <w:spacing w:after="60" w:line="340"/>
        <w:ind w:left="480" w:hanging="4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[7]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3GPP TS 38.331, "NR; Radio Resource Control (RRC) protocol specification," V18.5.0, 2024.</w:t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center"/>
    </w:pPr>
    <w:r>
      <w:rPr>
        <w:rFonts w:ascii="SimSun" w:cs="SimSun" w:eastAsia="SimSun" w:hAnsi="SimSun"/>
        <w:color w:val="888888"/>
        <w:sz w:val="18"/>
        <w:szCs w:val="18"/>
      </w:rPr>
      <w:t xml:space="preserve">ChannelHub 5G NR 信道数据工场平台说明书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jc w:val="center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62277e67aaf2bc868fa5b5e6d070e0f264458a9.png"/><Relationship Id="rId10" Type="http://schemas.openxmlformats.org/officeDocument/2006/relationships/image" Target="media/5a61e03dc8eb41f344a4f6bc13327e6b35ab0739.png"/><Relationship Id="rId11" Type="http://schemas.openxmlformats.org/officeDocument/2006/relationships/image" Target="media/26644ad669fbb60c90f9b0c7da34ebd9ea640d92.png"/><Relationship Id="rId12" Type="http://schemas.openxmlformats.org/officeDocument/2006/relationships/image" Target="media/8d7d757e57b7cfd4ce80c82c78d86c54297a5c8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2026-05-06T04:49:17.506Z</dcterms:created>
  <dcterms:modified xsi:type="dcterms:W3CDTF">2026-05-06T04:49:17.507Z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