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Heinz History Center’s street address?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the daily hours, and which holidays is the museum closed?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Who qualifies for “Always Free for Kids,” and what does it cover?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are the general admission prices for adults, seniors, and students, and are kids free?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exhibit opens on October 11, 2025, where is it located, and until when is it on view?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iconic 1893 artifact can visitors find in the Heinz Exhibit?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