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6BF" w:rsidRPr="0060389E" w:rsidRDefault="00FE56BF" w:rsidP="00FE56BF">
      <w:pPr>
        <w:spacing w:after="120" w:line="444" w:lineRule="auto"/>
        <w:jc w:val="center"/>
        <w:rPr>
          <w:rFonts w:ascii="Times New Roman" w:hAnsi="Times New Roman" w:cs="Times New Roman"/>
          <w:b/>
          <w:sz w:val="28"/>
        </w:rPr>
      </w:pPr>
      <w:r w:rsidRPr="0060389E">
        <w:rPr>
          <w:rFonts w:ascii="Times New Roman" w:hAnsi="Times New Roman" w:cs="Times New Roman"/>
          <w:b/>
          <w:sz w:val="28"/>
        </w:rPr>
        <w:t>【</w:t>
      </w:r>
      <w:r w:rsidR="002328BD" w:rsidRPr="002328BD">
        <w:rPr>
          <w:rFonts w:ascii="Times New Roman" w:eastAsia="微软雅黑" w:hAnsi="Times New Roman" w:cs="Times New Roman"/>
          <w:b/>
          <w:i/>
          <w:sz w:val="28"/>
        </w:rPr>
        <w:t>Phyllothelys</w:t>
      </w:r>
      <w:r w:rsidR="002328BD">
        <w:rPr>
          <w:rFonts w:ascii="Times New Roman" w:eastAsia="微软雅黑" w:hAnsi="Times New Roman" w:cs="Times New Roman"/>
          <w:b/>
          <w:sz w:val="28"/>
        </w:rPr>
        <w:t>_</w:t>
      </w:r>
      <w:r w:rsidR="002328BD" w:rsidRPr="002328BD">
        <w:rPr>
          <w:rFonts w:ascii="Times New Roman" w:eastAsia="微软雅黑" w:hAnsi="Times New Roman" w:cs="Times New Roman"/>
          <w:b/>
          <w:i/>
          <w:sz w:val="28"/>
        </w:rPr>
        <w:t>breve</w:t>
      </w:r>
      <w:r w:rsidRPr="0060389E">
        <w:rPr>
          <w:rFonts w:ascii="Times New Roman" w:eastAsia="微软雅黑" w:hAnsi="Times New Roman" w:cs="Times New Roman"/>
          <w:b/>
          <w:sz w:val="28"/>
        </w:rPr>
        <w:t>线粒体基因组组装、注释方法及结果说明</w:t>
      </w:r>
      <w:r w:rsidRPr="0060389E">
        <w:rPr>
          <w:rFonts w:ascii="Times New Roman" w:hAnsi="Times New Roman" w:cs="Times New Roman"/>
          <w:b/>
          <w:sz w:val="28"/>
        </w:rPr>
        <w:t>】</w:t>
      </w:r>
    </w:p>
    <w:p w:rsidR="00FE56BF" w:rsidRPr="002328BD" w:rsidRDefault="002328BD" w:rsidP="00FE56BF">
      <w:pPr>
        <w:spacing w:after="120" w:line="444" w:lineRule="auto"/>
        <w:jc w:val="both"/>
        <w:rPr>
          <w:rFonts w:ascii="Times New Roman" w:hAnsi="Times New Roman" w:cs="Times New Roman"/>
          <w:b/>
          <w:i/>
          <w:sz w:val="24"/>
        </w:rPr>
      </w:pPr>
      <w:r w:rsidRPr="002328BD">
        <w:rPr>
          <w:rFonts w:ascii="Times New Roman" w:cs="Times New Roman"/>
          <w:b/>
          <w:i/>
          <w:sz w:val="24"/>
        </w:rPr>
        <w:t>Phyllothelys_breve</w:t>
      </w:r>
    </w:p>
    <w:p w:rsidR="00FE56BF" w:rsidRPr="00A64441" w:rsidRDefault="00FE56BF" w:rsidP="00FE56BF">
      <w:pPr>
        <w:spacing w:after="120" w:line="444" w:lineRule="auto"/>
        <w:ind w:left="1560" w:hanging="1560"/>
        <w:jc w:val="both"/>
        <w:rPr>
          <w:rFonts w:ascii="Times New Roman" w:hAnsi="Times New Roman" w:cs="Times New Roman"/>
        </w:rPr>
      </w:pPr>
      <w:r w:rsidRPr="00A64441">
        <w:rPr>
          <w:rFonts w:ascii="Times New Roman" w:hAnsi="Times New Roman" w:cs="Times New Roman"/>
          <w:b/>
        </w:rPr>
        <w:t>(</w:t>
      </w:r>
      <w:r w:rsidRPr="00A64441">
        <w:rPr>
          <w:rFonts w:ascii="Times New Roman" w:cs="Times New Roman"/>
          <w:b/>
        </w:rPr>
        <w:t>一</w:t>
      </w:r>
      <w:r w:rsidRPr="00A64441">
        <w:rPr>
          <w:rFonts w:ascii="Times New Roman" w:hAnsi="Times New Roman" w:cs="Times New Roman"/>
          <w:b/>
        </w:rPr>
        <w:t xml:space="preserve">) </w:t>
      </w:r>
      <w:r w:rsidRPr="00A64441">
        <w:rPr>
          <w:rFonts w:ascii="Times New Roman" w:cs="Times New Roman"/>
          <w:b/>
        </w:rPr>
        <w:t>测序情况：</w:t>
      </w:r>
      <w:r w:rsidRPr="00A64441">
        <w:rPr>
          <w:rFonts w:ascii="Times New Roman" w:cs="Times New Roman"/>
        </w:rPr>
        <w:t>测序共得到</w:t>
      </w:r>
      <w:r w:rsidR="00FF156D">
        <w:rPr>
          <w:rFonts w:ascii="Times New Roman" w:hAnsi="Times New Roman" w:cs="Times New Roman"/>
          <w:u w:val="single"/>
        </w:rPr>
        <w:t>23</w:t>
      </w:r>
      <w:r w:rsidR="00986A9F" w:rsidRPr="00986A9F">
        <w:rPr>
          <w:rFonts w:ascii="Times New Roman" w:hAnsi="Times New Roman" w:cs="Times New Roman"/>
          <w:u w:val="single"/>
        </w:rPr>
        <w:t>,</w:t>
      </w:r>
      <w:r w:rsidR="00FF156D">
        <w:rPr>
          <w:rFonts w:ascii="Times New Roman" w:hAnsi="Times New Roman" w:cs="Times New Roman"/>
          <w:u w:val="single"/>
        </w:rPr>
        <w:t>616</w:t>
      </w:r>
      <w:r w:rsidR="00986A9F" w:rsidRPr="00986A9F">
        <w:rPr>
          <w:rFonts w:ascii="Times New Roman" w:hAnsi="Times New Roman" w:cs="Times New Roman"/>
          <w:u w:val="single"/>
        </w:rPr>
        <w:t>,</w:t>
      </w:r>
      <w:r w:rsidR="00FF156D">
        <w:rPr>
          <w:rFonts w:ascii="Times New Roman" w:hAnsi="Times New Roman" w:cs="Times New Roman"/>
          <w:u w:val="single"/>
        </w:rPr>
        <w:t>864</w:t>
      </w:r>
      <w:r w:rsidRPr="00A64441">
        <w:rPr>
          <w:rFonts w:ascii="Times New Roman" w:hAnsi="Arial" w:cs="Times New Roman"/>
        </w:rPr>
        <w:t>条</w:t>
      </w:r>
      <w:r w:rsidRPr="00A64441">
        <w:rPr>
          <w:rFonts w:ascii="Times New Roman" w:hAnsi="Arial" w:cs="Times New Roman" w:hint="eastAsia"/>
        </w:rPr>
        <w:t>150 bp</w:t>
      </w:r>
      <w:r w:rsidRPr="00A64441">
        <w:rPr>
          <w:rFonts w:ascii="Times New Roman" w:hAnsi="Arial" w:cs="Times New Roman" w:hint="eastAsia"/>
        </w:rPr>
        <w:t>读长的</w:t>
      </w:r>
      <w:r w:rsidRPr="00A64441">
        <w:rPr>
          <w:rFonts w:ascii="Times New Roman" w:hAnsi="Times New Roman" w:cs="Times New Roman"/>
        </w:rPr>
        <w:t>Paired-End Reads</w:t>
      </w:r>
      <w:r w:rsidRPr="00A64441">
        <w:rPr>
          <w:rFonts w:ascii="Times New Roman" w:hAnsi="Arial" w:cs="Times New Roman"/>
        </w:rPr>
        <w:t>，</w:t>
      </w:r>
      <w:r w:rsidRPr="00A64441">
        <w:rPr>
          <w:rFonts w:ascii="Times New Roman" w:hAnsi="Arial" w:cs="Times New Roman" w:hint="eastAsia"/>
        </w:rPr>
        <w:t>用于</w:t>
      </w:r>
      <w:r w:rsidRPr="00A64441">
        <w:rPr>
          <w:rFonts w:ascii="Times New Roman" w:hAnsi="Arial" w:cs="Times New Roman"/>
        </w:rPr>
        <w:t>线粒体基因组组装</w:t>
      </w:r>
      <w:r>
        <w:rPr>
          <w:rFonts w:ascii="Times New Roman" w:hAnsi="Arial" w:cs="Times New Roman" w:hint="eastAsia"/>
        </w:rPr>
        <w:t>的</w:t>
      </w:r>
      <w:r>
        <w:rPr>
          <w:rFonts w:ascii="Times New Roman" w:hAnsi="Arial" w:cs="Times New Roman"/>
        </w:rPr>
        <w:t>序列为</w:t>
      </w:r>
      <w:r w:rsidR="00D94B73" w:rsidRPr="00D94B73">
        <w:rPr>
          <w:rFonts w:ascii="Times New Roman" w:hAnsi="Arial" w:cs="Times New Roman"/>
          <w:u w:val="single"/>
        </w:rPr>
        <w:t>57,497</w:t>
      </w:r>
      <w:r w:rsidRPr="00A64441">
        <w:rPr>
          <w:rFonts w:ascii="Times New Roman" w:hAnsi="Arial" w:cs="Times New Roman" w:hint="eastAsia"/>
        </w:rPr>
        <w:t>条</w:t>
      </w:r>
      <w:r w:rsidRPr="00A64441">
        <w:rPr>
          <w:rFonts w:ascii="Times New Roman" w:hAnsi="Arial" w:cs="Times New Roman"/>
        </w:rPr>
        <w:t>。</w:t>
      </w:r>
    </w:p>
    <w:p w:rsidR="00FE56BF" w:rsidRPr="00A64441" w:rsidRDefault="00FE56BF" w:rsidP="00FE56BF">
      <w:pPr>
        <w:spacing w:after="120" w:line="444" w:lineRule="auto"/>
        <w:ind w:left="1560" w:hanging="1560"/>
        <w:jc w:val="both"/>
        <w:rPr>
          <w:rFonts w:ascii="Times New Roman" w:hAnsi="Times New Roman" w:cs="Times New Roman"/>
        </w:rPr>
      </w:pPr>
      <w:r w:rsidRPr="00A64441">
        <w:rPr>
          <w:rFonts w:ascii="Times New Roman" w:hAnsi="Times New Roman" w:cs="Times New Roman"/>
          <w:b/>
        </w:rPr>
        <w:t>(</w:t>
      </w:r>
      <w:r w:rsidRPr="00A64441">
        <w:rPr>
          <w:rFonts w:ascii="Times New Roman" w:hAnsi="Arial" w:cs="Times New Roman"/>
          <w:b/>
        </w:rPr>
        <w:t>二</w:t>
      </w:r>
      <w:r w:rsidRPr="00A64441">
        <w:rPr>
          <w:rFonts w:ascii="Times New Roman" w:hAnsi="Times New Roman" w:cs="Times New Roman"/>
          <w:b/>
        </w:rPr>
        <w:t xml:space="preserve">) </w:t>
      </w:r>
      <w:r w:rsidRPr="00A64441">
        <w:rPr>
          <w:rFonts w:ascii="Times New Roman" w:hAnsi="Arial" w:cs="Times New Roman"/>
          <w:b/>
        </w:rPr>
        <w:t>组装情况：</w:t>
      </w:r>
      <w:r>
        <w:rPr>
          <w:rFonts w:ascii="Times New Roman" w:hAnsi="Arial" w:cs="Times New Roman"/>
        </w:rPr>
        <w:t>组装</w:t>
      </w:r>
      <w:r w:rsidRPr="00A64441">
        <w:rPr>
          <w:rFonts w:ascii="Times New Roman" w:hAnsi="Arial" w:cs="Times New Roman"/>
        </w:rPr>
        <w:t>采用</w:t>
      </w:r>
      <w:r w:rsidRPr="00A64441">
        <w:rPr>
          <w:rFonts w:ascii="Times New Roman" w:hAnsi="Times New Roman" w:cs="Times New Roman"/>
        </w:rPr>
        <w:t>Hahn et al. (2013)</w:t>
      </w:r>
      <w:r w:rsidRPr="00A64441">
        <w:rPr>
          <w:rFonts w:ascii="Times New Roman" w:hAnsi="Arial" w:cs="Times New Roman"/>
        </w:rPr>
        <w:t>的组装方法</w:t>
      </w:r>
      <w:r w:rsidRPr="00A64441">
        <w:rPr>
          <w:rFonts w:ascii="Times New Roman" w:hAnsi="Arial" w:cs="Times New Roman" w:hint="eastAsia"/>
        </w:rPr>
        <w:t>，</w:t>
      </w:r>
      <w:r w:rsidRPr="00A64441">
        <w:rPr>
          <w:rFonts w:ascii="Times New Roman" w:hAnsi="Arial" w:cs="Times New Roman"/>
        </w:rPr>
        <w:t>组装</w:t>
      </w:r>
      <w:r w:rsidRPr="00A64441">
        <w:rPr>
          <w:rFonts w:ascii="Times New Roman" w:hAnsi="Arial" w:cs="Times New Roman" w:hint="eastAsia"/>
        </w:rPr>
        <w:t>所需</w:t>
      </w:r>
      <w:r w:rsidRPr="00A64441">
        <w:rPr>
          <w:rFonts w:ascii="Times New Roman" w:hAnsi="Arial" w:cs="Times New Roman"/>
        </w:rPr>
        <w:t>参考序列</w:t>
      </w:r>
      <w:r>
        <w:rPr>
          <w:rFonts w:ascii="Times New Roman" w:hAnsi="Arial" w:cs="Times New Roman" w:hint="eastAsia"/>
        </w:rPr>
        <w:t>选用</w:t>
      </w:r>
      <w:r>
        <w:rPr>
          <w:rFonts w:ascii="Times New Roman" w:hAnsi="Arial" w:cs="Times New Roman"/>
        </w:rPr>
        <w:t>已上传的</w:t>
      </w:r>
      <w:bookmarkStart w:id="0" w:name="_GoBack"/>
      <w:bookmarkEnd w:id="0"/>
      <w:r>
        <w:rPr>
          <w:rFonts w:ascii="Times New Roman" w:hAnsi="Arial" w:cs="Times New Roman"/>
        </w:rPr>
        <w:t>线粒体基因组序列</w:t>
      </w:r>
      <w:r w:rsidR="004D774D" w:rsidRPr="004D774D">
        <w:rPr>
          <w:rFonts w:ascii="Times New Roman" w:hAnsi="Arial" w:cs="Times New Roman"/>
          <w:i/>
        </w:rPr>
        <w:t>Phyllothelys sp. 1 JZ-2017</w:t>
      </w:r>
      <w:r>
        <w:rPr>
          <w:rFonts w:ascii="Times New Roman" w:hAnsi="Arial" w:cs="Times New Roman"/>
        </w:rPr>
        <w:t xml:space="preserve"> (</w:t>
      </w:r>
      <w:r w:rsidR="004D774D" w:rsidRPr="004D774D">
        <w:rPr>
          <w:rFonts w:ascii="Times New Roman" w:hAnsi="Arial" w:cs="Times New Roman"/>
        </w:rPr>
        <w:t>KY689119</w:t>
      </w:r>
      <w:r>
        <w:rPr>
          <w:rFonts w:ascii="Times New Roman" w:hAnsi="Arial" w:cs="Times New Roman"/>
        </w:rPr>
        <w:t>)</w:t>
      </w:r>
      <w:r w:rsidRPr="00A64441">
        <w:rPr>
          <w:rFonts w:ascii="Times New Roman" w:hAnsi="Arial" w:cs="Times New Roman" w:hint="eastAsia"/>
        </w:rPr>
        <w:t>。本项目最终</w:t>
      </w:r>
      <w:r w:rsidRPr="00A64441">
        <w:rPr>
          <w:rFonts w:ascii="Times New Roman" w:hAnsi="Arial" w:cs="Times New Roman"/>
        </w:rPr>
        <w:t>组装得到线粒体基因组</w:t>
      </w:r>
      <w:r w:rsidRPr="00A64441">
        <w:rPr>
          <w:rFonts w:ascii="Times New Roman" w:hAnsi="Arial" w:cs="Times New Roman" w:hint="eastAsia"/>
        </w:rPr>
        <w:t>(</w:t>
      </w:r>
      <w:r w:rsidRPr="00A64441">
        <w:rPr>
          <w:rFonts w:ascii="Times New Roman" w:hAnsi="Arial" w:cs="Times New Roman" w:hint="eastAsia"/>
        </w:rPr>
        <w:t>长度</w:t>
      </w:r>
      <w:r w:rsidRPr="00A64441">
        <w:rPr>
          <w:rFonts w:ascii="Times New Roman" w:hAnsi="Arial" w:cs="Times New Roman"/>
        </w:rPr>
        <w:t>为</w:t>
      </w:r>
      <w:r w:rsidR="002A4977" w:rsidRPr="002A4977">
        <w:rPr>
          <w:rFonts w:ascii="Times New Roman" w:hAnsi="Arial" w:cs="Times New Roman"/>
          <w:u w:val="single"/>
        </w:rPr>
        <w:t>15,896</w:t>
      </w:r>
      <w:r w:rsidRPr="00DD6113">
        <w:rPr>
          <w:rFonts w:ascii="Times New Roman" w:hAnsi="Arial" w:cs="Times New Roman"/>
          <w:u w:val="single"/>
        </w:rPr>
        <w:t xml:space="preserve"> bp</w:t>
      </w:r>
      <w:r w:rsidRPr="00A64441">
        <w:rPr>
          <w:rFonts w:ascii="Times New Roman" w:hAnsi="Arial" w:cs="Times New Roman"/>
        </w:rPr>
        <w:t>；覆盖率为</w:t>
      </w:r>
      <w:r w:rsidR="001743CE" w:rsidRPr="001743CE">
        <w:rPr>
          <w:rFonts w:ascii="Times New Roman" w:hAnsi="Arial" w:cs="Times New Roman"/>
          <w:u w:val="single"/>
        </w:rPr>
        <w:t>533.5</w:t>
      </w:r>
      <w:r>
        <w:rPr>
          <w:rFonts w:ascii="Times New Roman" w:hAnsi="Arial" w:cs="Times New Roman"/>
          <w:u w:val="single"/>
        </w:rPr>
        <w:t xml:space="preserve"> </w:t>
      </w:r>
      <w:r w:rsidRPr="00DD6113">
        <w:rPr>
          <w:rFonts w:ascii="Times New Roman" w:hAnsi="Arial" w:cs="Times New Roman" w:hint="eastAsia"/>
          <w:u w:val="single"/>
        </w:rPr>
        <w:t>X</w:t>
      </w:r>
      <w:r w:rsidRPr="00A64441">
        <w:rPr>
          <w:rFonts w:ascii="Times New Roman" w:hAnsi="Arial" w:cs="Times New Roman"/>
        </w:rPr>
        <w:t>)</w:t>
      </w:r>
      <w:r>
        <w:rPr>
          <w:rFonts w:ascii="Times New Roman" w:hAnsi="Arial" w:cs="Times New Roman" w:hint="eastAsia"/>
        </w:rPr>
        <w:t>的</w:t>
      </w:r>
      <w:r w:rsidRPr="00A64441">
        <w:rPr>
          <w:rFonts w:ascii="Times New Roman" w:hAnsi="Arial" w:cs="Times New Roman"/>
        </w:rPr>
        <w:t>全长序列。</w:t>
      </w:r>
    </w:p>
    <w:p w:rsidR="00FE56BF" w:rsidRPr="00A64441" w:rsidRDefault="00FE56BF" w:rsidP="00FE56BF">
      <w:pPr>
        <w:spacing w:after="120" w:line="444" w:lineRule="auto"/>
        <w:ind w:left="1843" w:hanging="1843"/>
        <w:jc w:val="both"/>
        <w:rPr>
          <w:rFonts w:ascii="Times New Roman" w:hAnsi="Arial" w:cs="Times New Roman"/>
        </w:rPr>
      </w:pPr>
      <w:r w:rsidRPr="00A64441">
        <w:rPr>
          <w:rFonts w:ascii="Times New Roman" w:hAnsi="Times New Roman" w:cs="Times New Roman"/>
          <w:b/>
        </w:rPr>
        <w:t>(</w:t>
      </w:r>
      <w:r w:rsidRPr="00A64441">
        <w:rPr>
          <w:rFonts w:ascii="Times New Roman" w:hAnsi="Arial" w:cs="Times New Roman"/>
          <w:b/>
        </w:rPr>
        <w:t>三</w:t>
      </w:r>
      <w:r w:rsidRPr="00A64441">
        <w:rPr>
          <w:rFonts w:ascii="Times New Roman" w:hAnsi="Times New Roman" w:cs="Times New Roman"/>
          <w:b/>
        </w:rPr>
        <w:t xml:space="preserve">) </w:t>
      </w:r>
      <w:r w:rsidRPr="00A64441">
        <w:rPr>
          <w:rFonts w:ascii="Times New Roman" w:hAnsi="Times New Roman" w:cs="Times New Roman" w:hint="eastAsia"/>
          <w:b/>
        </w:rPr>
        <w:t>基因组</w:t>
      </w:r>
      <w:r w:rsidRPr="00A64441">
        <w:rPr>
          <w:rFonts w:ascii="Times New Roman" w:hAnsi="Arial" w:cs="Times New Roman"/>
          <w:b/>
        </w:rPr>
        <w:t>注释：</w:t>
      </w:r>
      <w:r w:rsidRPr="000E13E1">
        <w:rPr>
          <w:rFonts w:ascii="Times New Roman" w:hAnsi="Arial" w:cs="Times New Roman" w:hint="eastAsia"/>
        </w:rPr>
        <w:t>使用</w:t>
      </w:r>
      <w:r w:rsidRPr="000E13E1">
        <w:rPr>
          <w:rFonts w:ascii="Times New Roman" w:hAnsi="Arial" w:cs="Times New Roman"/>
        </w:rPr>
        <w:t>Geneious 11.0.2</w:t>
      </w:r>
      <w:r>
        <w:rPr>
          <w:rFonts w:ascii="Times New Roman" w:hAnsi="Arial" w:cs="Times New Roman" w:hint="eastAsia"/>
        </w:rPr>
        <w:t>，</w:t>
      </w:r>
      <w:r w:rsidRPr="005324E7">
        <w:rPr>
          <w:rFonts w:ascii="Times New Roman" w:hAnsi="Arial" w:cs="Times New Roman" w:hint="eastAsia"/>
        </w:rPr>
        <w:t>蛋白质</w:t>
      </w:r>
      <w:r w:rsidRPr="005324E7">
        <w:rPr>
          <w:rFonts w:ascii="Times New Roman" w:hAnsi="Arial" w:cs="Times New Roman"/>
        </w:rPr>
        <w:t>编码基因</w:t>
      </w:r>
      <w:r>
        <w:rPr>
          <w:rFonts w:ascii="Times New Roman" w:hAnsi="Arial" w:cs="Times New Roman" w:hint="eastAsia"/>
        </w:rPr>
        <w:t>和</w:t>
      </w:r>
      <w:r>
        <w:rPr>
          <w:rFonts w:ascii="Times New Roman" w:hAnsi="Arial" w:cs="Times New Roman" w:hint="eastAsia"/>
        </w:rPr>
        <w:t>rRNA</w:t>
      </w:r>
      <w:r>
        <w:rPr>
          <w:rFonts w:ascii="Times New Roman" w:hAnsi="Arial" w:cs="Times New Roman" w:hint="eastAsia"/>
        </w:rPr>
        <w:t>基因</w:t>
      </w:r>
      <w:r w:rsidRPr="005324E7">
        <w:rPr>
          <w:rFonts w:ascii="Times New Roman" w:hAnsi="Arial" w:cs="Times New Roman"/>
        </w:rPr>
        <w:t>主</w:t>
      </w:r>
      <w:r w:rsidRPr="00A64441">
        <w:rPr>
          <w:rFonts w:ascii="Times New Roman" w:hAnsi="Arial" w:cs="Times New Roman"/>
        </w:rPr>
        <w:t>要采用与</w:t>
      </w:r>
      <w:r w:rsidRPr="00A64441">
        <w:rPr>
          <w:rFonts w:ascii="Times New Roman" w:hAnsi="Arial" w:cs="Times New Roman" w:hint="eastAsia"/>
        </w:rPr>
        <w:t>GenBank</w:t>
      </w:r>
      <w:r w:rsidRPr="00A64441">
        <w:rPr>
          <w:rFonts w:ascii="Times New Roman" w:hAnsi="Arial" w:cs="Times New Roman"/>
        </w:rPr>
        <w:t>现有</w:t>
      </w:r>
      <w:r>
        <w:rPr>
          <w:rFonts w:ascii="Times New Roman" w:hAnsi="Arial" w:cs="Times New Roman" w:hint="eastAsia"/>
        </w:rPr>
        <w:t>的</w:t>
      </w:r>
      <w:r>
        <w:rPr>
          <w:rFonts w:ascii="Times New Roman" w:hAnsi="Arial" w:cs="Times New Roman"/>
        </w:rPr>
        <w:t>物种</w:t>
      </w:r>
      <w:r w:rsidR="00501531" w:rsidRPr="004D774D">
        <w:rPr>
          <w:rFonts w:ascii="Times New Roman" w:hAnsi="Arial" w:cs="Times New Roman"/>
          <w:i/>
        </w:rPr>
        <w:t>Phyllothelys sp. 1 JZ-2017</w:t>
      </w:r>
      <w:r w:rsidR="00501531">
        <w:rPr>
          <w:rFonts w:ascii="Times New Roman" w:hAnsi="Arial" w:cs="Times New Roman"/>
        </w:rPr>
        <w:t xml:space="preserve"> (</w:t>
      </w:r>
      <w:r w:rsidR="00501531" w:rsidRPr="004D774D">
        <w:rPr>
          <w:rFonts w:ascii="Times New Roman" w:hAnsi="Arial" w:cs="Times New Roman"/>
        </w:rPr>
        <w:t>KY689119</w:t>
      </w:r>
      <w:r w:rsidR="00501531">
        <w:rPr>
          <w:rFonts w:ascii="Times New Roman" w:hAnsi="Arial" w:cs="Times New Roman"/>
        </w:rPr>
        <w:t>)</w:t>
      </w:r>
      <w:r w:rsidR="00720E57">
        <w:rPr>
          <w:rFonts w:ascii="Times New Roman" w:hAnsi="Arial" w:cs="Times New Roman" w:hint="eastAsia"/>
        </w:rPr>
        <w:t>、</w:t>
      </w:r>
      <w:r w:rsidR="00F80C1E" w:rsidRPr="00F80C1E">
        <w:rPr>
          <w:rFonts w:ascii="Times New Roman" w:hAnsi="Arial" w:cs="Times New Roman"/>
          <w:i/>
        </w:rPr>
        <w:t>Phyllothelys sp. 2 JZ-2017</w:t>
      </w:r>
      <w:r>
        <w:rPr>
          <w:rFonts w:ascii="Times New Roman" w:hAnsi="Arial" w:cs="Times New Roman"/>
        </w:rPr>
        <w:t xml:space="preserve"> (</w:t>
      </w:r>
      <w:r w:rsidR="00F80C1E" w:rsidRPr="00F80C1E">
        <w:rPr>
          <w:rFonts w:ascii="Times New Roman" w:hAnsi="Arial" w:cs="Times New Roman"/>
        </w:rPr>
        <w:t>KY689129</w:t>
      </w:r>
      <w:r>
        <w:rPr>
          <w:rFonts w:ascii="Times New Roman" w:hAnsi="Arial" w:cs="Times New Roman"/>
        </w:rPr>
        <w:t>)</w:t>
      </w:r>
      <w:r w:rsidR="00720E57">
        <w:rPr>
          <w:rFonts w:ascii="Times New Roman" w:hAnsi="Arial" w:cs="Times New Roman" w:hint="eastAsia"/>
        </w:rPr>
        <w:t>、</w:t>
      </w:r>
      <w:r w:rsidR="002112B6" w:rsidRPr="002112B6">
        <w:rPr>
          <w:rFonts w:ascii="Times New Roman" w:hAnsi="Arial" w:cs="Times New Roman"/>
          <w:i/>
        </w:rPr>
        <w:t>Tenodera sinensis</w:t>
      </w:r>
      <w:r w:rsidR="000A5A50">
        <w:rPr>
          <w:rFonts w:ascii="Times New Roman" w:hAnsi="Arial" w:cs="Times New Roman"/>
        </w:rPr>
        <w:t xml:space="preserve"> (</w:t>
      </w:r>
      <w:r w:rsidR="002112B6" w:rsidRPr="002112B6">
        <w:rPr>
          <w:rFonts w:ascii="Times New Roman" w:hAnsi="Arial" w:cs="Times New Roman"/>
        </w:rPr>
        <w:t>KY689132</w:t>
      </w:r>
      <w:r w:rsidR="000A5A50">
        <w:rPr>
          <w:rFonts w:ascii="Times New Roman" w:hAnsi="Arial" w:cs="Times New Roman"/>
        </w:rPr>
        <w:t>)</w:t>
      </w:r>
      <w:r w:rsidR="000A5A50">
        <w:rPr>
          <w:rFonts w:ascii="Times New Roman" w:hAnsi="Arial" w:cs="Times New Roman" w:hint="eastAsia"/>
        </w:rPr>
        <w:t>、</w:t>
      </w:r>
      <w:r w:rsidR="000106AB" w:rsidRPr="000106AB">
        <w:rPr>
          <w:rFonts w:ascii="Times New Roman" w:hAnsi="Arial" w:cs="Times New Roman"/>
          <w:i/>
        </w:rPr>
        <w:t>Tamolanica tamolana</w:t>
      </w:r>
      <w:r w:rsidR="000A5A50">
        <w:rPr>
          <w:rFonts w:ascii="Times New Roman" w:hAnsi="Arial" w:cs="Times New Roman"/>
        </w:rPr>
        <w:t xml:space="preserve"> (</w:t>
      </w:r>
      <w:r w:rsidR="000106AB" w:rsidRPr="000106AB">
        <w:rPr>
          <w:rFonts w:ascii="Times New Roman" w:hAnsi="Arial" w:cs="Times New Roman"/>
        </w:rPr>
        <w:t>DQ241797</w:t>
      </w:r>
      <w:r w:rsidR="000A5A50">
        <w:rPr>
          <w:rFonts w:ascii="Times New Roman" w:hAnsi="Arial" w:cs="Times New Roman"/>
        </w:rPr>
        <w:t>)</w:t>
      </w:r>
      <w:r w:rsidR="0081715A">
        <w:rPr>
          <w:rFonts w:ascii="Times New Roman" w:hAnsi="Arial" w:cs="Times New Roman" w:hint="eastAsia"/>
        </w:rPr>
        <w:t>的</w:t>
      </w:r>
      <w:r>
        <w:rPr>
          <w:rFonts w:ascii="Times New Roman" w:hAnsi="Arial" w:cs="Times New Roman"/>
        </w:rPr>
        <w:t>线粒体基因组进行比对</w:t>
      </w:r>
      <w:r>
        <w:rPr>
          <w:rFonts w:ascii="Times New Roman" w:hAnsi="Arial" w:cs="Times New Roman" w:hint="eastAsia"/>
        </w:rPr>
        <w:t>确定</w:t>
      </w:r>
      <w:r>
        <w:rPr>
          <w:rFonts w:ascii="Times New Roman" w:hAnsi="Arial" w:cs="Times New Roman"/>
        </w:rPr>
        <w:t>，</w:t>
      </w:r>
      <w:r>
        <w:rPr>
          <w:rFonts w:ascii="Times New Roman" w:hAnsi="Arial" w:cs="Times New Roman" w:hint="eastAsia"/>
        </w:rPr>
        <w:t>tRNA</w:t>
      </w:r>
      <w:r>
        <w:rPr>
          <w:rFonts w:ascii="Times New Roman" w:hAnsi="Arial" w:cs="Times New Roman" w:hint="eastAsia"/>
        </w:rPr>
        <w:t>基因通过</w:t>
      </w:r>
      <w:r w:rsidRPr="006765BC">
        <w:rPr>
          <w:rFonts w:ascii="Times New Roman" w:hAnsi="Arial" w:cs="Times New Roman"/>
        </w:rPr>
        <w:t>tRNAScan-SE server v 1.21</w:t>
      </w:r>
      <w:r>
        <w:rPr>
          <w:rFonts w:ascii="Times New Roman" w:hAnsi="Arial" w:cs="Times New Roman"/>
        </w:rPr>
        <w:t xml:space="preserve"> (</w:t>
      </w:r>
      <w:r>
        <w:rPr>
          <w:rFonts w:ascii="Times New Roman" w:hAnsi="Times New Roman" w:cs="Times New Roman"/>
        </w:rPr>
        <w:t>Lowe</w:t>
      </w:r>
      <w:r w:rsidRPr="0059402D">
        <w:rPr>
          <w:rFonts w:ascii="Times New Roman" w:hAnsi="Times New Roman" w:cs="Times New Roman"/>
        </w:rPr>
        <w:t xml:space="preserve"> </w:t>
      </w:r>
      <w:r>
        <w:rPr>
          <w:rFonts w:ascii="Times New Roman" w:hAnsi="Times New Roman" w:cs="Times New Roman"/>
        </w:rPr>
        <w:t>and Eddy 1997</w:t>
      </w:r>
      <w:r>
        <w:rPr>
          <w:rFonts w:ascii="Times New Roman" w:hAnsi="Arial" w:cs="Times New Roman"/>
        </w:rPr>
        <w:t>)</w:t>
      </w:r>
      <w:r>
        <w:rPr>
          <w:rFonts w:ascii="Times New Roman" w:hAnsi="Arial" w:cs="Times New Roman" w:hint="eastAsia"/>
        </w:rPr>
        <w:t>和</w:t>
      </w:r>
      <w:r w:rsidRPr="006765BC">
        <w:rPr>
          <w:rFonts w:ascii="Times New Roman" w:hAnsi="Arial" w:cs="Times New Roman"/>
        </w:rPr>
        <w:t>MITOS WebSever</w:t>
      </w:r>
      <w:r>
        <w:rPr>
          <w:rFonts w:ascii="Times New Roman" w:hAnsi="Arial" w:cs="Times New Roman"/>
        </w:rPr>
        <w:t xml:space="preserve"> (</w:t>
      </w:r>
      <w:r w:rsidRPr="00F83190">
        <w:rPr>
          <w:rFonts w:ascii="Times New Roman" w:hAnsi="Times New Roman" w:cs="Times New Roman"/>
        </w:rPr>
        <w:t xml:space="preserve">Bernt </w:t>
      </w:r>
      <w:r w:rsidRPr="00A64441">
        <w:rPr>
          <w:rFonts w:ascii="Times New Roman" w:hAnsi="Times New Roman" w:cs="Times New Roman"/>
        </w:rPr>
        <w:t>et al. 2013</w:t>
      </w:r>
      <w:r>
        <w:rPr>
          <w:rFonts w:ascii="Times New Roman" w:hAnsi="Arial" w:cs="Times New Roman"/>
        </w:rPr>
        <w:t>)</w:t>
      </w:r>
      <w:r>
        <w:rPr>
          <w:rFonts w:ascii="Times New Roman" w:hAnsi="Arial" w:cs="Times New Roman" w:hint="eastAsia"/>
        </w:rPr>
        <w:t>预测</w:t>
      </w:r>
      <w:r>
        <w:rPr>
          <w:rFonts w:ascii="Times New Roman" w:hAnsi="Arial" w:cs="Times New Roman"/>
        </w:rPr>
        <w:t>确定</w:t>
      </w:r>
      <w:r w:rsidRPr="00A64441">
        <w:rPr>
          <w:rFonts w:ascii="Times New Roman" w:hAnsi="Arial" w:cs="Times New Roman"/>
        </w:rPr>
        <w:t>。</w:t>
      </w:r>
    </w:p>
    <w:p w:rsidR="00FE56BF" w:rsidRPr="00A64441" w:rsidRDefault="00FE56BF" w:rsidP="00FE56BF">
      <w:pPr>
        <w:spacing w:after="120" w:line="444" w:lineRule="auto"/>
        <w:ind w:left="1701" w:hanging="1701"/>
        <w:jc w:val="both"/>
        <w:rPr>
          <w:rFonts w:ascii="Times New Roman" w:hAnsi="Times New Roman" w:cs="Times New Roman"/>
        </w:rPr>
      </w:pPr>
      <w:r w:rsidRPr="00A64441">
        <w:rPr>
          <w:rFonts w:ascii="Times New Roman" w:hAnsi="Times New Roman" w:cs="Times New Roman" w:hint="eastAsia"/>
          <w:b/>
        </w:rPr>
        <w:t>(</w:t>
      </w:r>
      <w:r w:rsidRPr="00A64441">
        <w:rPr>
          <w:rFonts w:ascii="Times New Roman" w:hAnsi="Times New Roman" w:cs="Times New Roman" w:hint="eastAsia"/>
          <w:b/>
        </w:rPr>
        <w:t>四</w:t>
      </w:r>
      <w:r w:rsidRPr="00A64441">
        <w:rPr>
          <w:rFonts w:ascii="Times New Roman" w:hAnsi="Times New Roman" w:cs="Times New Roman" w:hint="eastAsia"/>
          <w:b/>
        </w:rPr>
        <w:t xml:space="preserve">) </w:t>
      </w:r>
      <w:r w:rsidRPr="00A64441">
        <w:rPr>
          <w:rFonts w:ascii="Times New Roman" w:hAnsi="Times New Roman" w:cs="Times New Roman" w:hint="eastAsia"/>
          <w:b/>
        </w:rPr>
        <w:t>基因组图谱：</w:t>
      </w:r>
      <w:r w:rsidRPr="00A64441">
        <w:rPr>
          <w:rFonts w:ascii="Times New Roman" w:hAnsi="Times New Roman" w:cs="Times New Roman" w:hint="eastAsia"/>
        </w:rPr>
        <w:t>采用</w:t>
      </w:r>
      <w:r w:rsidRPr="00A64441">
        <w:rPr>
          <w:rFonts w:ascii="Times New Roman" w:hAnsi="Times New Roman" w:cs="Times New Roman" w:hint="eastAsia"/>
        </w:rPr>
        <w:t>OGDraw</w:t>
      </w:r>
      <w:r w:rsidRPr="00A64441">
        <w:rPr>
          <w:rFonts w:ascii="Times New Roman" w:hAnsi="Times New Roman" w:cs="Times New Roman" w:hint="eastAsia"/>
        </w:rPr>
        <w:t>在线工具</w:t>
      </w:r>
      <w:r w:rsidRPr="00A64441">
        <w:rPr>
          <w:rFonts w:ascii="Times New Roman" w:hAnsi="Times New Roman" w:cs="Times New Roman" w:hint="eastAsia"/>
        </w:rPr>
        <w:t>(Lohse et al. 2013)</w:t>
      </w:r>
      <w:r w:rsidRPr="00A64441">
        <w:rPr>
          <w:rFonts w:ascii="Times New Roman" w:hAnsi="Times New Roman" w:cs="Times New Roman" w:hint="eastAsia"/>
        </w:rPr>
        <w:t>（</w:t>
      </w:r>
      <w:hyperlink r:id="rId6" w:history="1">
        <w:r w:rsidRPr="00A64441">
          <w:rPr>
            <w:rStyle w:val="a3"/>
            <w:rFonts w:ascii="Times New Roman" w:hAnsi="Times New Roman" w:cs="Times New Roman"/>
          </w:rPr>
          <w:t>http://ogdraw.mpimp-golm.mpg.de/</w:t>
        </w:r>
      </w:hyperlink>
      <w:r w:rsidRPr="00A64441">
        <w:rPr>
          <w:rFonts w:ascii="Times New Roman" w:hAnsi="Times New Roman" w:cs="Times New Roman" w:hint="eastAsia"/>
        </w:rPr>
        <w:t>）进行</w:t>
      </w:r>
      <w:r>
        <w:rPr>
          <w:rFonts w:ascii="Times New Roman" w:hAnsi="Times New Roman" w:cs="Times New Roman" w:hint="eastAsia"/>
        </w:rPr>
        <w:t>线粒体</w:t>
      </w:r>
      <w:r w:rsidRPr="00A64441">
        <w:rPr>
          <w:rFonts w:ascii="Times New Roman" w:hAnsi="Times New Roman" w:cs="Times New Roman" w:hint="eastAsia"/>
        </w:rPr>
        <w:t>基因组</w:t>
      </w:r>
      <w:r>
        <w:rPr>
          <w:rFonts w:ascii="Times New Roman" w:hAnsi="Times New Roman" w:cs="Times New Roman" w:hint="eastAsia"/>
        </w:rPr>
        <w:t>环状</w:t>
      </w:r>
      <w:r w:rsidRPr="00A64441">
        <w:rPr>
          <w:rFonts w:ascii="Times New Roman" w:hAnsi="Times New Roman" w:cs="Times New Roman" w:hint="eastAsia"/>
        </w:rPr>
        <w:t>图谱制作。</w:t>
      </w:r>
    </w:p>
    <w:p w:rsidR="00FE56BF" w:rsidRPr="00F355A0" w:rsidRDefault="00FE56BF" w:rsidP="00FE56BF">
      <w:pPr>
        <w:spacing w:after="120" w:line="444" w:lineRule="auto"/>
        <w:ind w:left="1560" w:hanging="1560"/>
        <w:jc w:val="both"/>
        <w:rPr>
          <w:rFonts w:ascii="Times New Roman" w:hAnsi="Times New Roman" w:cs="Times New Roman"/>
        </w:rPr>
      </w:pPr>
      <w:r w:rsidRPr="00A64441">
        <w:rPr>
          <w:rFonts w:ascii="Times New Roman" w:hAnsi="Times New Roman" w:cs="Times New Roman"/>
          <w:b/>
        </w:rPr>
        <w:t>(</w:t>
      </w:r>
      <w:r w:rsidRPr="00A64441">
        <w:rPr>
          <w:rFonts w:ascii="Times New Roman" w:hAnsi="Arial" w:cs="Times New Roman" w:hint="eastAsia"/>
          <w:b/>
        </w:rPr>
        <w:t>五</w:t>
      </w:r>
      <w:r w:rsidRPr="00A64441">
        <w:rPr>
          <w:rFonts w:ascii="Times New Roman" w:hAnsi="Times New Roman" w:cs="Times New Roman"/>
          <w:b/>
        </w:rPr>
        <w:t xml:space="preserve">) </w:t>
      </w:r>
      <w:r w:rsidRPr="00A64441">
        <w:rPr>
          <w:rFonts w:ascii="Times New Roman" w:hAnsi="Arial" w:cs="Times New Roman"/>
          <w:b/>
        </w:rPr>
        <w:t>结果文件：</w:t>
      </w:r>
      <w:r w:rsidRPr="0035386A">
        <w:rPr>
          <w:rFonts w:ascii="Times New Roman" w:hAnsi="Arial" w:cs="Times New Roman" w:hint="eastAsia"/>
        </w:rPr>
        <w:t>包含</w:t>
      </w:r>
      <w:r w:rsidRPr="0035386A">
        <w:rPr>
          <w:rFonts w:ascii="Times New Roman" w:hAnsi="Arial" w:cs="Times New Roman"/>
        </w:rPr>
        <w:t>数据质控</w:t>
      </w:r>
      <w:r w:rsidRPr="0035386A">
        <w:rPr>
          <w:rFonts w:ascii="Times New Roman" w:hAnsi="Arial" w:cs="Times New Roman" w:hint="eastAsia"/>
        </w:rPr>
        <w:t>结果</w:t>
      </w:r>
      <w:r w:rsidRPr="0035386A">
        <w:rPr>
          <w:rFonts w:ascii="Times New Roman" w:hAnsi="Arial" w:cs="Times New Roman"/>
        </w:rPr>
        <w:t>文件</w:t>
      </w:r>
      <w:r w:rsidRPr="0035386A">
        <w:rPr>
          <w:rFonts w:ascii="Times New Roman" w:hAnsi="Arial" w:cs="Times New Roman" w:hint="eastAsia"/>
        </w:rPr>
        <w:t>，</w:t>
      </w:r>
      <w:r w:rsidRPr="0035386A">
        <w:rPr>
          <w:rFonts w:ascii="Times New Roman" w:hAnsi="Arial" w:cs="Times New Roman"/>
        </w:rPr>
        <w:t>包</w:t>
      </w:r>
      <w:r w:rsidRPr="00A64441">
        <w:rPr>
          <w:rFonts w:ascii="Times New Roman" w:hAnsi="Arial" w:cs="Times New Roman"/>
        </w:rPr>
        <w:t>含注释版</w:t>
      </w:r>
      <w:r w:rsidRPr="00A64441">
        <w:rPr>
          <w:rFonts w:ascii="Times New Roman" w:hAnsi="Arial" w:cs="Times New Roman" w:hint="eastAsia"/>
        </w:rPr>
        <w:t>【</w:t>
      </w:r>
      <w:r w:rsidRPr="00DA3B7D">
        <w:rPr>
          <w:rFonts w:ascii="Times New Roman" w:hAnsi="Arial" w:cs="Times New Roman" w:hint="eastAsia"/>
          <w:u w:val="single"/>
        </w:rPr>
        <w:t>GB</w:t>
      </w:r>
      <w:r w:rsidRPr="00DA3B7D">
        <w:rPr>
          <w:rFonts w:ascii="Times New Roman" w:hAnsi="Arial" w:cs="Times New Roman" w:hint="eastAsia"/>
          <w:u w:val="single"/>
        </w:rPr>
        <w:t>格式</w:t>
      </w:r>
      <w:r w:rsidRPr="00A64441">
        <w:rPr>
          <w:rFonts w:ascii="Times New Roman" w:hAnsi="Arial" w:cs="Times New Roman" w:hint="eastAsia"/>
        </w:rPr>
        <w:t>】</w:t>
      </w:r>
      <w:r>
        <w:rPr>
          <w:rFonts w:ascii="Times New Roman" w:hAnsi="Arial" w:cs="Times New Roman" w:hint="eastAsia"/>
        </w:rPr>
        <w:t>、</w:t>
      </w:r>
      <w:r w:rsidRPr="00A64441">
        <w:rPr>
          <w:rFonts w:ascii="Times New Roman" w:hAnsi="Arial" w:cs="Times New Roman" w:hint="eastAsia"/>
        </w:rPr>
        <w:t>【</w:t>
      </w:r>
      <w:r>
        <w:rPr>
          <w:rFonts w:ascii="Times New Roman" w:hAnsi="Arial" w:cs="Times New Roman"/>
          <w:u w:val="single"/>
        </w:rPr>
        <w:t>GFF3</w:t>
      </w:r>
      <w:r w:rsidRPr="00A64441">
        <w:rPr>
          <w:rFonts w:ascii="Times New Roman" w:hAnsi="Arial" w:cs="Times New Roman" w:hint="eastAsia"/>
          <w:u w:val="single"/>
        </w:rPr>
        <w:t>格式</w:t>
      </w:r>
      <w:r w:rsidRPr="00A64441">
        <w:rPr>
          <w:rFonts w:ascii="Times New Roman" w:hAnsi="Arial" w:cs="Times New Roman" w:hint="eastAsia"/>
        </w:rPr>
        <w:t>】</w:t>
      </w:r>
      <w:r w:rsidRPr="00A64441">
        <w:rPr>
          <w:rFonts w:ascii="Times New Roman" w:hAnsi="Arial" w:cs="Times New Roman"/>
        </w:rPr>
        <w:t>和纯序列版</w:t>
      </w:r>
      <w:r w:rsidRPr="00A64441">
        <w:rPr>
          <w:rFonts w:ascii="Times New Roman" w:hAnsi="Arial" w:cs="Times New Roman" w:hint="eastAsia"/>
        </w:rPr>
        <w:t>【</w:t>
      </w:r>
      <w:r w:rsidRPr="00A64441">
        <w:rPr>
          <w:rFonts w:ascii="Times New Roman" w:hAnsi="Arial" w:cs="Times New Roman" w:hint="eastAsia"/>
          <w:u w:val="single"/>
        </w:rPr>
        <w:t>.fasta</w:t>
      </w:r>
      <w:r w:rsidRPr="00A64441">
        <w:rPr>
          <w:rFonts w:ascii="Times New Roman" w:hAnsi="Arial" w:cs="Times New Roman" w:hint="eastAsia"/>
          <w:u w:val="single"/>
        </w:rPr>
        <w:t>格式</w:t>
      </w:r>
      <w:r w:rsidRPr="00A64441">
        <w:rPr>
          <w:rFonts w:ascii="Times New Roman" w:hAnsi="Arial" w:cs="Times New Roman" w:hint="eastAsia"/>
        </w:rPr>
        <w:t>】</w:t>
      </w:r>
      <w:r w:rsidRPr="00A64441">
        <w:rPr>
          <w:rFonts w:ascii="Times New Roman" w:hAnsi="Arial" w:cs="Times New Roman"/>
        </w:rPr>
        <w:t>文件、注释结果表格</w:t>
      </w:r>
      <w:r>
        <w:rPr>
          <w:rFonts w:ascii="Times New Roman" w:hAnsi="Arial" w:cs="Times New Roman" w:hint="eastAsia"/>
        </w:rPr>
        <w:t>及环状</w:t>
      </w:r>
      <w:r w:rsidRPr="00A64441">
        <w:rPr>
          <w:rFonts w:ascii="Times New Roman" w:hAnsi="Arial" w:cs="Times New Roman" w:hint="eastAsia"/>
        </w:rPr>
        <w:t>图谱各</w:t>
      </w:r>
      <w:r w:rsidRPr="00A64441">
        <w:rPr>
          <w:rFonts w:ascii="Times New Roman" w:hAnsi="Arial" w:cs="Times New Roman" w:hint="eastAsia"/>
        </w:rPr>
        <w:t>1</w:t>
      </w:r>
      <w:r w:rsidRPr="00A64441">
        <w:rPr>
          <w:rFonts w:ascii="Times New Roman" w:hAnsi="Arial" w:cs="Times New Roman" w:hint="eastAsia"/>
        </w:rPr>
        <w:t>个</w:t>
      </w:r>
      <w:r>
        <w:rPr>
          <w:rFonts w:ascii="Times New Roman" w:hAnsi="Arial" w:cs="Times New Roman" w:hint="eastAsia"/>
        </w:rPr>
        <w:t>，</w:t>
      </w:r>
      <w:r>
        <w:rPr>
          <w:rFonts w:ascii="Times New Roman" w:hAnsi="Arial" w:cs="Times New Roman"/>
        </w:rPr>
        <w:t>包含</w:t>
      </w:r>
      <w:r>
        <w:rPr>
          <w:rFonts w:ascii="Times New Roman" w:hAnsi="Arial" w:cs="Times New Roman" w:hint="eastAsia"/>
        </w:rPr>
        <w:t>tRNA</w:t>
      </w:r>
      <w:r>
        <w:rPr>
          <w:rFonts w:ascii="Times New Roman" w:hAnsi="Arial" w:cs="Times New Roman" w:hint="eastAsia"/>
        </w:rPr>
        <w:t>二级结构</w:t>
      </w:r>
      <w:r>
        <w:rPr>
          <w:rFonts w:ascii="Times New Roman" w:hAnsi="Arial" w:cs="Times New Roman"/>
        </w:rPr>
        <w:t>预测文件</w:t>
      </w:r>
      <w:r w:rsidRPr="00A64441">
        <w:rPr>
          <w:rFonts w:ascii="Times New Roman" w:hAnsi="Arial" w:cs="Times New Roman" w:hint="eastAsia"/>
        </w:rPr>
        <w:t>。</w:t>
      </w:r>
    </w:p>
    <w:p w:rsidR="00FE56BF" w:rsidRPr="00F355A0" w:rsidRDefault="00FE56BF" w:rsidP="00FE56BF">
      <w:pPr>
        <w:rPr>
          <w:rFonts w:ascii="Times New Roman" w:hAnsi="Times New Roman" w:cs="Times New Roman"/>
          <w:b/>
          <w:sz w:val="24"/>
          <w:u w:val="single"/>
        </w:rPr>
      </w:pPr>
      <w:r w:rsidRPr="00F355A0">
        <w:rPr>
          <w:rFonts w:ascii="Times New Roman" w:hAnsi="Arial" w:cs="Times New Roman"/>
          <w:b/>
          <w:sz w:val="24"/>
          <w:u w:val="single"/>
        </w:rPr>
        <w:t>相关文献</w:t>
      </w:r>
    </w:p>
    <w:p w:rsidR="00FE56BF" w:rsidRDefault="00FE56BF" w:rsidP="00FE56BF">
      <w:pPr>
        <w:spacing w:after="120" w:line="444" w:lineRule="auto"/>
        <w:ind w:left="567" w:hanging="567"/>
        <w:jc w:val="both"/>
        <w:rPr>
          <w:rFonts w:ascii="Times New Roman" w:hAnsi="Times New Roman" w:cs="Times New Roman"/>
        </w:rPr>
      </w:pPr>
      <w:r w:rsidRPr="00F83190">
        <w:rPr>
          <w:rFonts w:ascii="Times New Roman" w:hAnsi="Times New Roman" w:cs="Times New Roman"/>
        </w:rPr>
        <w:t>Bernt M, Donath A, Jühling F, Externbrink F, Florentz C, Fritzsch G, Pütz J, Middendorf M</w:t>
      </w:r>
      <w:r>
        <w:rPr>
          <w:rFonts w:ascii="Times New Roman" w:hAnsi="Times New Roman" w:cs="Times New Roman"/>
        </w:rPr>
        <w:t xml:space="preserve">, </w:t>
      </w:r>
      <w:r w:rsidRPr="00F83190">
        <w:rPr>
          <w:rFonts w:ascii="Times New Roman" w:hAnsi="Times New Roman" w:cs="Times New Roman"/>
        </w:rPr>
        <w:t xml:space="preserve">Stadler P F. </w:t>
      </w:r>
      <w:r w:rsidRPr="0059402D">
        <w:rPr>
          <w:rFonts w:ascii="Times New Roman" w:hAnsi="Times New Roman" w:cs="Times New Roman"/>
        </w:rPr>
        <w:t>(2013)</w:t>
      </w:r>
      <w:r>
        <w:rPr>
          <w:rFonts w:ascii="Times New Roman" w:hAnsi="Times New Roman" w:cs="Times New Roman"/>
        </w:rPr>
        <w:t>.</w:t>
      </w:r>
      <w:r w:rsidRPr="0059402D">
        <w:rPr>
          <w:rFonts w:ascii="Times New Roman" w:hAnsi="Times New Roman" w:cs="Times New Roman"/>
        </w:rPr>
        <w:t xml:space="preserve"> MITOS: Improved de novo metazoan mitochondrial genome annotation.</w:t>
      </w:r>
      <w:r>
        <w:rPr>
          <w:rFonts w:ascii="Times New Roman" w:hAnsi="Times New Roman" w:cs="Times New Roman"/>
        </w:rPr>
        <w:t xml:space="preserve"> Mol Phylogenet Evol</w:t>
      </w:r>
      <w:r w:rsidRPr="0059402D">
        <w:rPr>
          <w:rFonts w:ascii="Times New Roman" w:hAnsi="Times New Roman" w:cs="Times New Roman"/>
        </w:rPr>
        <w:t xml:space="preserve"> 69</w:t>
      </w:r>
      <w:r>
        <w:rPr>
          <w:rFonts w:ascii="Times New Roman" w:hAnsi="Times New Roman" w:cs="Times New Roman"/>
        </w:rPr>
        <w:t>:313–319.</w:t>
      </w:r>
    </w:p>
    <w:p w:rsidR="00FE56BF" w:rsidRDefault="00FE56BF" w:rsidP="00FE56BF">
      <w:pPr>
        <w:spacing w:after="120" w:line="444" w:lineRule="auto"/>
        <w:ind w:left="567" w:hanging="567"/>
        <w:jc w:val="both"/>
        <w:rPr>
          <w:rFonts w:ascii="Times New Roman" w:hAnsi="Times New Roman" w:cs="Times New Roman"/>
        </w:rPr>
      </w:pPr>
      <w:r w:rsidRPr="00F355A0">
        <w:rPr>
          <w:rFonts w:ascii="Times New Roman" w:hAnsi="Times New Roman" w:cs="Times New Roman"/>
        </w:rPr>
        <w:lastRenderedPageBreak/>
        <w:t>Hahn C, Bachmann L, Chevreux B. (2013). Reconstructing mitochondrial genomes directly from genomic next-generation sequencing reads—a baiting and iterative mapping approach. Nucl Acids Res 41:e129.</w:t>
      </w:r>
    </w:p>
    <w:p w:rsidR="00FE56BF" w:rsidRDefault="00FE56BF" w:rsidP="00FE56BF">
      <w:pPr>
        <w:spacing w:after="120" w:line="444" w:lineRule="auto"/>
        <w:ind w:left="567" w:hanging="567"/>
        <w:jc w:val="both"/>
        <w:rPr>
          <w:rFonts w:ascii="Times New Roman" w:hAnsi="Times New Roman" w:cs="Times New Roman"/>
        </w:rPr>
      </w:pPr>
      <w:r w:rsidRPr="004A0DBE">
        <w:rPr>
          <w:rFonts w:ascii="Times New Roman" w:hAnsi="Times New Roman" w:cs="Times New Roman"/>
        </w:rPr>
        <w:t>Lohse M, Drechsel O, Kahlau S, Bock R. (2013). OrganellarGenomeDRAW—a suite of tools for generating physical maps of plastid and mitochondrial genomes and visualizing expression data sets. Nucl Acids Res 41:W575-W81.</w:t>
      </w:r>
    </w:p>
    <w:p w:rsidR="00FE56BF" w:rsidRPr="0059402D" w:rsidRDefault="00FE56BF" w:rsidP="00FE56BF">
      <w:pPr>
        <w:spacing w:after="120" w:line="444" w:lineRule="auto"/>
        <w:ind w:left="567" w:hanging="567"/>
        <w:jc w:val="both"/>
        <w:rPr>
          <w:rFonts w:ascii="Times New Roman" w:hAnsi="Times New Roman" w:cs="Times New Roman"/>
        </w:rPr>
      </w:pPr>
      <w:r>
        <w:rPr>
          <w:rFonts w:ascii="Times New Roman" w:hAnsi="Times New Roman" w:cs="Times New Roman"/>
        </w:rPr>
        <w:t>Lowe</w:t>
      </w:r>
      <w:r w:rsidRPr="0059402D">
        <w:rPr>
          <w:rFonts w:ascii="Times New Roman" w:hAnsi="Times New Roman" w:cs="Times New Roman"/>
        </w:rPr>
        <w:t xml:space="preserve"> T</w:t>
      </w:r>
      <w:r>
        <w:rPr>
          <w:rFonts w:ascii="Times New Roman" w:hAnsi="Times New Roman" w:cs="Times New Roman"/>
        </w:rPr>
        <w:t>,</w:t>
      </w:r>
      <w:r w:rsidRPr="0059402D">
        <w:rPr>
          <w:rFonts w:ascii="Times New Roman" w:hAnsi="Times New Roman" w:cs="Times New Roman"/>
        </w:rPr>
        <w:t xml:space="preserve"> </w:t>
      </w:r>
      <w:r>
        <w:rPr>
          <w:rFonts w:ascii="Times New Roman" w:hAnsi="Times New Roman" w:cs="Times New Roman"/>
        </w:rPr>
        <w:t>Eddy</w:t>
      </w:r>
      <w:r w:rsidRPr="0059402D">
        <w:rPr>
          <w:rFonts w:ascii="Times New Roman" w:hAnsi="Times New Roman" w:cs="Times New Roman"/>
        </w:rPr>
        <w:t xml:space="preserve"> S</w:t>
      </w:r>
      <w:r>
        <w:rPr>
          <w:rFonts w:ascii="Times New Roman" w:hAnsi="Times New Roman" w:cs="Times New Roman" w:hint="eastAsia"/>
        </w:rPr>
        <w:t>.</w:t>
      </w:r>
      <w:r>
        <w:rPr>
          <w:rFonts w:ascii="Times New Roman" w:hAnsi="Times New Roman" w:cs="Times New Roman"/>
        </w:rPr>
        <w:t xml:space="preserve"> </w:t>
      </w:r>
      <w:r w:rsidRPr="0059402D">
        <w:rPr>
          <w:rFonts w:ascii="Times New Roman" w:hAnsi="Times New Roman" w:cs="Times New Roman"/>
        </w:rPr>
        <w:t>(1997). tRNAscan-SE: a program for improved detection of transfer RNA genes in genomic sequence. Nucl</w:t>
      </w:r>
      <w:r>
        <w:rPr>
          <w:rFonts w:ascii="Times New Roman" w:hAnsi="Times New Roman" w:cs="Times New Roman"/>
        </w:rPr>
        <w:t xml:space="preserve"> Acids Res</w:t>
      </w:r>
      <w:r w:rsidRPr="0059402D">
        <w:rPr>
          <w:rFonts w:ascii="Times New Roman" w:hAnsi="Times New Roman" w:cs="Times New Roman"/>
        </w:rPr>
        <w:t xml:space="preserve"> 25</w:t>
      </w:r>
      <w:r>
        <w:rPr>
          <w:rFonts w:ascii="Times New Roman" w:hAnsi="Times New Roman" w:cs="Times New Roman"/>
        </w:rPr>
        <w:t>:</w:t>
      </w:r>
      <w:r w:rsidRPr="0059402D">
        <w:rPr>
          <w:rFonts w:ascii="Times New Roman" w:hAnsi="Times New Roman" w:cs="Times New Roman"/>
        </w:rPr>
        <w:t>955–964.</w:t>
      </w:r>
    </w:p>
    <w:p w:rsidR="00FE56BF" w:rsidRDefault="00FE56BF" w:rsidP="00FE56BF">
      <w:pPr>
        <w:spacing w:after="120" w:line="444" w:lineRule="auto"/>
        <w:jc w:val="both"/>
        <w:rPr>
          <w:rFonts w:ascii="Times New Roman" w:hAnsi="Times New Roman" w:cs="Times New Roman"/>
        </w:rPr>
      </w:pPr>
    </w:p>
    <w:p w:rsidR="00453E57" w:rsidRDefault="00453E57"/>
    <w:sectPr w:rsidR="00453E57" w:rsidSect="00A9263E">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BD3" w:rsidRDefault="00E43BD3" w:rsidP="00694F58">
      <w:pPr>
        <w:spacing w:after="0" w:line="240" w:lineRule="auto"/>
      </w:pPr>
      <w:r>
        <w:separator/>
      </w:r>
    </w:p>
  </w:endnote>
  <w:endnote w:type="continuationSeparator" w:id="0">
    <w:p w:rsidR="00E43BD3" w:rsidRDefault="00E43BD3" w:rsidP="0069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BD3" w:rsidRDefault="00E43BD3" w:rsidP="00694F58">
      <w:pPr>
        <w:spacing w:after="0" w:line="240" w:lineRule="auto"/>
      </w:pPr>
      <w:r>
        <w:separator/>
      </w:r>
    </w:p>
  </w:footnote>
  <w:footnote w:type="continuationSeparator" w:id="0">
    <w:p w:rsidR="00E43BD3" w:rsidRDefault="00E43BD3" w:rsidP="00694F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BF"/>
    <w:rsid w:val="000106AB"/>
    <w:rsid w:val="000A5A50"/>
    <w:rsid w:val="00153027"/>
    <w:rsid w:val="001743CE"/>
    <w:rsid w:val="001833F3"/>
    <w:rsid w:val="00186D90"/>
    <w:rsid w:val="001C41EA"/>
    <w:rsid w:val="002112B6"/>
    <w:rsid w:val="002328BD"/>
    <w:rsid w:val="002A4977"/>
    <w:rsid w:val="00453E57"/>
    <w:rsid w:val="004553F8"/>
    <w:rsid w:val="004D214A"/>
    <w:rsid w:val="004D774D"/>
    <w:rsid w:val="004F28EA"/>
    <w:rsid w:val="00501531"/>
    <w:rsid w:val="00644D64"/>
    <w:rsid w:val="006639FD"/>
    <w:rsid w:val="00694F58"/>
    <w:rsid w:val="006B655A"/>
    <w:rsid w:val="007151CB"/>
    <w:rsid w:val="00720E57"/>
    <w:rsid w:val="007B1912"/>
    <w:rsid w:val="0081715A"/>
    <w:rsid w:val="008270E5"/>
    <w:rsid w:val="008327C5"/>
    <w:rsid w:val="008D6D5C"/>
    <w:rsid w:val="008F2654"/>
    <w:rsid w:val="00986A9F"/>
    <w:rsid w:val="009D27F6"/>
    <w:rsid w:val="009F6813"/>
    <w:rsid w:val="00A37AF8"/>
    <w:rsid w:val="00AF3FDE"/>
    <w:rsid w:val="00BF0B79"/>
    <w:rsid w:val="00C47B74"/>
    <w:rsid w:val="00D94B73"/>
    <w:rsid w:val="00DB3807"/>
    <w:rsid w:val="00E43BD3"/>
    <w:rsid w:val="00E46476"/>
    <w:rsid w:val="00F21298"/>
    <w:rsid w:val="00F80C1E"/>
    <w:rsid w:val="00FE56BF"/>
    <w:rsid w:val="00FF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7AA4F-611B-4160-8D69-04019408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6BF"/>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56BF"/>
    <w:rPr>
      <w:color w:val="0563C1" w:themeColor="hyperlink"/>
      <w:u w:val="single"/>
    </w:rPr>
  </w:style>
  <w:style w:type="paragraph" w:styleId="a4">
    <w:name w:val="header"/>
    <w:basedOn w:val="a"/>
    <w:link w:val="Char"/>
    <w:uiPriority w:val="99"/>
    <w:unhideWhenUsed/>
    <w:rsid w:val="00694F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694F58"/>
    <w:rPr>
      <w:kern w:val="0"/>
      <w:sz w:val="18"/>
      <w:szCs w:val="18"/>
    </w:rPr>
  </w:style>
  <w:style w:type="paragraph" w:styleId="a5">
    <w:name w:val="footer"/>
    <w:basedOn w:val="a"/>
    <w:link w:val="Char0"/>
    <w:uiPriority w:val="99"/>
    <w:unhideWhenUsed/>
    <w:rsid w:val="00694F5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694F58"/>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07271">
      <w:bodyDiv w:val="1"/>
      <w:marLeft w:val="0"/>
      <w:marRight w:val="0"/>
      <w:marTop w:val="0"/>
      <w:marBottom w:val="0"/>
      <w:divBdr>
        <w:top w:val="none" w:sz="0" w:space="0" w:color="auto"/>
        <w:left w:val="none" w:sz="0" w:space="0" w:color="auto"/>
        <w:bottom w:val="none" w:sz="0" w:space="0" w:color="auto"/>
        <w:right w:val="none" w:sz="0" w:space="0" w:color="auto"/>
      </w:divBdr>
    </w:div>
    <w:div w:id="476187357">
      <w:bodyDiv w:val="1"/>
      <w:marLeft w:val="0"/>
      <w:marRight w:val="0"/>
      <w:marTop w:val="0"/>
      <w:marBottom w:val="0"/>
      <w:divBdr>
        <w:top w:val="none" w:sz="0" w:space="0" w:color="auto"/>
        <w:left w:val="none" w:sz="0" w:space="0" w:color="auto"/>
        <w:bottom w:val="none" w:sz="0" w:space="0" w:color="auto"/>
        <w:right w:val="none" w:sz="0" w:space="0" w:color="auto"/>
      </w:divBdr>
    </w:div>
    <w:div w:id="525947829">
      <w:bodyDiv w:val="1"/>
      <w:marLeft w:val="0"/>
      <w:marRight w:val="0"/>
      <w:marTop w:val="0"/>
      <w:marBottom w:val="0"/>
      <w:divBdr>
        <w:top w:val="none" w:sz="0" w:space="0" w:color="auto"/>
        <w:left w:val="none" w:sz="0" w:space="0" w:color="auto"/>
        <w:bottom w:val="none" w:sz="0" w:space="0" w:color="auto"/>
        <w:right w:val="none" w:sz="0" w:space="0" w:color="auto"/>
      </w:divBdr>
    </w:div>
    <w:div w:id="694037680">
      <w:bodyDiv w:val="1"/>
      <w:marLeft w:val="0"/>
      <w:marRight w:val="0"/>
      <w:marTop w:val="0"/>
      <w:marBottom w:val="0"/>
      <w:divBdr>
        <w:top w:val="none" w:sz="0" w:space="0" w:color="auto"/>
        <w:left w:val="none" w:sz="0" w:space="0" w:color="auto"/>
        <w:bottom w:val="none" w:sz="0" w:space="0" w:color="auto"/>
        <w:right w:val="none" w:sz="0" w:space="0" w:color="auto"/>
      </w:divBdr>
    </w:div>
    <w:div w:id="1805732204">
      <w:bodyDiv w:val="1"/>
      <w:marLeft w:val="0"/>
      <w:marRight w:val="0"/>
      <w:marTop w:val="0"/>
      <w:marBottom w:val="0"/>
      <w:divBdr>
        <w:top w:val="none" w:sz="0" w:space="0" w:color="auto"/>
        <w:left w:val="none" w:sz="0" w:space="0" w:color="auto"/>
        <w:bottom w:val="none" w:sz="0" w:space="0" w:color="auto"/>
        <w:right w:val="none" w:sz="0" w:space="0" w:color="auto"/>
      </w:divBdr>
    </w:div>
    <w:div w:id="1833838333">
      <w:bodyDiv w:val="1"/>
      <w:marLeft w:val="0"/>
      <w:marRight w:val="0"/>
      <w:marTop w:val="0"/>
      <w:marBottom w:val="0"/>
      <w:divBdr>
        <w:top w:val="none" w:sz="0" w:space="0" w:color="auto"/>
        <w:left w:val="none" w:sz="0" w:space="0" w:color="auto"/>
        <w:bottom w:val="none" w:sz="0" w:space="0" w:color="auto"/>
        <w:right w:val="none" w:sz="0" w:space="0" w:color="auto"/>
      </w:divBdr>
    </w:div>
    <w:div w:id="19595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gdraw.mpimp-golm.mpg.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2018-03-16T00:22:00Z</dcterms:created>
  <dcterms:modified xsi:type="dcterms:W3CDTF">2019-02-25T06:31:00Z</dcterms:modified>
</cp:coreProperties>
</file>