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
        </w:rPr>
      </w:pPr>
      <w:r>
        <w:rPr>
          <w:rFonts w:hint="default"/>
          <w:lang w:val="en"/>
        </w:rPr>
        <w:drawing>
          <wp:inline distT="0" distB="0" distL="114300" distR="114300">
            <wp:extent cx="5075555" cy="3112770"/>
            <wp:effectExtent l="0" t="0" r="10795" b="11430"/>
            <wp:docPr id="4" name="Picture 4" descr="sec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econd"/>
                    <pic:cNvPicPr>
                      <a:picLocks noChangeAspect="1"/>
                    </pic:cNvPicPr>
                  </pic:nvPicPr>
                  <pic:blipFill>
                    <a:blip r:embed="rId4"/>
                    <a:stretch>
                      <a:fillRect/>
                    </a:stretch>
                  </pic:blipFill>
                  <pic:spPr>
                    <a:xfrm>
                      <a:off x="0" y="0"/>
                      <a:ext cx="5075555" cy="3112770"/>
                    </a:xfrm>
                    <a:prstGeom prst="rect">
                      <a:avLst/>
                    </a:prstGeom>
                  </pic:spPr>
                </pic:pic>
              </a:graphicData>
            </a:graphic>
          </wp:inline>
        </w:drawing>
      </w:r>
    </w:p>
    <w:p>
      <w:pPr>
        <w:jc w:val="center"/>
        <w:rPr>
          <w:rFonts w:hint="default"/>
          <w:sz w:val="28"/>
          <w:szCs w:val="28"/>
          <w:lang w:val="en"/>
        </w:rPr>
      </w:pPr>
      <w:r>
        <w:rPr>
          <w:rFonts w:hint="default"/>
          <w:sz w:val="28"/>
          <w:szCs w:val="28"/>
          <w:lang w:val="en"/>
        </w:rPr>
        <w:t>Maximum Likelihood</w:t>
      </w:r>
    </w:p>
    <w:p>
      <w:pPr>
        <w:jc w:val="center"/>
        <w:rPr>
          <w:rFonts w:hint="default"/>
          <w:sz w:val="28"/>
          <w:szCs w:val="28"/>
          <w:lang w:val="en"/>
        </w:rPr>
      </w:pPr>
      <w:r>
        <w:rPr>
          <w:rFonts w:hint="default"/>
          <w:sz w:val="28"/>
          <w:szCs w:val="28"/>
          <w:lang w:val="en"/>
        </w:rPr>
        <w:drawing>
          <wp:inline distT="0" distB="0" distL="114300" distR="114300">
            <wp:extent cx="5237480" cy="3248025"/>
            <wp:effectExtent l="0" t="0" r="1270" b="9525"/>
            <wp:docPr id="5" name="Picture 5" descr="Minimum Ev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inimum Evolution"/>
                    <pic:cNvPicPr>
                      <a:picLocks noChangeAspect="1"/>
                    </pic:cNvPicPr>
                  </pic:nvPicPr>
                  <pic:blipFill>
                    <a:blip r:embed="rId5"/>
                    <a:stretch>
                      <a:fillRect/>
                    </a:stretch>
                  </pic:blipFill>
                  <pic:spPr>
                    <a:xfrm>
                      <a:off x="0" y="0"/>
                      <a:ext cx="5237480" cy="3248025"/>
                    </a:xfrm>
                    <a:prstGeom prst="rect">
                      <a:avLst/>
                    </a:prstGeom>
                  </pic:spPr>
                </pic:pic>
              </a:graphicData>
            </a:graphic>
          </wp:inline>
        </w:drawing>
      </w:r>
    </w:p>
    <w:p>
      <w:pPr>
        <w:jc w:val="center"/>
        <w:rPr>
          <w:rFonts w:hint="default"/>
          <w:sz w:val="28"/>
          <w:szCs w:val="28"/>
          <w:lang w:val="en"/>
        </w:rPr>
      </w:pPr>
      <w:r>
        <w:rPr>
          <w:rFonts w:hint="default"/>
          <w:sz w:val="28"/>
          <w:szCs w:val="28"/>
          <w:lang w:val="en"/>
        </w:rPr>
        <w:t>Minimum Evolution</w:t>
      </w:r>
    </w:p>
    <w:p>
      <w:pPr>
        <w:rPr>
          <w:rFonts w:hint="default"/>
          <w:sz w:val="28"/>
          <w:szCs w:val="28"/>
          <w:lang w:val="en"/>
        </w:rPr>
      </w:pPr>
      <w:r>
        <w:rPr>
          <w:rFonts w:hint="default"/>
          <w:sz w:val="28"/>
          <w:szCs w:val="28"/>
          <w:lang w:val="en"/>
        </w:rPr>
        <w:br w:type="textWrapping"/>
      </w:r>
      <w:r>
        <w:rPr>
          <w:rFonts w:hint="default"/>
          <w:sz w:val="28"/>
          <w:szCs w:val="28"/>
          <w:lang w:val="en"/>
        </w:rPr>
        <w:t>Phyllothelys robusta 没有</w:t>
      </w:r>
    </w:p>
    <w:p>
      <w:pPr>
        <w:rPr>
          <w:rFonts w:hint="default"/>
          <w:sz w:val="28"/>
          <w:szCs w:val="28"/>
          <w:lang w:val="en"/>
        </w:rPr>
      </w:pPr>
    </w:p>
    <w:p>
      <w:pPr>
        <w:rPr>
          <w:rFonts w:hint="default"/>
          <w:sz w:val="28"/>
          <w:szCs w:val="28"/>
          <w:lang w:val="en"/>
        </w:rPr>
      </w:pPr>
      <w:r>
        <w:rPr>
          <w:rFonts w:hint="default"/>
          <w:sz w:val="28"/>
          <w:szCs w:val="28"/>
          <w:lang w:val="en"/>
        </w:rPr>
        <w:br w:type="page"/>
      </w:r>
    </w:p>
    <w:p>
      <w:pPr>
        <w:rPr>
          <w:rFonts w:hint="default"/>
          <w:sz w:val="28"/>
          <w:szCs w:val="28"/>
          <w:lang w:val="e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2242"/>
        <w:gridCol w:w="2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rPr>
                <w:rFonts w:hint="default"/>
                <w:sz w:val="28"/>
                <w:szCs w:val="28"/>
                <w:vertAlign w:val="baseline"/>
                <w:lang w:val="en"/>
              </w:rPr>
            </w:pPr>
            <w:r>
              <w:rPr>
                <w:rFonts w:hint="default"/>
                <w:sz w:val="28"/>
                <w:szCs w:val="28"/>
                <w:vertAlign w:val="baseline"/>
                <w:lang w:val="en"/>
              </w:rPr>
              <w:t>Phyllothelys breve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default"/>
                <w:sz w:val="28"/>
                <w:szCs w:val="28"/>
                <w:vertAlign w:val="baseline"/>
                <w:lang w:val="en"/>
              </w:rPr>
            </w:pPr>
            <w:r>
              <w:rPr>
                <w:rFonts w:hint="default"/>
                <w:sz w:val="28"/>
                <w:szCs w:val="28"/>
                <w:vertAlign w:val="baseline"/>
                <w:lang w:val="en"/>
              </w:rPr>
              <w:t>基因总数</w:t>
            </w:r>
          </w:p>
        </w:tc>
        <w:tc>
          <w:tcPr>
            <w:tcW w:w="4261" w:type="dxa"/>
            <w:gridSpan w:val="2"/>
          </w:tcPr>
          <w:p>
            <w:pPr>
              <w:jc w:val="center"/>
              <w:rPr>
                <w:rFonts w:hint="default"/>
                <w:sz w:val="28"/>
                <w:szCs w:val="28"/>
                <w:vertAlign w:val="baseline"/>
                <w:lang w:val="en"/>
              </w:rPr>
            </w:pPr>
            <w:r>
              <w:rPr>
                <w:rFonts w:hint="default"/>
                <w:sz w:val="28"/>
                <w:szCs w:val="28"/>
                <w:vertAlign w:val="baseline"/>
                <w:lang w:val="en"/>
              </w:rPr>
              <w:t>15896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default"/>
                <w:sz w:val="28"/>
                <w:szCs w:val="28"/>
                <w:vertAlign w:val="baseline"/>
                <w:lang w:val="en"/>
              </w:rPr>
            </w:pPr>
            <w:r>
              <w:rPr>
                <w:rFonts w:hint="default"/>
                <w:sz w:val="28"/>
                <w:szCs w:val="28"/>
                <w:vertAlign w:val="baseline"/>
                <w:lang w:val="en"/>
              </w:rPr>
              <w:t>A</w:t>
            </w:r>
          </w:p>
          <w:p>
            <w:pPr>
              <w:jc w:val="center"/>
              <w:rPr>
                <w:rFonts w:hint="default"/>
                <w:sz w:val="28"/>
                <w:szCs w:val="28"/>
                <w:vertAlign w:val="baseline"/>
                <w:lang w:val="en"/>
              </w:rPr>
            </w:pPr>
            <w:r>
              <w:rPr>
                <w:rFonts w:hint="default"/>
                <w:sz w:val="28"/>
                <w:szCs w:val="28"/>
                <w:vertAlign w:val="baseline"/>
                <w:lang w:val="en"/>
              </w:rPr>
              <w:t>T</w:t>
            </w:r>
          </w:p>
          <w:p>
            <w:pPr>
              <w:jc w:val="center"/>
              <w:rPr>
                <w:rFonts w:hint="default"/>
                <w:sz w:val="28"/>
                <w:szCs w:val="28"/>
                <w:vertAlign w:val="baseline"/>
                <w:lang w:val="en"/>
              </w:rPr>
            </w:pPr>
            <w:r>
              <w:rPr>
                <w:rFonts w:hint="default"/>
                <w:sz w:val="28"/>
                <w:szCs w:val="28"/>
                <w:vertAlign w:val="baseline"/>
                <w:lang w:val="en"/>
              </w:rPr>
              <w:t>C</w:t>
            </w:r>
          </w:p>
          <w:p>
            <w:pPr>
              <w:jc w:val="center"/>
              <w:rPr>
                <w:rFonts w:hint="default"/>
                <w:sz w:val="28"/>
                <w:szCs w:val="28"/>
                <w:vertAlign w:val="baseline"/>
                <w:lang w:val="en"/>
              </w:rPr>
            </w:pPr>
            <w:r>
              <w:rPr>
                <w:rFonts w:hint="default"/>
                <w:sz w:val="28"/>
                <w:szCs w:val="28"/>
                <w:vertAlign w:val="baseline"/>
                <w:lang w:val="en"/>
              </w:rPr>
              <w:t>G</w:t>
            </w:r>
          </w:p>
        </w:tc>
        <w:tc>
          <w:tcPr>
            <w:tcW w:w="4261" w:type="dxa"/>
            <w:gridSpan w:val="2"/>
          </w:tcPr>
          <w:p>
            <w:pPr>
              <w:jc w:val="center"/>
              <w:rPr>
                <w:rFonts w:hint="default"/>
                <w:sz w:val="28"/>
                <w:szCs w:val="28"/>
                <w:vertAlign w:val="baseline"/>
                <w:lang w:val="en"/>
              </w:rPr>
            </w:pPr>
            <w:r>
              <w:rPr>
                <w:rFonts w:hint="default"/>
                <w:sz w:val="28"/>
                <w:szCs w:val="28"/>
                <w:vertAlign w:val="baseline"/>
                <w:lang w:val="en"/>
              </w:rPr>
              <w:t>6384</w:t>
            </w:r>
          </w:p>
          <w:p>
            <w:pPr>
              <w:jc w:val="center"/>
              <w:rPr>
                <w:rFonts w:hint="default"/>
                <w:sz w:val="28"/>
                <w:szCs w:val="28"/>
                <w:vertAlign w:val="baseline"/>
                <w:lang w:val="en"/>
              </w:rPr>
            </w:pPr>
            <w:r>
              <w:rPr>
                <w:rFonts w:hint="default"/>
                <w:sz w:val="28"/>
                <w:szCs w:val="28"/>
                <w:vertAlign w:val="baseline"/>
                <w:lang w:val="en"/>
              </w:rPr>
              <w:t>5651</w:t>
            </w:r>
          </w:p>
          <w:p>
            <w:pPr>
              <w:jc w:val="center"/>
              <w:rPr>
                <w:rFonts w:hint="default"/>
                <w:sz w:val="28"/>
                <w:szCs w:val="28"/>
                <w:vertAlign w:val="baseline"/>
                <w:lang w:val="en"/>
              </w:rPr>
            </w:pPr>
            <w:r>
              <w:rPr>
                <w:rFonts w:hint="default"/>
                <w:sz w:val="28"/>
                <w:szCs w:val="28"/>
                <w:vertAlign w:val="baseline"/>
                <w:lang w:val="en"/>
              </w:rPr>
              <w:t>2416</w:t>
            </w:r>
          </w:p>
          <w:p>
            <w:pPr>
              <w:jc w:val="center"/>
              <w:rPr>
                <w:rFonts w:hint="default"/>
                <w:sz w:val="28"/>
                <w:szCs w:val="28"/>
                <w:vertAlign w:val="baseline"/>
                <w:lang w:val="en"/>
              </w:rPr>
            </w:pPr>
            <w:r>
              <w:rPr>
                <w:rFonts w:hint="default"/>
                <w:sz w:val="28"/>
                <w:szCs w:val="28"/>
                <w:vertAlign w:val="baseline"/>
                <w:lang w:val="en"/>
              </w:rPr>
              <w:t>1445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jc w:val="center"/>
              <w:rPr>
                <w:rFonts w:hint="default"/>
                <w:sz w:val="28"/>
                <w:szCs w:val="28"/>
                <w:vertAlign w:val="baseline"/>
                <w:lang w:val="en"/>
              </w:rPr>
            </w:pPr>
            <w:r>
              <w:rPr>
                <w:rFonts w:hint="default"/>
                <w:sz w:val="28"/>
                <w:szCs w:val="28"/>
                <w:vertAlign w:val="baseline"/>
                <w:lang w:val="en"/>
              </w:rPr>
              <w:t>A</w:t>
            </w:r>
          </w:p>
          <w:p>
            <w:pPr>
              <w:jc w:val="center"/>
              <w:rPr>
                <w:rFonts w:hint="default"/>
                <w:sz w:val="28"/>
                <w:szCs w:val="28"/>
                <w:vertAlign w:val="baseline"/>
                <w:lang w:val="en"/>
              </w:rPr>
            </w:pPr>
            <w:r>
              <w:rPr>
                <w:rFonts w:hint="default"/>
                <w:sz w:val="28"/>
                <w:szCs w:val="28"/>
                <w:vertAlign w:val="baseline"/>
                <w:lang w:val="en"/>
              </w:rPr>
              <w:t>T</w:t>
            </w:r>
          </w:p>
          <w:p>
            <w:pPr>
              <w:jc w:val="center"/>
              <w:rPr>
                <w:rFonts w:hint="default"/>
                <w:sz w:val="28"/>
                <w:szCs w:val="28"/>
                <w:vertAlign w:val="baseline"/>
                <w:lang w:val="en"/>
              </w:rPr>
            </w:pPr>
            <w:r>
              <w:rPr>
                <w:rFonts w:hint="default"/>
                <w:sz w:val="28"/>
                <w:szCs w:val="28"/>
                <w:vertAlign w:val="baseline"/>
                <w:lang w:val="en"/>
              </w:rPr>
              <w:t>C</w:t>
            </w:r>
          </w:p>
          <w:p>
            <w:pPr>
              <w:jc w:val="center"/>
              <w:rPr>
                <w:rFonts w:hint="default"/>
                <w:sz w:val="28"/>
                <w:szCs w:val="28"/>
                <w:vertAlign w:val="baseline"/>
                <w:lang w:val="en"/>
              </w:rPr>
            </w:pPr>
            <w:r>
              <w:rPr>
                <w:rFonts w:hint="default"/>
                <w:sz w:val="28"/>
                <w:szCs w:val="28"/>
                <w:vertAlign w:val="baseline"/>
                <w:lang w:val="en"/>
              </w:rPr>
              <w:t>G</w:t>
            </w:r>
          </w:p>
        </w:tc>
        <w:tc>
          <w:tcPr>
            <w:tcW w:w="4261" w:type="dxa"/>
            <w:gridSpan w:val="2"/>
          </w:tcPr>
          <w:p>
            <w:pPr>
              <w:jc w:val="center"/>
              <w:rPr>
                <w:rFonts w:hint="default"/>
                <w:sz w:val="28"/>
                <w:szCs w:val="28"/>
                <w:vertAlign w:val="baseline"/>
                <w:lang w:val="en"/>
              </w:rPr>
            </w:pPr>
            <w:r>
              <w:rPr>
                <w:rFonts w:hint="default"/>
                <w:sz w:val="28"/>
                <w:szCs w:val="28"/>
                <w:vertAlign w:val="baseline"/>
                <w:lang w:val="en"/>
              </w:rPr>
              <w:t>40.2%</w:t>
            </w:r>
          </w:p>
          <w:p>
            <w:pPr>
              <w:jc w:val="center"/>
              <w:rPr>
                <w:rFonts w:hint="default"/>
                <w:sz w:val="28"/>
                <w:szCs w:val="28"/>
                <w:vertAlign w:val="baseline"/>
                <w:lang w:val="en"/>
              </w:rPr>
            </w:pPr>
            <w:r>
              <w:rPr>
                <w:rFonts w:hint="default"/>
                <w:sz w:val="28"/>
                <w:szCs w:val="28"/>
                <w:vertAlign w:val="baseline"/>
                <w:lang w:val="en"/>
              </w:rPr>
              <w:t>35.5%</w:t>
            </w:r>
          </w:p>
          <w:p>
            <w:pPr>
              <w:jc w:val="center"/>
              <w:rPr>
                <w:rFonts w:hint="default"/>
                <w:sz w:val="28"/>
                <w:szCs w:val="28"/>
                <w:vertAlign w:val="baseline"/>
                <w:lang w:val="en"/>
              </w:rPr>
            </w:pPr>
            <w:r>
              <w:rPr>
                <w:rFonts w:hint="default"/>
                <w:sz w:val="28"/>
                <w:szCs w:val="28"/>
                <w:vertAlign w:val="baseline"/>
                <w:lang w:val="en"/>
              </w:rPr>
              <w:t>15.2%</w:t>
            </w:r>
          </w:p>
          <w:p>
            <w:pPr>
              <w:jc w:val="center"/>
              <w:rPr>
                <w:rFonts w:hint="default"/>
                <w:sz w:val="28"/>
                <w:szCs w:val="28"/>
                <w:vertAlign w:val="baseline"/>
                <w:lang w:val="en"/>
              </w:rPr>
            </w:pPr>
            <w:r>
              <w:rPr>
                <w:rFonts w:hint="default"/>
                <w:sz w:val="28"/>
                <w:szCs w:val="28"/>
                <w:vertAlign w:val="baseline"/>
                <w:lang w:val="en"/>
              </w:rPr>
              <w:t>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default"/>
                <w:sz w:val="28"/>
                <w:szCs w:val="28"/>
                <w:vertAlign w:val="baseline"/>
                <w:lang w:val="en"/>
              </w:rPr>
            </w:pPr>
            <w:r>
              <w:rPr>
                <w:rFonts w:hint="default"/>
                <w:sz w:val="28"/>
                <w:szCs w:val="28"/>
                <w:vertAlign w:val="baseline"/>
                <w:lang w:val="en"/>
              </w:rPr>
              <w:t>tRNA</w:t>
            </w:r>
          </w:p>
        </w:tc>
        <w:tc>
          <w:tcPr>
            <w:tcW w:w="4261" w:type="dxa"/>
            <w:gridSpan w:val="2"/>
          </w:tcPr>
          <w:p>
            <w:pPr>
              <w:jc w:val="center"/>
              <w:rPr>
                <w:rFonts w:hint="default"/>
                <w:sz w:val="28"/>
                <w:szCs w:val="28"/>
                <w:vertAlign w:val="baseline"/>
                <w:lang w:val="en"/>
              </w:rPr>
            </w:pPr>
            <w:r>
              <w:rPr>
                <w:rFonts w:hint="default"/>
                <w:sz w:val="28"/>
                <w:szCs w:val="28"/>
                <w:vertAlign w:val="baseline"/>
                <w:lang w:val="e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default"/>
                <w:sz w:val="28"/>
                <w:szCs w:val="28"/>
                <w:vertAlign w:val="baseline"/>
                <w:lang w:val="en"/>
              </w:rPr>
            </w:pPr>
            <w:r>
              <w:rPr>
                <w:rFonts w:hint="default"/>
                <w:sz w:val="28"/>
                <w:szCs w:val="28"/>
                <w:vertAlign w:val="baseline"/>
                <w:lang w:val="en"/>
              </w:rPr>
              <w:t>CDS/PCG</w:t>
            </w:r>
          </w:p>
        </w:tc>
        <w:tc>
          <w:tcPr>
            <w:tcW w:w="4261" w:type="dxa"/>
            <w:gridSpan w:val="2"/>
          </w:tcPr>
          <w:p>
            <w:pPr>
              <w:jc w:val="center"/>
              <w:rPr>
                <w:rFonts w:hint="default"/>
                <w:sz w:val="28"/>
                <w:szCs w:val="28"/>
                <w:vertAlign w:val="baseline"/>
                <w:lang w:val="en"/>
              </w:rPr>
            </w:pPr>
            <w:r>
              <w:rPr>
                <w:rFonts w:hint="default"/>
                <w:sz w:val="28"/>
                <w:szCs w:val="28"/>
                <w:vertAlign w:val="baseline"/>
                <w:lang w:val="e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rPr>
                <w:rFonts w:hint="default"/>
                <w:sz w:val="28"/>
                <w:szCs w:val="28"/>
                <w:vertAlign w:val="baseline"/>
                <w:lang w:val="en"/>
              </w:rPr>
            </w:pPr>
            <w:r>
              <w:rPr>
                <w:rFonts w:hint="default"/>
                <w:sz w:val="28"/>
                <w:szCs w:val="28"/>
                <w:vertAlign w:val="baseline"/>
                <w:lang w:val="en"/>
              </w:rPr>
              <w:t>rRNA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trPr>
        <w:tc>
          <w:tcPr>
            <w:tcW w:w="4261" w:type="dxa"/>
          </w:tcPr>
          <w:p>
            <w:pPr>
              <w:jc w:val="both"/>
              <w:rPr>
                <w:rFonts w:hint="default"/>
                <w:sz w:val="28"/>
                <w:szCs w:val="28"/>
                <w:vertAlign w:val="baseline"/>
                <w:lang w:val="en"/>
              </w:rPr>
            </w:pPr>
          </w:p>
        </w:tc>
        <w:tc>
          <w:tcPr>
            <w:tcW w:w="2242" w:type="dxa"/>
          </w:tcPr>
          <w:p>
            <w:pPr>
              <w:jc w:val="center"/>
              <w:rPr>
                <w:rFonts w:hint="default"/>
                <w:sz w:val="28"/>
                <w:szCs w:val="28"/>
                <w:vertAlign w:val="baseline"/>
                <w:lang w:val="en"/>
              </w:rPr>
            </w:pPr>
            <w:r>
              <w:rPr>
                <w:rFonts w:hint="default"/>
                <w:sz w:val="28"/>
                <w:szCs w:val="28"/>
                <w:vertAlign w:val="baseline"/>
                <w:lang w:val="en"/>
              </w:rPr>
              <w:t>total</w:t>
            </w:r>
          </w:p>
        </w:tc>
        <w:tc>
          <w:tcPr>
            <w:tcW w:w="2019" w:type="dxa"/>
          </w:tcPr>
          <w:p>
            <w:pPr>
              <w:jc w:val="center"/>
              <w:rPr>
                <w:rFonts w:hint="default"/>
                <w:sz w:val="28"/>
                <w:szCs w:val="28"/>
                <w:vertAlign w:val="baseline"/>
                <w:lang w:val="en"/>
              </w:rPr>
            </w:pPr>
            <w:r>
              <w:rPr>
                <w:rFonts w:hint="default"/>
                <w:sz w:val="28"/>
                <w:szCs w:val="28"/>
                <w:vertAlign w:val="baseline"/>
                <w:lang w:val="en"/>
              </w:rPr>
              <w:t>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23" w:hRule="atLeast"/>
        </w:trPr>
        <w:tc>
          <w:tcPr>
            <w:tcW w:w="4261" w:type="dxa"/>
          </w:tcPr>
          <w:p>
            <w:pPr>
              <w:jc w:val="center"/>
              <w:rPr>
                <w:rFonts w:hint="default"/>
                <w:sz w:val="28"/>
                <w:szCs w:val="28"/>
                <w:vertAlign w:val="baseline"/>
                <w:lang w:val="en"/>
              </w:rPr>
            </w:pPr>
            <w:r>
              <w:rPr>
                <w:rFonts w:hint="default"/>
                <w:sz w:val="28"/>
                <w:szCs w:val="28"/>
                <w:vertAlign w:val="baseline"/>
                <w:lang w:val="en"/>
              </w:rPr>
              <w:t>16S ribosomal RNA</w:t>
            </w:r>
          </w:p>
          <w:p>
            <w:pPr>
              <w:jc w:val="center"/>
              <w:rPr>
                <w:rFonts w:hint="default"/>
                <w:sz w:val="28"/>
                <w:szCs w:val="28"/>
                <w:vertAlign w:val="baseline"/>
                <w:lang w:val="en"/>
              </w:rPr>
            </w:pPr>
            <w:r>
              <w:rPr>
                <w:rFonts w:hint="default"/>
                <w:sz w:val="28"/>
                <w:szCs w:val="28"/>
                <w:vertAlign w:val="baseline"/>
                <w:lang w:val="en"/>
              </w:rPr>
              <w:t>12S ribosomal RNA</w:t>
            </w:r>
          </w:p>
        </w:tc>
        <w:tc>
          <w:tcPr>
            <w:tcW w:w="2242" w:type="dxa"/>
          </w:tcPr>
          <w:p>
            <w:pPr>
              <w:jc w:val="center"/>
              <w:rPr>
                <w:rFonts w:hint="default"/>
                <w:sz w:val="28"/>
                <w:szCs w:val="28"/>
                <w:vertAlign w:val="baseline"/>
                <w:lang w:val="en"/>
              </w:rPr>
            </w:pPr>
            <w:r>
              <w:rPr>
                <w:rFonts w:hint="default"/>
                <w:sz w:val="28"/>
                <w:szCs w:val="28"/>
                <w:vertAlign w:val="baseline"/>
                <w:lang w:val="en"/>
              </w:rPr>
              <w:t>1314</w:t>
            </w:r>
          </w:p>
          <w:p>
            <w:pPr>
              <w:jc w:val="center"/>
              <w:rPr>
                <w:rFonts w:hint="default"/>
                <w:sz w:val="28"/>
                <w:szCs w:val="28"/>
                <w:vertAlign w:val="baseline"/>
                <w:lang w:val="en"/>
              </w:rPr>
            </w:pPr>
            <w:r>
              <w:rPr>
                <w:rFonts w:hint="default"/>
                <w:sz w:val="28"/>
                <w:szCs w:val="28"/>
                <w:vertAlign w:val="baseline"/>
                <w:lang w:val="en"/>
              </w:rPr>
              <w:t>753</w:t>
            </w:r>
          </w:p>
        </w:tc>
        <w:tc>
          <w:tcPr>
            <w:tcW w:w="2019" w:type="dxa"/>
          </w:tcPr>
          <w:p>
            <w:pPr>
              <w:jc w:val="center"/>
              <w:rPr>
                <w:rFonts w:hint="default"/>
                <w:sz w:val="28"/>
                <w:szCs w:val="28"/>
                <w:lang w:val="en"/>
              </w:rPr>
            </w:pPr>
            <w:r>
              <w:rPr>
                <w:rFonts w:hint="default"/>
                <w:sz w:val="28"/>
                <w:szCs w:val="28"/>
                <w:lang w:val="en"/>
              </w:rPr>
              <w:t xml:space="preserve">78.9% </w:t>
            </w:r>
          </w:p>
          <w:p>
            <w:pPr>
              <w:jc w:val="center"/>
              <w:rPr>
                <w:rFonts w:hint="default"/>
                <w:sz w:val="28"/>
                <w:szCs w:val="28"/>
                <w:lang w:val="en"/>
              </w:rPr>
            </w:pPr>
            <w:r>
              <w:rPr>
                <w:rFonts w:hint="default"/>
                <w:sz w:val="28"/>
                <w:szCs w:val="28"/>
                <w:lang w:val="en"/>
              </w:rPr>
              <w:t>76.4%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7" w:hRule="atLeast"/>
        </w:trPr>
        <w:tc>
          <w:tcPr>
            <w:tcW w:w="8522" w:type="dxa"/>
            <w:gridSpan w:val="3"/>
          </w:tcPr>
          <w:p>
            <w:pPr>
              <w:jc w:val="center"/>
              <w:rPr>
                <w:rFonts w:hint="default"/>
                <w:sz w:val="28"/>
                <w:szCs w:val="28"/>
                <w:lang w:val="en"/>
              </w:rPr>
            </w:pPr>
            <w:r>
              <w:rPr>
                <w:rFonts w:hint="default"/>
                <w:sz w:val="28"/>
                <w:szCs w:val="28"/>
                <w:vertAlign w:val="baseline"/>
                <w:lang w:val="en"/>
              </w:rPr>
              <w:t>D-loop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3" w:hRule="atLeast"/>
        </w:trPr>
        <w:tc>
          <w:tcPr>
            <w:tcW w:w="4261" w:type="dxa"/>
          </w:tcPr>
          <w:p>
            <w:pPr>
              <w:jc w:val="center"/>
              <w:rPr>
                <w:rFonts w:hint="default"/>
                <w:sz w:val="28"/>
                <w:szCs w:val="28"/>
                <w:vertAlign w:val="baseline"/>
                <w:lang w:val="en"/>
              </w:rPr>
            </w:pPr>
          </w:p>
        </w:tc>
        <w:tc>
          <w:tcPr>
            <w:tcW w:w="2242" w:type="dxa"/>
          </w:tcPr>
          <w:p>
            <w:pPr>
              <w:jc w:val="center"/>
              <w:rPr>
                <w:rFonts w:hint="default"/>
                <w:sz w:val="28"/>
                <w:szCs w:val="28"/>
                <w:vertAlign w:val="baseline"/>
                <w:lang w:val="en"/>
              </w:rPr>
            </w:pPr>
            <w:r>
              <w:rPr>
                <w:rFonts w:hint="default"/>
                <w:sz w:val="28"/>
                <w:szCs w:val="28"/>
                <w:lang w:val="en"/>
              </w:rPr>
              <w:t>948</w:t>
            </w:r>
          </w:p>
        </w:tc>
        <w:tc>
          <w:tcPr>
            <w:tcW w:w="2019" w:type="dxa"/>
          </w:tcPr>
          <w:p>
            <w:pPr>
              <w:jc w:val="center"/>
              <w:rPr>
                <w:rFonts w:hint="default"/>
                <w:sz w:val="28"/>
                <w:szCs w:val="28"/>
                <w:lang w:val="en"/>
              </w:rPr>
            </w:pPr>
            <w:r>
              <w:rPr>
                <w:rFonts w:hint="default"/>
                <w:sz w:val="28"/>
                <w:szCs w:val="28"/>
                <w:lang w:val="en"/>
              </w:rPr>
              <w:t>77.4%.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rPr>
                <w:rFonts w:hint="default"/>
                <w:sz w:val="28"/>
                <w:szCs w:val="28"/>
                <w:vertAlign w:val="baseline"/>
                <w:lang w:val="en"/>
              </w:rPr>
            </w:pPr>
            <w:r>
              <w:rPr>
                <w:rFonts w:hint="default"/>
                <w:sz w:val="28"/>
                <w:szCs w:val="28"/>
                <w:vertAlign w:val="baseline"/>
                <w:lang w:val="en"/>
              </w:rPr>
              <w:t>start codon 起始密码子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default"/>
                <w:sz w:val="28"/>
                <w:szCs w:val="28"/>
                <w:vertAlign w:val="baseline"/>
                <w:lang w:val="en"/>
              </w:rPr>
            </w:pPr>
            <w:r>
              <w:rPr>
                <w:rFonts w:hint="default"/>
                <w:sz w:val="28"/>
                <w:szCs w:val="28"/>
                <w:vertAlign w:val="baseline"/>
                <w:lang w:val="en"/>
              </w:rPr>
              <w:t>ND2</w:t>
            </w:r>
          </w:p>
          <w:p>
            <w:pPr>
              <w:jc w:val="center"/>
              <w:rPr>
                <w:rFonts w:hint="default"/>
                <w:sz w:val="28"/>
                <w:szCs w:val="28"/>
                <w:vertAlign w:val="baseline"/>
                <w:lang w:val="en"/>
              </w:rPr>
            </w:pPr>
            <w:r>
              <w:rPr>
                <w:rFonts w:hint="default"/>
                <w:sz w:val="28"/>
                <w:szCs w:val="28"/>
                <w:vertAlign w:val="baseline"/>
                <w:lang w:val="en"/>
              </w:rPr>
              <w:t>COX1</w:t>
            </w:r>
          </w:p>
          <w:p>
            <w:pPr>
              <w:jc w:val="center"/>
              <w:rPr>
                <w:rFonts w:hint="default"/>
                <w:sz w:val="28"/>
                <w:szCs w:val="28"/>
                <w:vertAlign w:val="baseline"/>
                <w:lang w:val="en"/>
              </w:rPr>
            </w:pPr>
            <w:r>
              <w:rPr>
                <w:rFonts w:hint="default"/>
                <w:sz w:val="28"/>
                <w:szCs w:val="28"/>
                <w:vertAlign w:val="baseline"/>
                <w:lang w:val="en"/>
              </w:rPr>
              <w:t>COX2</w:t>
            </w:r>
          </w:p>
          <w:p>
            <w:pPr>
              <w:jc w:val="center"/>
              <w:rPr>
                <w:rFonts w:hint="default"/>
                <w:sz w:val="28"/>
                <w:szCs w:val="28"/>
                <w:vertAlign w:val="baseline"/>
                <w:lang w:val="en"/>
              </w:rPr>
            </w:pPr>
            <w:r>
              <w:rPr>
                <w:rFonts w:hint="default"/>
                <w:sz w:val="28"/>
                <w:szCs w:val="28"/>
                <w:vertAlign w:val="baseline"/>
                <w:lang w:val="en"/>
              </w:rPr>
              <w:t>ATP8</w:t>
            </w:r>
          </w:p>
          <w:p>
            <w:pPr>
              <w:jc w:val="center"/>
              <w:rPr>
                <w:rFonts w:hint="default"/>
                <w:sz w:val="28"/>
                <w:szCs w:val="28"/>
                <w:vertAlign w:val="baseline"/>
                <w:lang w:val="en"/>
              </w:rPr>
            </w:pPr>
            <w:r>
              <w:rPr>
                <w:rFonts w:hint="default"/>
                <w:sz w:val="28"/>
                <w:szCs w:val="28"/>
                <w:vertAlign w:val="baseline"/>
                <w:lang w:val="en"/>
              </w:rPr>
              <w:t>ATP6</w:t>
            </w:r>
          </w:p>
          <w:p>
            <w:pPr>
              <w:jc w:val="center"/>
              <w:rPr>
                <w:rFonts w:hint="default"/>
                <w:sz w:val="28"/>
                <w:szCs w:val="28"/>
                <w:vertAlign w:val="baseline"/>
                <w:lang w:val="en"/>
              </w:rPr>
            </w:pPr>
            <w:r>
              <w:rPr>
                <w:rFonts w:hint="default"/>
                <w:sz w:val="28"/>
                <w:szCs w:val="28"/>
                <w:vertAlign w:val="baseline"/>
                <w:lang w:val="en"/>
              </w:rPr>
              <w:t>COX3</w:t>
            </w:r>
          </w:p>
          <w:p>
            <w:pPr>
              <w:jc w:val="center"/>
              <w:rPr>
                <w:rFonts w:hint="default"/>
                <w:sz w:val="28"/>
                <w:szCs w:val="28"/>
                <w:vertAlign w:val="baseline"/>
                <w:lang w:val="en"/>
              </w:rPr>
            </w:pPr>
            <w:r>
              <w:rPr>
                <w:rFonts w:hint="default"/>
                <w:sz w:val="28"/>
                <w:szCs w:val="28"/>
                <w:vertAlign w:val="baseline"/>
                <w:lang w:val="en"/>
              </w:rPr>
              <w:t>ND3</w:t>
            </w:r>
          </w:p>
          <w:p>
            <w:pPr>
              <w:jc w:val="center"/>
              <w:rPr>
                <w:rFonts w:hint="default"/>
                <w:sz w:val="28"/>
                <w:szCs w:val="28"/>
                <w:vertAlign w:val="baseline"/>
                <w:lang w:val="en"/>
              </w:rPr>
            </w:pPr>
            <w:r>
              <w:rPr>
                <w:rFonts w:hint="default"/>
                <w:sz w:val="28"/>
                <w:szCs w:val="28"/>
                <w:vertAlign w:val="baseline"/>
                <w:lang w:val="en"/>
              </w:rPr>
              <w:t>ND5</w:t>
            </w:r>
          </w:p>
          <w:p>
            <w:pPr>
              <w:jc w:val="center"/>
              <w:rPr>
                <w:rFonts w:hint="default"/>
                <w:sz w:val="28"/>
                <w:szCs w:val="28"/>
                <w:vertAlign w:val="baseline"/>
                <w:lang w:val="en"/>
              </w:rPr>
            </w:pPr>
            <w:r>
              <w:rPr>
                <w:rFonts w:hint="default"/>
                <w:sz w:val="28"/>
                <w:szCs w:val="28"/>
                <w:vertAlign w:val="baseline"/>
                <w:lang w:val="en"/>
              </w:rPr>
              <w:t>ND4</w:t>
            </w:r>
          </w:p>
          <w:p>
            <w:pPr>
              <w:jc w:val="center"/>
              <w:rPr>
                <w:rFonts w:hint="default"/>
                <w:sz w:val="28"/>
                <w:szCs w:val="28"/>
                <w:vertAlign w:val="baseline"/>
                <w:lang w:val="en"/>
              </w:rPr>
            </w:pPr>
            <w:r>
              <w:rPr>
                <w:rFonts w:hint="default"/>
                <w:sz w:val="28"/>
                <w:szCs w:val="28"/>
                <w:vertAlign w:val="baseline"/>
                <w:lang w:val="en"/>
              </w:rPr>
              <w:t>ND4L</w:t>
            </w:r>
          </w:p>
          <w:p>
            <w:pPr>
              <w:jc w:val="center"/>
              <w:rPr>
                <w:rFonts w:hint="default"/>
                <w:sz w:val="28"/>
                <w:szCs w:val="28"/>
                <w:vertAlign w:val="baseline"/>
                <w:lang w:val="en"/>
              </w:rPr>
            </w:pPr>
            <w:r>
              <w:rPr>
                <w:rFonts w:hint="default"/>
                <w:sz w:val="28"/>
                <w:szCs w:val="28"/>
                <w:vertAlign w:val="baseline"/>
                <w:lang w:val="en"/>
              </w:rPr>
              <w:t>ND6</w:t>
            </w:r>
          </w:p>
          <w:p>
            <w:pPr>
              <w:jc w:val="center"/>
              <w:rPr>
                <w:rFonts w:hint="default"/>
                <w:sz w:val="28"/>
                <w:szCs w:val="28"/>
                <w:vertAlign w:val="baseline"/>
                <w:lang w:val="en"/>
              </w:rPr>
            </w:pPr>
            <w:r>
              <w:rPr>
                <w:rFonts w:hint="default"/>
                <w:sz w:val="28"/>
                <w:szCs w:val="28"/>
                <w:vertAlign w:val="baseline"/>
                <w:lang w:val="en"/>
              </w:rPr>
              <w:t>CYTB</w:t>
            </w:r>
          </w:p>
          <w:p>
            <w:pPr>
              <w:jc w:val="center"/>
              <w:rPr>
                <w:rFonts w:hint="default"/>
                <w:sz w:val="28"/>
                <w:szCs w:val="28"/>
                <w:vertAlign w:val="baseline"/>
                <w:lang w:val="en"/>
              </w:rPr>
            </w:pPr>
            <w:r>
              <w:rPr>
                <w:rFonts w:hint="default"/>
                <w:sz w:val="28"/>
                <w:szCs w:val="28"/>
                <w:vertAlign w:val="baseline"/>
                <w:lang w:val="en"/>
              </w:rPr>
              <w:t>ND1</w:t>
            </w:r>
          </w:p>
        </w:tc>
        <w:tc>
          <w:tcPr>
            <w:tcW w:w="4261" w:type="dxa"/>
            <w:gridSpan w:val="2"/>
          </w:tcPr>
          <w:p>
            <w:pPr>
              <w:jc w:val="center"/>
              <w:rPr>
                <w:rFonts w:hint="default"/>
                <w:color w:val="FF0000"/>
                <w:sz w:val="28"/>
                <w:szCs w:val="28"/>
                <w:vertAlign w:val="baseline"/>
                <w:lang w:val="en"/>
              </w:rPr>
            </w:pPr>
            <w:r>
              <w:rPr>
                <w:rFonts w:hint="default"/>
                <w:color w:val="FF0000"/>
                <w:sz w:val="28"/>
                <w:szCs w:val="28"/>
                <w:vertAlign w:val="baseline"/>
                <w:lang w:val="en"/>
              </w:rPr>
              <w:t>ATG</w:t>
            </w:r>
          </w:p>
          <w:p>
            <w:pPr>
              <w:jc w:val="center"/>
              <w:rPr>
                <w:rFonts w:hint="default"/>
                <w:color w:val="FF0000"/>
                <w:sz w:val="28"/>
                <w:szCs w:val="28"/>
                <w:vertAlign w:val="baseline"/>
                <w:lang w:val="en"/>
              </w:rPr>
            </w:pPr>
            <w:r>
              <w:rPr>
                <w:rFonts w:hint="default"/>
                <w:color w:val="FF0000"/>
                <w:sz w:val="28"/>
                <w:szCs w:val="28"/>
                <w:vertAlign w:val="baseline"/>
                <w:lang w:val="en"/>
              </w:rPr>
              <w:t>ATT</w:t>
            </w:r>
          </w:p>
          <w:p>
            <w:pPr>
              <w:jc w:val="center"/>
              <w:rPr>
                <w:rFonts w:hint="default"/>
                <w:color w:val="FF0000"/>
                <w:sz w:val="28"/>
                <w:szCs w:val="28"/>
                <w:vertAlign w:val="baseline"/>
                <w:lang w:val="en"/>
              </w:rPr>
            </w:pPr>
            <w:r>
              <w:rPr>
                <w:rFonts w:hint="default"/>
                <w:color w:val="FF0000"/>
                <w:sz w:val="28"/>
                <w:szCs w:val="28"/>
                <w:vertAlign w:val="baseline"/>
                <w:lang w:val="en"/>
              </w:rPr>
              <w:t>ATG</w:t>
            </w:r>
          </w:p>
          <w:p>
            <w:pPr>
              <w:jc w:val="center"/>
              <w:rPr>
                <w:rFonts w:hint="default"/>
                <w:color w:val="FF0000"/>
                <w:sz w:val="28"/>
                <w:szCs w:val="28"/>
                <w:vertAlign w:val="baseline"/>
                <w:lang w:val="en"/>
              </w:rPr>
            </w:pPr>
            <w:r>
              <w:rPr>
                <w:rFonts w:hint="default"/>
                <w:color w:val="FF0000"/>
                <w:sz w:val="28"/>
                <w:szCs w:val="28"/>
                <w:vertAlign w:val="baseline"/>
                <w:lang w:val="en"/>
              </w:rPr>
              <w:t>ATT</w:t>
            </w:r>
          </w:p>
          <w:p>
            <w:pPr>
              <w:jc w:val="center"/>
              <w:rPr>
                <w:rFonts w:hint="default"/>
                <w:color w:val="FF0000"/>
                <w:sz w:val="28"/>
                <w:szCs w:val="28"/>
                <w:vertAlign w:val="baseline"/>
                <w:lang w:val="en"/>
              </w:rPr>
            </w:pPr>
            <w:r>
              <w:rPr>
                <w:rFonts w:hint="default"/>
                <w:color w:val="FF0000"/>
                <w:sz w:val="28"/>
                <w:szCs w:val="28"/>
                <w:vertAlign w:val="baseline"/>
                <w:lang w:val="en"/>
              </w:rPr>
              <w:t>ATG</w:t>
            </w:r>
          </w:p>
          <w:p>
            <w:pPr>
              <w:jc w:val="center"/>
              <w:rPr>
                <w:rFonts w:hint="default"/>
                <w:color w:val="FF0000"/>
                <w:sz w:val="28"/>
                <w:szCs w:val="28"/>
                <w:vertAlign w:val="baseline"/>
                <w:lang w:val="en"/>
              </w:rPr>
            </w:pPr>
            <w:r>
              <w:rPr>
                <w:rFonts w:hint="default"/>
                <w:color w:val="FF0000"/>
                <w:sz w:val="28"/>
                <w:szCs w:val="28"/>
                <w:vertAlign w:val="baseline"/>
                <w:lang w:val="en"/>
              </w:rPr>
              <w:t>ATG</w:t>
            </w:r>
          </w:p>
          <w:p>
            <w:pPr>
              <w:jc w:val="center"/>
              <w:rPr>
                <w:rFonts w:hint="default"/>
                <w:sz w:val="28"/>
                <w:szCs w:val="28"/>
                <w:vertAlign w:val="baseline"/>
                <w:lang w:val="en"/>
              </w:rPr>
            </w:pPr>
            <w:r>
              <w:rPr>
                <w:rFonts w:hint="default"/>
                <w:color w:val="FF0000"/>
                <w:sz w:val="28"/>
                <w:szCs w:val="28"/>
                <w:vertAlign w:val="baseline"/>
                <w:lang w:val="en"/>
              </w:rPr>
              <w:t>ATT</w:t>
            </w:r>
          </w:p>
          <w:p>
            <w:pPr>
              <w:jc w:val="center"/>
              <w:rPr>
                <w:rFonts w:hint="default"/>
                <w:sz w:val="28"/>
                <w:szCs w:val="28"/>
                <w:vertAlign w:val="baseline"/>
                <w:lang w:val="en"/>
              </w:rPr>
            </w:pPr>
            <w:r>
              <w:rPr>
                <w:rFonts w:hint="default"/>
                <w:sz w:val="28"/>
                <w:szCs w:val="28"/>
                <w:vertAlign w:val="baseline"/>
                <w:lang w:val="en"/>
              </w:rPr>
              <w:t>AAA</w:t>
            </w:r>
          </w:p>
          <w:p>
            <w:pPr>
              <w:jc w:val="center"/>
              <w:rPr>
                <w:rFonts w:hint="default"/>
                <w:sz w:val="28"/>
                <w:szCs w:val="28"/>
                <w:vertAlign w:val="baseline"/>
                <w:lang w:val="en"/>
              </w:rPr>
            </w:pPr>
            <w:r>
              <w:rPr>
                <w:rFonts w:hint="default"/>
                <w:sz w:val="28"/>
                <w:szCs w:val="28"/>
                <w:vertAlign w:val="baseline"/>
                <w:lang w:val="en"/>
              </w:rPr>
              <w:t>AAA</w:t>
            </w:r>
          </w:p>
          <w:p>
            <w:pPr>
              <w:jc w:val="center"/>
              <w:rPr>
                <w:rFonts w:hint="default"/>
                <w:sz w:val="28"/>
                <w:szCs w:val="28"/>
                <w:vertAlign w:val="baseline"/>
                <w:lang w:val="en"/>
              </w:rPr>
            </w:pPr>
            <w:r>
              <w:rPr>
                <w:rFonts w:hint="default"/>
                <w:sz w:val="28"/>
                <w:szCs w:val="28"/>
                <w:vertAlign w:val="baseline"/>
                <w:lang w:val="en"/>
              </w:rPr>
              <w:t>TTA</w:t>
            </w:r>
          </w:p>
          <w:p>
            <w:pPr>
              <w:jc w:val="center"/>
              <w:rPr>
                <w:rFonts w:hint="default"/>
                <w:color w:val="FF0000"/>
                <w:sz w:val="28"/>
                <w:szCs w:val="28"/>
                <w:vertAlign w:val="baseline"/>
                <w:lang w:val="en"/>
              </w:rPr>
            </w:pPr>
            <w:r>
              <w:rPr>
                <w:rFonts w:hint="default"/>
                <w:color w:val="FF0000"/>
                <w:sz w:val="28"/>
                <w:szCs w:val="28"/>
                <w:vertAlign w:val="baseline"/>
                <w:lang w:val="en"/>
              </w:rPr>
              <w:t>ATC</w:t>
            </w:r>
          </w:p>
          <w:p>
            <w:pPr>
              <w:jc w:val="center"/>
              <w:rPr>
                <w:rFonts w:hint="default"/>
                <w:color w:val="FF0000"/>
                <w:sz w:val="28"/>
                <w:szCs w:val="28"/>
                <w:vertAlign w:val="baseline"/>
                <w:lang w:val="en"/>
              </w:rPr>
            </w:pPr>
            <w:r>
              <w:rPr>
                <w:rFonts w:hint="default"/>
                <w:color w:val="FF0000"/>
                <w:sz w:val="28"/>
                <w:szCs w:val="28"/>
                <w:vertAlign w:val="baseline"/>
                <w:lang w:val="en"/>
              </w:rPr>
              <w:t>ATG</w:t>
            </w:r>
          </w:p>
          <w:p>
            <w:pPr>
              <w:jc w:val="center"/>
              <w:rPr>
                <w:rFonts w:hint="default"/>
                <w:sz w:val="28"/>
                <w:szCs w:val="28"/>
                <w:vertAlign w:val="baseline"/>
                <w:lang w:val="en"/>
              </w:rPr>
            </w:pPr>
            <w:r>
              <w:rPr>
                <w:rFonts w:hint="default"/>
                <w:sz w:val="28"/>
                <w:szCs w:val="28"/>
                <w:vertAlign w:val="baseline"/>
                <w:lang w:val="en"/>
              </w:rPr>
              <w:t>TTA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rPr>
                <w:rFonts w:hint="default"/>
                <w:sz w:val="28"/>
                <w:szCs w:val="28"/>
                <w:vertAlign w:val="baseline"/>
                <w:lang w:val="en"/>
              </w:rPr>
            </w:pPr>
            <w:r>
              <w:rPr>
                <w:rFonts w:hint="default"/>
                <w:sz w:val="28"/>
                <w:szCs w:val="28"/>
                <w:lang w:val="en"/>
              </w:rPr>
              <w:t>stop codon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default"/>
                <w:sz w:val="28"/>
                <w:szCs w:val="28"/>
                <w:vertAlign w:val="baseline"/>
                <w:lang w:val="en"/>
              </w:rPr>
            </w:pPr>
            <w:r>
              <w:rPr>
                <w:rFonts w:hint="default"/>
                <w:sz w:val="28"/>
                <w:szCs w:val="28"/>
                <w:vertAlign w:val="baseline"/>
                <w:lang w:val="en"/>
              </w:rPr>
              <w:t xml:space="preserve">ND2 </w:t>
            </w:r>
          </w:p>
          <w:p>
            <w:pPr>
              <w:jc w:val="center"/>
              <w:rPr>
                <w:rFonts w:hint="default"/>
                <w:sz w:val="28"/>
                <w:szCs w:val="28"/>
                <w:vertAlign w:val="baseline"/>
                <w:lang w:val="en"/>
              </w:rPr>
            </w:pPr>
            <w:r>
              <w:rPr>
                <w:rFonts w:hint="default"/>
                <w:sz w:val="28"/>
                <w:szCs w:val="28"/>
                <w:vertAlign w:val="baseline"/>
                <w:lang w:val="en"/>
              </w:rPr>
              <w:t>COX1</w:t>
            </w:r>
          </w:p>
          <w:p>
            <w:pPr>
              <w:jc w:val="center"/>
              <w:rPr>
                <w:rFonts w:hint="default"/>
                <w:color w:val="5B9BD5" w:themeColor="accent1"/>
                <w:sz w:val="28"/>
                <w:szCs w:val="28"/>
                <w:vertAlign w:val="baseline"/>
                <w:lang w:val="en"/>
                <w14:textFill>
                  <w14:solidFill>
                    <w14:schemeClr w14:val="accent1"/>
                  </w14:solidFill>
                </w14:textFill>
              </w:rPr>
            </w:pPr>
            <w:r>
              <w:rPr>
                <w:rFonts w:hint="default"/>
                <w:color w:val="5B9BD5" w:themeColor="accent1"/>
                <w:sz w:val="28"/>
                <w:szCs w:val="28"/>
                <w:vertAlign w:val="baseline"/>
                <w:lang w:val="en"/>
                <w14:textFill>
                  <w14:solidFill>
                    <w14:schemeClr w14:val="accent1"/>
                  </w14:solidFill>
                </w14:textFill>
              </w:rPr>
              <w:t>COX2</w:t>
            </w:r>
          </w:p>
          <w:p>
            <w:pPr>
              <w:jc w:val="center"/>
              <w:rPr>
                <w:rFonts w:hint="default"/>
                <w:sz w:val="28"/>
                <w:szCs w:val="28"/>
                <w:vertAlign w:val="baseline"/>
                <w:lang w:val="en"/>
              </w:rPr>
            </w:pPr>
            <w:r>
              <w:rPr>
                <w:rFonts w:hint="default"/>
                <w:sz w:val="28"/>
                <w:szCs w:val="28"/>
                <w:vertAlign w:val="baseline"/>
                <w:lang w:val="en"/>
              </w:rPr>
              <w:t>ATP8</w:t>
            </w:r>
          </w:p>
          <w:p>
            <w:pPr>
              <w:jc w:val="center"/>
              <w:rPr>
                <w:rFonts w:hint="default"/>
                <w:sz w:val="28"/>
                <w:szCs w:val="28"/>
                <w:vertAlign w:val="baseline"/>
                <w:lang w:val="en"/>
              </w:rPr>
            </w:pPr>
            <w:r>
              <w:rPr>
                <w:rFonts w:hint="default"/>
                <w:sz w:val="28"/>
                <w:szCs w:val="28"/>
                <w:vertAlign w:val="baseline"/>
                <w:lang w:val="en"/>
              </w:rPr>
              <w:t>ATP6</w:t>
            </w:r>
          </w:p>
          <w:p>
            <w:pPr>
              <w:jc w:val="center"/>
              <w:rPr>
                <w:rFonts w:hint="default"/>
                <w:sz w:val="28"/>
                <w:szCs w:val="28"/>
                <w:vertAlign w:val="baseline"/>
                <w:lang w:val="en"/>
              </w:rPr>
            </w:pPr>
            <w:r>
              <w:rPr>
                <w:rFonts w:hint="default"/>
                <w:sz w:val="28"/>
                <w:szCs w:val="28"/>
                <w:vertAlign w:val="baseline"/>
                <w:lang w:val="en"/>
              </w:rPr>
              <w:t>COX3</w:t>
            </w:r>
          </w:p>
          <w:p>
            <w:pPr>
              <w:jc w:val="center"/>
              <w:rPr>
                <w:rFonts w:hint="default"/>
                <w:sz w:val="28"/>
                <w:szCs w:val="28"/>
                <w:vertAlign w:val="baseline"/>
                <w:lang w:val="en"/>
              </w:rPr>
            </w:pPr>
            <w:r>
              <w:rPr>
                <w:rFonts w:hint="default"/>
                <w:sz w:val="28"/>
                <w:szCs w:val="28"/>
                <w:vertAlign w:val="baseline"/>
                <w:lang w:val="en"/>
              </w:rPr>
              <w:t xml:space="preserve">ND3 </w:t>
            </w:r>
          </w:p>
          <w:p>
            <w:pPr>
              <w:jc w:val="center"/>
              <w:rPr>
                <w:rFonts w:hint="default"/>
                <w:color w:val="5B9BD5" w:themeColor="accent1"/>
                <w:sz w:val="28"/>
                <w:szCs w:val="28"/>
                <w:vertAlign w:val="baseline"/>
                <w:lang w:val="en"/>
                <w14:textFill>
                  <w14:solidFill>
                    <w14:schemeClr w14:val="accent1"/>
                  </w14:solidFill>
                </w14:textFill>
              </w:rPr>
            </w:pPr>
            <w:r>
              <w:rPr>
                <w:rFonts w:hint="default"/>
                <w:color w:val="5B9BD5" w:themeColor="accent1"/>
                <w:sz w:val="28"/>
                <w:szCs w:val="28"/>
                <w:vertAlign w:val="baseline"/>
                <w:lang w:val="en"/>
                <w14:textFill>
                  <w14:solidFill>
                    <w14:schemeClr w14:val="accent1"/>
                  </w14:solidFill>
                </w14:textFill>
              </w:rPr>
              <w:t xml:space="preserve">ND5 </w:t>
            </w:r>
          </w:p>
          <w:p>
            <w:pPr>
              <w:jc w:val="center"/>
              <w:rPr>
                <w:rFonts w:hint="default"/>
                <w:color w:val="5B9BD5" w:themeColor="accent1"/>
                <w:sz w:val="28"/>
                <w:szCs w:val="28"/>
                <w:vertAlign w:val="baseline"/>
                <w:lang w:val="en"/>
                <w14:textFill>
                  <w14:solidFill>
                    <w14:schemeClr w14:val="accent1"/>
                  </w14:solidFill>
                </w14:textFill>
              </w:rPr>
            </w:pPr>
            <w:r>
              <w:rPr>
                <w:rFonts w:hint="default"/>
                <w:color w:val="5B9BD5" w:themeColor="accent1"/>
                <w:sz w:val="28"/>
                <w:szCs w:val="28"/>
                <w:vertAlign w:val="baseline"/>
                <w:lang w:val="en"/>
                <w14:textFill>
                  <w14:solidFill>
                    <w14:schemeClr w14:val="accent1"/>
                  </w14:solidFill>
                </w14:textFill>
              </w:rPr>
              <w:t xml:space="preserve">ND4 </w:t>
            </w:r>
          </w:p>
          <w:p>
            <w:pPr>
              <w:jc w:val="center"/>
              <w:rPr>
                <w:rFonts w:hint="default"/>
                <w:color w:val="5B9BD5" w:themeColor="accent1"/>
                <w:sz w:val="28"/>
                <w:szCs w:val="28"/>
                <w:vertAlign w:val="baseline"/>
                <w:lang w:val="en"/>
                <w14:textFill>
                  <w14:solidFill>
                    <w14:schemeClr w14:val="accent1"/>
                  </w14:solidFill>
                </w14:textFill>
              </w:rPr>
            </w:pPr>
            <w:r>
              <w:rPr>
                <w:rFonts w:hint="default"/>
                <w:color w:val="5B9BD5" w:themeColor="accent1"/>
                <w:sz w:val="28"/>
                <w:szCs w:val="28"/>
                <w:vertAlign w:val="baseline"/>
                <w:lang w:val="en"/>
                <w14:textFill>
                  <w14:solidFill>
                    <w14:schemeClr w14:val="accent1"/>
                  </w14:solidFill>
                </w14:textFill>
              </w:rPr>
              <w:t>ND4L</w:t>
            </w:r>
          </w:p>
          <w:p>
            <w:pPr>
              <w:jc w:val="center"/>
              <w:rPr>
                <w:rFonts w:hint="default"/>
                <w:sz w:val="28"/>
                <w:szCs w:val="28"/>
                <w:vertAlign w:val="baseline"/>
                <w:lang w:val="en"/>
              </w:rPr>
            </w:pPr>
            <w:r>
              <w:rPr>
                <w:rFonts w:hint="default"/>
                <w:sz w:val="28"/>
                <w:szCs w:val="28"/>
                <w:vertAlign w:val="baseline"/>
                <w:lang w:val="en"/>
              </w:rPr>
              <w:t xml:space="preserve">ND6 </w:t>
            </w:r>
          </w:p>
          <w:p>
            <w:pPr>
              <w:jc w:val="center"/>
              <w:rPr>
                <w:rFonts w:hint="default"/>
                <w:sz w:val="28"/>
                <w:szCs w:val="28"/>
                <w:vertAlign w:val="baseline"/>
                <w:lang w:val="en"/>
              </w:rPr>
            </w:pPr>
            <w:r>
              <w:rPr>
                <w:rFonts w:hint="default"/>
                <w:sz w:val="28"/>
                <w:szCs w:val="28"/>
                <w:vertAlign w:val="baseline"/>
                <w:lang w:val="en"/>
              </w:rPr>
              <w:t>CYTB</w:t>
            </w:r>
          </w:p>
          <w:p>
            <w:pPr>
              <w:jc w:val="center"/>
              <w:rPr>
                <w:rFonts w:hint="default"/>
                <w:sz w:val="28"/>
                <w:szCs w:val="28"/>
                <w:vertAlign w:val="baseline"/>
                <w:lang w:val="en"/>
              </w:rPr>
            </w:pPr>
            <w:r>
              <w:rPr>
                <w:rFonts w:hint="default"/>
                <w:color w:val="5B9BD5" w:themeColor="accent1"/>
                <w:sz w:val="28"/>
                <w:szCs w:val="28"/>
                <w:vertAlign w:val="baseline"/>
                <w:lang w:val="en"/>
                <w14:textFill>
                  <w14:solidFill>
                    <w14:schemeClr w14:val="accent1"/>
                  </w14:solidFill>
                </w14:textFill>
              </w:rPr>
              <w:t xml:space="preserve">ND1 </w:t>
            </w:r>
          </w:p>
        </w:tc>
        <w:tc>
          <w:tcPr>
            <w:tcW w:w="4261" w:type="dxa"/>
            <w:gridSpan w:val="2"/>
          </w:tcPr>
          <w:p>
            <w:pPr>
              <w:jc w:val="center"/>
              <w:rPr>
                <w:rFonts w:hint="default"/>
                <w:color w:val="FF0000"/>
                <w:sz w:val="28"/>
                <w:szCs w:val="28"/>
                <w:vertAlign w:val="baseline"/>
                <w:lang w:val="en"/>
              </w:rPr>
            </w:pPr>
            <w:r>
              <w:rPr>
                <w:rFonts w:hint="default"/>
                <w:color w:val="FF0000"/>
                <w:sz w:val="28"/>
                <w:szCs w:val="28"/>
                <w:vertAlign w:val="baseline"/>
                <w:lang w:val="en"/>
              </w:rPr>
              <w:t>TAA</w:t>
            </w:r>
          </w:p>
          <w:p>
            <w:pPr>
              <w:jc w:val="center"/>
              <w:rPr>
                <w:rFonts w:hint="default"/>
                <w:color w:val="FF0000"/>
                <w:sz w:val="28"/>
                <w:szCs w:val="28"/>
                <w:vertAlign w:val="baseline"/>
                <w:lang w:val="en"/>
              </w:rPr>
            </w:pPr>
            <w:r>
              <w:rPr>
                <w:rFonts w:hint="default"/>
                <w:color w:val="FF0000"/>
                <w:sz w:val="28"/>
                <w:szCs w:val="28"/>
                <w:vertAlign w:val="baseline"/>
                <w:lang w:val="en"/>
              </w:rPr>
              <w:t>TAA</w:t>
            </w:r>
          </w:p>
          <w:p>
            <w:pPr>
              <w:jc w:val="center"/>
              <w:rPr>
                <w:rFonts w:hint="default"/>
                <w:sz w:val="28"/>
                <w:szCs w:val="28"/>
                <w:vertAlign w:val="baseline"/>
                <w:lang w:val="en"/>
              </w:rPr>
            </w:pPr>
            <w:r>
              <w:rPr>
                <w:rFonts w:hint="default"/>
                <w:sz w:val="28"/>
                <w:szCs w:val="28"/>
                <w:vertAlign w:val="baseline"/>
                <w:lang w:val="en"/>
              </w:rPr>
              <w:t>AAT</w:t>
            </w:r>
          </w:p>
          <w:p>
            <w:pPr>
              <w:jc w:val="center"/>
              <w:rPr>
                <w:rFonts w:hint="default"/>
                <w:color w:val="FF0000"/>
                <w:sz w:val="28"/>
                <w:szCs w:val="28"/>
                <w:vertAlign w:val="baseline"/>
                <w:lang w:val="en"/>
              </w:rPr>
            </w:pPr>
            <w:r>
              <w:rPr>
                <w:rFonts w:hint="default"/>
                <w:color w:val="FF0000"/>
                <w:sz w:val="28"/>
                <w:szCs w:val="28"/>
                <w:vertAlign w:val="baseline"/>
                <w:lang w:val="en"/>
              </w:rPr>
              <w:t>TAA</w:t>
            </w:r>
          </w:p>
          <w:p>
            <w:pPr>
              <w:jc w:val="center"/>
              <w:rPr>
                <w:rFonts w:hint="default"/>
                <w:color w:val="FF0000"/>
                <w:sz w:val="28"/>
                <w:szCs w:val="28"/>
                <w:vertAlign w:val="baseline"/>
                <w:lang w:val="en"/>
              </w:rPr>
            </w:pPr>
            <w:r>
              <w:rPr>
                <w:rFonts w:hint="default"/>
                <w:color w:val="FF0000"/>
                <w:sz w:val="28"/>
                <w:szCs w:val="28"/>
                <w:vertAlign w:val="baseline"/>
                <w:lang w:val="en"/>
              </w:rPr>
              <w:t>TAA</w:t>
            </w:r>
          </w:p>
          <w:p>
            <w:pPr>
              <w:jc w:val="center"/>
              <w:rPr>
                <w:rFonts w:hint="default"/>
                <w:color w:val="FF0000"/>
                <w:sz w:val="28"/>
                <w:szCs w:val="28"/>
                <w:vertAlign w:val="baseline"/>
                <w:lang w:val="en"/>
              </w:rPr>
            </w:pPr>
            <w:r>
              <w:rPr>
                <w:rFonts w:hint="default"/>
                <w:color w:val="FF0000"/>
                <w:sz w:val="28"/>
                <w:szCs w:val="28"/>
                <w:vertAlign w:val="baseline"/>
                <w:lang w:val="en"/>
              </w:rPr>
              <w:t>TAA</w:t>
            </w:r>
          </w:p>
          <w:p>
            <w:pPr>
              <w:jc w:val="center"/>
              <w:rPr>
                <w:rFonts w:hint="default"/>
                <w:color w:val="FF0000"/>
                <w:sz w:val="28"/>
                <w:szCs w:val="28"/>
                <w:vertAlign w:val="baseline"/>
                <w:lang w:val="en"/>
              </w:rPr>
            </w:pPr>
            <w:r>
              <w:rPr>
                <w:rFonts w:hint="default"/>
                <w:color w:val="FF0000"/>
                <w:sz w:val="28"/>
                <w:szCs w:val="28"/>
                <w:vertAlign w:val="baseline"/>
                <w:lang w:val="en"/>
              </w:rPr>
              <w:t>TAA</w:t>
            </w:r>
          </w:p>
          <w:p>
            <w:pPr>
              <w:jc w:val="center"/>
              <w:rPr>
                <w:rFonts w:hint="default"/>
                <w:color w:val="7030A0"/>
                <w:sz w:val="28"/>
                <w:szCs w:val="28"/>
                <w:vertAlign w:val="baseline"/>
                <w:lang w:val="en"/>
              </w:rPr>
            </w:pPr>
            <w:r>
              <w:rPr>
                <w:rFonts w:hint="default"/>
                <w:color w:val="7030A0"/>
                <w:sz w:val="28"/>
                <w:szCs w:val="28"/>
                <w:vertAlign w:val="baseline"/>
                <w:lang w:val="en"/>
              </w:rPr>
              <w:t>TAT</w:t>
            </w:r>
          </w:p>
          <w:p>
            <w:pPr>
              <w:jc w:val="center"/>
              <w:rPr>
                <w:rFonts w:hint="default"/>
                <w:color w:val="7030A0"/>
                <w:sz w:val="28"/>
                <w:szCs w:val="28"/>
                <w:vertAlign w:val="baseline"/>
                <w:lang w:val="en"/>
              </w:rPr>
            </w:pPr>
            <w:r>
              <w:rPr>
                <w:rFonts w:hint="default"/>
                <w:color w:val="7030A0"/>
                <w:sz w:val="28"/>
                <w:szCs w:val="28"/>
                <w:vertAlign w:val="baseline"/>
                <w:lang w:val="en"/>
              </w:rPr>
              <w:t>TAT</w:t>
            </w:r>
          </w:p>
          <w:p>
            <w:pPr>
              <w:jc w:val="center"/>
              <w:rPr>
                <w:rFonts w:hint="default"/>
                <w:sz w:val="28"/>
                <w:szCs w:val="28"/>
                <w:vertAlign w:val="baseline"/>
                <w:lang w:val="en"/>
              </w:rPr>
            </w:pPr>
            <w:r>
              <w:rPr>
                <w:rFonts w:hint="default"/>
                <w:sz w:val="28"/>
                <w:szCs w:val="28"/>
                <w:vertAlign w:val="baseline"/>
                <w:lang w:val="en"/>
              </w:rPr>
              <w:t>CAT</w:t>
            </w:r>
          </w:p>
          <w:p>
            <w:pPr>
              <w:jc w:val="center"/>
              <w:rPr>
                <w:rFonts w:hint="default"/>
                <w:color w:val="FF0000"/>
                <w:sz w:val="28"/>
                <w:szCs w:val="28"/>
                <w:vertAlign w:val="baseline"/>
                <w:lang w:val="en"/>
              </w:rPr>
            </w:pPr>
            <w:r>
              <w:rPr>
                <w:rFonts w:hint="default"/>
                <w:color w:val="FF0000"/>
                <w:sz w:val="28"/>
                <w:szCs w:val="28"/>
                <w:vertAlign w:val="baseline"/>
                <w:lang w:val="en"/>
              </w:rPr>
              <w:t>TAA</w:t>
            </w:r>
          </w:p>
          <w:p>
            <w:pPr>
              <w:jc w:val="center"/>
              <w:rPr>
                <w:rFonts w:hint="default"/>
                <w:color w:val="FF0000"/>
                <w:sz w:val="28"/>
                <w:szCs w:val="28"/>
                <w:vertAlign w:val="baseline"/>
                <w:lang w:val="en"/>
              </w:rPr>
            </w:pPr>
            <w:r>
              <w:rPr>
                <w:rFonts w:hint="default"/>
                <w:color w:val="FF0000"/>
                <w:sz w:val="28"/>
                <w:szCs w:val="28"/>
                <w:vertAlign w:val="baseline"/>
                <w:lang w:val="en"/>
              </w:rPr>
              <w:t>TAA</w:t>
            </w:r>
          </w:p>
          <w:p>
            <w:pPr>
              <w:jc w:val="center"/>
              <w:rPr>
                <w:rFonts w:hint="default"/>
                <w:sz w:val="28"/>
                <w:szCs w:val="28"/>
                <w:vertAlign w:val="baseline"/>
                <w:lang w:val="en"/>
              </w:rPr>
            </w:pPr>
            <w:r>
              <w:rPr>
                <w:rFonts w:hint="default"/>
                <w:sz w:val="28"/>
                <w:szCs w:val="28"/>
                <w:vertAlign w:val="baseline"/>
                <w:lang w:val="en"/>
              </w:rPr>
              <w:t>CAT</w:t>
            </w:r>
          </w:p>
        </w:tc>
      </w:tr>
    </w:tbl>
    <w:p>
      <w:pPr>
        <w:rPr>
          <w:rFonts w:hint="default"/>
          <w:sz w:val="28"/>
          <w:szCs w:val="28"/>
          <w:lang w:val="en"/>
        </w:rPr>
      </w:pPr>
      <w:r>
        <w:rPr>
          <w:rFonts w:hint="default"/>
          <w:sz w:val="28"/>
          <w:szCs w:val="28"/>
          <w:lang w:val="en"/>
        </w:rPr>
        <w:br w:type="page"/>
      </w:r>
    </w:p>
    <w:p>
      <w:pPr>
        <w:bidi w:val="0"/>
        <w:jc w:val="both"/>
        <w:rPr>
          <w:rFonts w:hint="default"/>
          <w:b/>
          <w:bCs/>
          <w:lang w:val="en"/>
        </w:rPr>
      </w:pPr>
      <w:r>
        <w:rPr>
          <w:rFonts w:hint="default"/>
          <w:b/>
          <w:bCs/>
          <w:lang w:val="en"/>
        </w:rPr>
        <w:t>Abstract:</w:t>
      </w:r>
    </w:p>
    <w:p>
      <w:pPr>
        <w:bidi w:val="0"/>
        <w:jc w:val="both"/>
        <w:rPr>
          <w:rFonts w:hint="default"/>
          <w:color w:val="000000" w:themeColor="text1"/>
          <w:lang w:val="en"/>
          <w14:textFill>
            <w14:solidFill>
              <w14:schemeClr w14:val="tx1"/>
            </w14:solidFill>
          </w14:textFill>
        </w:rPr>
      </w:pPr>
      <w:r>
        <w:rPr>
          <w:rFonts w:hint="default"/>
          <w:lang w:val="en"/>
        </w:rPr>
        <w:t xml:space="preserve">In this study, we determined the complete mitochondrial genome sequence of </w:t>
      </w:r>
      <w:r>
        <w:rPr>
          <w:rFonts w:hint="default"/>
          <w:color w:val="FF0000"/>
          <w:lang w:val="en"/>
        </w:rPr>
        <w:t xml:space="preserve">XXX </w:t>
      </w:r>
      <w:r>
        <w:rPr>
          <w:rFonts w:hint="default"/>
          <w:color w:val="000000" w:themeColor="text1"/>
          <w:lang w:val="en"/>
          <w14:textFill>
            <w14:solidFill>
              <w14:schemeClr w14:val="tx1"/>
            </w14:solidFill>
          </w14:textFill>
        </w:rPr>
        <w:t xml:space="preserve">using next-generation sequencing (NGS) method. The mitogenome is </w:t>
      </w:r>
      <w:r>
        <w:rPr>
          <w:rFonts w:hint="default"/>
          <w:sz w:val="28"/>
          <w:szCs w:val="28"/>
          <w:vertAlign w:val="baseline"/>
          <w:lang w:val="en"/>
        </w:rPr>
        <w:t>15,896</w:t>
      </w:r>
      <w:r>
        <w:rPr>
          <w:rFonts w:hint="default"/>
          <w:color w:val="000000" w:themeColor="text1"/>
          <w:lang w:val="en"/>
          <w14:textFill>
            <w14:solidFill>
              <w14:schemeClr w14:val="tx1"/>
            </w14:solidFill>
          </w14:textFill>
        </w:rPr>
        <w:t xml:space="preserve"> bp in length, consisting of 13 protein-coding genes (PCGs), two ribosomal RNA genes (rRNAs), 22 transfer RNA genes (tRNAs), and one non-coding control region. The overall nucleotide composition was 40.2% A, 35.5% T, 15.2% C, and 9.1% G, with </w:t>
      </w:r>
      <w:r>
        <w:rPr>
          <w:rFonts w:hint="default"/>
          <w:sz w:val="28"/>
          <w:szCs w:val="28"/>
          <w:lang w:val="en"/>
        </w:rPr>
        <w:t>75.7</w:t>
      </w:r>
      <w:r>
        <w:rPr>
          <w:rFonts w:hint="default"/>
          <w:color w:val="000000" w:themeColor="text1"/>
          <w:lang w:val="en"/>
          <w14:textFill>
            <w14:solidFill>
              <w14:schemeClr w14:val="tx1"/>
            </w14:solidFill>
          </w14:textFill>
        </w:rPr>
        <w:t xml:space="preserve">% AT, respectively. The gene arrangement is consistent with the typical insect mitochondrial genome. Phylogenetic analysis revealed that </w:t>
      </w:r>
      <w:r>
        <w:rPr>
          <w:rFonts w:hint="default"/>
          <w:sz w:val="28"/>
          <w:szCs w:val="28"/>
          <w:lang w:val="en"/>
        </w:rPr>
        <w:t xml:space="preserve">P. </w:t>
      </w:r>
      <w:r>
        <w:rPr>
          <w:rFonts w:hint="default"/>
          <w:sz w:val="28"/>
          <w:szCs w:val="28"/>
          <w:vertAlign w:val="baseline"/>
          <w:lang w:val="en"/>
        </w:rPr>
        <w:t>breve</w:t>
      </w:r>
      <w:r>
        <w:rPr>
          <w:rFonts w:hint="default"/>
          <w:color w:val="000000" w:themeColor="text1"/>
          <w:lang w:val="en"/>
          <w14:textFill>
            <w14:solidFill>
              <w14:schemeClr w14:val="tx1"/>
            </w14:solidFill>
          </w14:textFill>
        </w:rPr>
        <w:t xml:space="preserve"> clustered into a clade with Chiagosnius sulcicollis with high bootstrap support.</w:t>
      </w:r>
    </w:p>
    <w:p>
      <w:pPr>
        <w:bidi w:val="0"/>
        <w:jc w:val="both"/>
        <w:rPr>
          <w:rFonts w:hint="default"/>
          <w:lang w:val="en"/>
        </w:rPr>
      </w:pPr>
    </w:p>
    <w:p>
      <w:pPr>
        <w:bidi w:val="0"/>
        <w:jc w:val="both"/>
        <w:rPr>
          <w:rFonts w:hint="default"/>
          <w:lang w:val="en"/>
        </w:rPr>
      </w:pPr>
      <w:r>
        <w:rPr>
          <w:rFonts w:hint="default"/>
          <w:b/>
          <w:bCs/>
          <w:lang w:val="en"/>
        </w:rPr>
        <w:t>Keywords:</w:t>
      </w:r>
    </w:p>
    <w:p>
      <w:pPr>
        <w:bidi w:val="0"/>
        <w:jc w:val="both"/>
        <w:rPr>
          <w:rFonts w:hint="default"/>
          <w:lang w:val="en"/>
        </w:rPr>
      </w:pPr>
      <w:r>
        <w:rPr>
          <w:rFonts w:hint="default"/>
          <w:lang w:val="en"/>
        </w:rPr>
        <w:t>Insecta, molecular, phylogeny, mitochondrial DNA, genetic diversity</w:t>
      </w:r>
    </w:p>
    <w:p>
      <w:pPr>
        <w:bidi w:val="0"/>
        <w:jc w:val="both"/>
        <w:rPr>
          <w:rFonts w:hint="default"/>
          <w:lang w:val="en"/>
        </w:rPr>
      </w:pPr>
    </w:p>
    <w:p>
      <w:pPr>
        <w:bidi w:val="0"/>
        <w:jc w:val="both"/>
        <w:rPr>
          <w:rFonts w:hint="default"/>
          <w:color w:val="FF0000"/>
          <w:lang w:val="en"/>
        </w:rPr>
      </w:pPr>
      <w:r>
        <w:rPr>
          <w:rFonts w:hint="default"/>
          <w:color w:val="FF0000"/>
          <w:lang w:val="en"/>
        </w:rPr>
        <w:t>Elateridae commonly known as click beetles and contains approximately 10,000 species (Johnson 2002). Chiagosnius vittiger, with dark brown oval marking in the middle of pronotum, mainly distributed in southern China and East Asia (Jiang and Wang 1999). Here, we determined the complete mitochondrial genome of C. vittiger, which is the second mitochondrial genome sequenced to date in the genus of Chiagosnius Fleutiaux, and the first one is Chiagosnius sulcicollis (Wang et al. 2019).</w:t>
      </w:r>
    </w:p>
    <w:p>
      <w:pPr>
        <w:bidi w:val="0"/>
        <w:jc w:val="both"/>
        <w:rPr>
          <w:rFonts w:hint="default"/>
          <w:lang w:val="en"/>
        </w:rPr>
      </w:pPr>
    </w:p>
    <w:p>
      <w:pPr>
        <w:bidi w:val="0"/>
        <w:jc w:val="both"/>
        <w:rPr>
          <w:rFonts w:hint="default"/>
          <w:color w:val="FF0000"/>
          <w:lang w:val="en"/>
        </w:rPr>
      </w:pPr>
      <w:r>
        <w:rPr>
          <w:rFonts w:hint="default"/>
          <w:color w:val="FF0000"/>
          <w:lang w:val="en"/>
        </w:rPr>
        <w:t>The sampled specimen was collected from Jianfengling National Nature Reserve, Hainan, China (18°44′N, 108°54′E) in May, 2018. The specimen was stored in the Entomological specimen room of Shangluo University (voucher no. CO-2018229). The complete mitochondrial DNA sequence was determined by Illumina HiSeq 2500 Sequencing System (Illumina, San Diego, CA，USA). In total, 5.6 G raw reads were obtained, quality-trimmed, and assembled using MITObim version 1.7 (https://github.com/chrishah/MITObim) (Hahn et al. 2013).</w:t>
      </w:r>
    </w:p>
    <w:p>
      <w:pPr>
        <w:bidi w:val="0"/>
        <w:jc w:val="both"/>
        <w:rPr>
          <w:rFonts w:hint="default"/>
          <w:lang w:val="en"/>
        </w:rPr>
      </w:pPr>
    </w:p>
    <w:p>
      <w:pPr>
        <w:jc w:val="both"/>
        <w:rPr>
          <w:rFonts w:hint="default"/>
          <w:sz w:val="28"/>
          <w:szCs w:val="28"/>
          <w:lang w:val="en"/>
        </w:rPr>
      </w:pPr>
      <w:r>
        <w:rPr>
          <w:rFonts w:hint="default"/>
          <w:sz w:val="28"/>
          <w:szCs w:val="28"/>
          <w:lang w:val="en"/>
        </w:rPr>
        <w:t xml:space="preserve">The complete mitochondrial genome of P. </w:t>
      </w:r>
      <w:r>
        <w:rPr>
          <w:rFonts w:hint="default"/>
          <w:sz w:val="28"/>
          <w:szCs w:val="28"/>
          <w:vertAlign w:val="baseline"/>
          <w:lang w:val="en"/>
        </w:rPr>
        <w:t>breve</w:t>
      </w:r>
      <w:r>
        <w:rPr>
          <w:rFonts w:hint="default"/>
          <w:sz w:val="28"/>
          <w:szCs w:val="28"/>
          <w:lang w:val="en"/>
        </w:rPr>
        <w:t xml:space="preserve"> was </w:t>
      </w:r>
      <w:r>
        <w:rPr>
          <w:rFonts w:hint="default"/>
          <w:sz w:val="28"/>
          <w:szCs w:val="28"/>
          <w:vertAlign w:val="baseline"/>
          <w:lang w:val="en"/>
        </w:rPr>
        <w:t>15,896</w:t>
      </w:r>
      <w:r>
        <w:rPr>
          <w:rFonts w:hint="default"/>
          <w:sz w:val="28"/>
          <w:szCs w:val="28"/>
          <w:lang w:val="en"/>
        </w:rPr>
        <w:t xml:space="preserve"> bp in total length and deposited in GenBank database with an accession number </w:t>
      </w:r>
      <w:r>
        <w:rPr>
          <w:rFonts w:hint="default"/>
          <w:color w:val="FF0000"/>
          <w:sz w:val="28"/>
          <w:szCs w:val="28"/>
          <w:lang w:val="en"/>
        </w:rPr>
        <w:t>XX</w:t>
      </w:r>
      <w:r>
        <w:rPr>
          <w:rFonts w:hint="default"/>
          <w:sz w:val="28"/>
          <w:szCs w:val="28"/>
          <w:lang w:val="en"/>
        </w:rPr>
        <w:t>. The overall base composition was 40.2% A, 35.5% T, 15.2% C, and 9.1% G, with an A + T ratio of 75.7%. The full mitochondrial genome contains 13 protein-coding genes (PCGs), 22 transfer RNAs (tRNAs), two ribosomal RNAs (rRNAs) and a putative control re</w:t>
      </w:r>
      <w:bookmarkStart w:id="0" w:name="_GoBack"/>
      <w:bookmarkEnd w:id="0"/>
      <w:r>
        <w:rPr>
          <w:rFonts w:hint="default"/>
          <w:sz w:val="28"/>
          <w:szCs w:val="28"/>
          <w:lang w:val="en"/>
        </w:rPr>
        <w:t xml:space="preserve">gion (CR). The gene arrangement of P. </w:t>
      </w:r>
      <w:r>
        <w:rPr>
          <w:rFonts w:hint="default"/>
          <w:sz w:val="28"/>
          <w:szCs w:val="28"/>
          <w:vertAlign w:val="baseline"/>
          <w:lang w:val="en"/>
        </w:rPr>
        <w:t>breve</w:t>
      </w:r>
      <w:r>
        <w:rPr>
          <w:rFonts w:hint="default"/>
          <w:sz w:val="28"/>
          <w:szCs w:val="28"/>
          <w:lang w:val="en"/>
        </w:rPr>
        <w:t xml:space="preserve"> is found to be similar to most insect mitochondrial genomes </w:t>
      </w:r>
      <w:r>
        <w:rPr>
          <w:rFonts w:hint="default"/>
          <w:color w:val="FF0000"/>
          <w:sz w:val="28"/>
          <w:szCs w:val="28"/>
          <w:lang w:val="en"/>
        </w:rPr>
        <w:t>(XXX)</w:t>
      </w:r>
      <w:r>
        <w:rPr>
          <w:rFonts w:hint="default"/>
          <w:sz w:val="28"/>
          <w:szCs w:val="28"/>
          <w:lang w:val="en"/>
        </w:rPr>
        <w:t xml:space="preserve">. Most PCGs of P. </w:t>
      </w:r>
      <w:r>
        <w:rPr>
          <w:rFonts w:hint="default"/>
          <w:sz w:val="28"/>
          <w:szCs w:val="28"/>
          <w:vertAlign w:val="baseline"/>
          <w:lang w:val="en"/>
        </w:rPr>
        <w:t>breve</w:t>
      </w:r>
      <w:r>
        <w:rPr>
          <w:rFonts w:hint="default"/>
          <w:sz w:val="28"/>
          <w:szCs w:val="28"/>
          <w:lang w:val="en"/>
        </w:rPr>
        <w:t xml:space="preserve"> have the conventional start codon for invertebrate mitochondrial PCGs (ATN), </w:t>
      </w:r>
      <w:r>
        <w:rPr>
          <w:rFonts w:hint="default"/>
          <w:color w:val="FF0000"/>
          <w:sz w:val="28"/>
          <w:szCs w:val="28"/>
          <w:lang w:val="en"/>
        </w:rPr>
        <w:t xml:space="preserve">with the exception of nad1 (TTA) and the start codon of cox1 not determined. </w:t>
      </w:r>
      <w:r>
        <w:rPr>
          <w:rFonts w:hint="default"/>
          <w:sz w:val="28"/>
          <w:szCs w:val="28"/>
          <w:lang w:val="en"/>
        </w:rPr>
        <w:t xml:space="preserve">Most of the PCGs terminate with the stop codon TAA, whereas cox2, nd4l, nd4, nd5 and nad1 end with the incomplete codon T. Nine PCGs are encoded on the majority strand (J-strand) and four (nad5, nad4, nad4L, and nad1) on the minority strand (N-strand). </w:t>
      </w:r>
      <w:r>
        <w:rPr>
          <w:rFonts w:hint="default"/>
          <w:color w:val="FF0000"/>
          <w:sz w:val="28"/>
          <w:szCs w:val="28"/>
          <w:lang w:val="en"/>
        </w:rPr>
        <w:t xml:space="preserve">All 22 tRNA genes can be folded into the typical cloverleaf structure except for trnS1, in which the dihydrouridine (DHU) arm cannot form a stable stem-loop structure but a simple loop. Two rRNA genes (rrnL and rrnS) locate at trnL1/trnV and trnV/control regions, respectively, and both rRNA genes are encoded on the N-strand. </w:t>
      </w:r>
      <w:r>
        <w:rPr>
          <w:rFonts w:hint="default"/>
          <w:sz w:val="28"/>
          <w:szCs w:val="28"/>
          <w:lang w:val="en"/>
        </w:rPr>
        <w:t xml:space="preserve">The lengths of the two rRNA genes </w:t>
      </w:r>
      <w:r>
        <w:rPr>
          <w:rFonts w:hint="default"/>
          <w:color w:val="FF0000"/>
          <w:sz w:val="28"/>
          <w:szCs w:val="28"/>
          <w:lang w:val="en"/>
        </w:rPr>
        <w:t>(rrnL and rrnS)</w:t>
      </w:r>
      <w:r>
        <w:rPr>
          <w:rFonts w:hint="default"/>
          <w:sz w:val="28"/>
          <w:szCs w:val="28"/>
          <w:lang w:val="en"/>
        </w:rPr>
        <w:t xml:space="preserve"> in P. </w:t>
      </w:r>
      <w:r>
        <w:rPr>
          <w:rFonts w:hint="default"/>
          <w:sz w:val="28"/>
          <w:szCs w:val="28"/>
          <w:vertAlign w:val="baseline"/>
          <w:lang w:val="en"/>
        </w:rPr>
        <w:t>breve</w:t>
      </w:r>
      <w:r>
        <w:rPr>
          <w:rFonts w:hint="default"/>
          <w:sz w:val="28"/>
          <w:szCs w:val="28"/>
          <w:lang w:val="en"/>
        </w:rPr>
        <w:t xml:space="preserve"> are about 1314and 753bp, with the A + T contents of 78.9% and 76.4%, respectively. The length of control region is 948 bp, with the AT content of this region is up to 77.4%. </w:t>
      </w:r>
    </w:p>
    <w:p>
      <w:pPr>
        <w:jc w:val="both"/>
        <w:rPr>
          <w:rFonts w:hint="default"/>
          <w:sz w:val="28"/>
          <w:szCs w:val="28"/>
          <w:lang w:val="en"/>
        </w:rPr>
      </w:pPr>
    </w:p>
    <w:p>
      <w:pPr>
        <w:widowControl w:val="0"/>
        <w:numPr>
          <w:ilvl w:val="0"/>
          <w:numId w:val="0"/>
        </w:numPr>
        <w:jc w:val="both"/>
        <w:rPr>
          <w:rFonts w:hint="default"/>
          <w:sz w:val="28"/>
          <w:szCs w:val="28"/>
          <w:lang w:val="en"/>
        </w:rPr>
      </w:pPr>
      <w:r>
        <w:rPr>
          <w:rFonts w:hint="default"/>
          <w:color w:val="FF0000"/>
          <w:sz w:val="28"/>
          <w:szCs w:val="28"/>
          <w:lang w:val="en"/>
        </w:rPr>
        <w:t xml:space="preserve">The phylogenetic tree was constructed using the maximum-likelihood method through RaxmlGUI version 1.5 (http://sourceforge.net/projects/raxmlgui/) (Silvestro and Michalak 2012). Results showed that the family Elateridae is monophyletic and the genus Chiagosnius Fleutiaux is sister to Melanotus Eschlscholtz (Figure 1), which was consistent with the previous studies (Lin et al. 2018; Meng et al. 2018; Wang et al. 2019). </w:t>
      </w:r>
      <w:r>
        <w:rPr>
          <w:rFonts w:hint="default"/>
          <w:sz w:val="28"/>
          <w:szCs w:val="28"/>
          <w:lang w:val="en"/>
        </w:rPr>
        <w:t xml:space="preserve">As a conclusion, we obtained and described the complete mitochondrial genome of P. </w:t>
      </w:r>
      <w:r>
        <w:rPr>
          <w:rFonts w:hint="default"/>
          <w:sz w:val="28"/>
          <w:szCs w:val="28"/>
          <w:vertAlign w:val="baseline"/>
          <w:lang w:val="en"/>
        </w:rPr>
        <w:t>breve</w:t>
      </w:r>
      <w:r>
        <w:rPr>
          <w:rFonts w:hint="default"/>
          <w:sz w:val="28"/>
          <w:szCs w:val="28"/>
          <w:lang w:val="en"/>
        </w:rPr>
        <w:t>, which constitute a valuable and useful resource for population genetic study and identification efforts on this species.</w:t>
      </w:r>
    </w:p>
    <w:p>
      <w:pPr>
        <w:widowControl w:val="0"/>
        <w:numPr>
          <w:ilvl w:val="0"/>
          <w:numId w:val="0"/>
        </w:numPr>
        <w:jc w:val="both"/>
        <w:rPr>
          <w:rFonts w:hint="default"/>
          <w:sz w:val="28"/>
          <w:szCs w:val="28"/>
          <w:lang w:val="en"/>
        </w:rPr>
      </w:pPr>
    </w:p>
    <w:p>
      <w:pPr>
        <w:widowControl w:val="0"/>
        <w:numPr>
          <w:ilvl w:val="0"/>
          <w:numId w:val="0"/>
        </w:numPr>
        <w:jc w:val="both"/>
        <w:rPr>
          <w:rFonts w:hint="default"/>
          <w:sz w:val="28"/>
          <w:szCs w:val="28"/>
          <w:lang w:val="en"/>
        </w:rPr>
      </w:pPr>
      <w:r>
        <w:rPr>
          <w:rFonts w:hint="default"/>
          <w:sz w:val="28"/>
          <w:szCs w:val="28"/>
          <w:lang w:val="en"/>
        </w:rPr>
        <w:t xml:space="preserve">Figure 1. Phylogenetic relationships based on the 13 mitochondrial protein-coding genes sequences inferred from RaxML. Numbers on branches are bootstrap values (BV). </w:t>
      </w:r>
    </w:p>
    <w:p>
      <w:pPr>
        <w:widowControl w:val="0"/>
        <w:numPr>
          <w:ilvl w:val="0"/>
          <w:numId w:val="0"/>
        </w:numPr>
        <w:jc w:val="both"/>
        <w:rPr>
          <w:rFonts w:hint="default"/>
          <w:sz w:val="28"/>
          <w:szCs w:val="28"/>
          <w:lang w:val="en"/>
        </w:rPr>
      </w:pPr>
    </w:p>
    <w:p>
      <w:pPr>
        <w:widowControl w:val="0"/>
        <w:numPr>
          <w:ilvl w:val="0"/>
          <w:numId w:val="0"/>
        </w:numPr>
        <w:jc w:val="both"/>
        <w:rPr>
          <w:rFonts w:hint="default"/>
          <w:sz w:val="28"/>
          <w:szCs w:val="28"/>
          <w:lang w:val="en"/>
        </w:rPr>
      </w:pPr>
    </w:p>
    <w:p>
      <w:pPr>
        <w:jc w:val="both"/>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r>
        <w:rPr>
          <w:rFonts w:hint="default"/>
          <w:sz w:val="28"/>
          <w:szCs w:val="28"/>
          <w:lang w:val="en"/>
        </w:rPr>
        <w:br w:type="page"/>
      </w:r>
    </w:p>
    <w:p>
      <w:pPr>
        <w:rPr>
          <w:rFonts w:hint="default"/>
          <w:sz w:val="28"/>
          <w:szCs w:val="28"/>
          <w:lang w:val="en"/>
        </w:rPr>
      </w:pPr>
    </w:p>
    <w:p>
      <w:pPr>
        <w:jc w:val="both"/>
        <w:rPr>
          <w:rFonts w:hint="default"/>
          <w:sz w:val="28"/>
          <w:szCs w:val="28"/>
          <w:lang w:val="en"/>
        </w:rPr>
      </w:pPr>
      <w:r>
        <w:rPr>
          <w:rFonts w:hint="default"/>
          <w:color w:val="FF0000"/>
          <w:sz w:val="28"/>
          <w:szCs w:val="28"/>
          <w:lang w:val="en"/>
        </w:rPr>
        <w:t xml:space="preserve">Elateridae </w:t>
      </w:r>
      <w:r>
        <w:rPr>
          <w:rFonts w:hint="default"/>
          <w:sz w:val="28"/>
          <w:szCs w:val="28"/>
          <w:lang w:val="en"/>
        </w:rPr>
        <w:t xml:space="preserve">commonly known as </w:t>
      </w:r>
      <w:r>
        <w:rPr>
          <w:rFonts w:hint="default"/>
          <w:color w:val="FF0000"/>
          <w:sz w:val="28"/>
          <w:szCs w:val="28"/>
          <w:lang w:val="en"/>
        </w:rPr>
        <w:t>click beetles</w:t>
      </w:r>
      <w:r>
        <w:rPr>
          <w:rFonts w:hint="default"/>
          <w:sz w:val="28"/>
          <w:szCs w:val="28"/>
          <w:lang w:val="en"/>
        </w:rPr>
        <w:t xml:space="preserve"> and contains approximately 10,000 species (Johnson 2002). </w:t>
      </w:r>
      <w:r>
        <w:rPr>
          <w:rFonts w:hint="default"/>
          <w:color w:val="FF0000"/>
          <w:sz w:val="28"/>
          <w:szCs w:val="28"/>
          <w:lang w:val="en"/>
        </w:rPr>
        <w:t>Chiagosnius vittiger,</w:t>
      </w:r>
      <w:r>
        <w:rPr>
          <w:rFonts w:hint="default"/>
          <w:sz w:val="28"/>
          <w:szCs w:val="28"/>
          <w:lang w:val="en"/>
        </w:rPr>
        <w:t xml:space="preserve"> with dark brown oval marking in the middle of pronotum, mainly distributed in southern China and East Asia (Jiang and Wang 1999).</w:t>
      </w:r>
    </w:p>
    <w:p>
      <w:pPr>
        <w:jc w:val="both"/>
        <w:rPr>
          <w:rFonts w:hint="default"/>
          <w:sz w:val="28"/>
          <w:szCs w:val="28"/>
          <w:lang w:val="en"/>
        </w:rPr>
      </w:pPr>
    </w:p>
    <w:p>
      <w:pPr>
        <w:jc w:val="both"/>
        <w:rPr>
          <w:rFonts w:hint="default"/>
          <w:sz w:val="28"/>
          <w:szCs w:val="28"/>
          <w:lang w:val="en"/>
        </w:rPr>
      </w:pPr>
      <w:r>
        <w:rPr>
          <w:rFonts w:hint="default"/>
          <w:sz w:val="28"/>
          <w:szCs w:val="28"/>
          <w:lang w:val="en"/>
        </w:rPr>
        <w:t>金龟子科，俗称点击甲虫，约有10000种(Johnson 2002)。叉头龙，在叉头龙中间有深棕色的椭圆形斑纹，主要分布于中国南部和东亚地区(Jiang和Wang 1999)。</w:t>
      </w:r>
    </w:p>
    <w:p>
      <w:pPr>
        <w:jc w:val="both"/>
        <w:rPr>
          <w:rFonts w:hint="default"/>
          <w:sz w:val="28"/>
          <w:szCs w:val="28"/>
          <w:lang w:val="en"/>
        </w:rPr>
      </w:pPr>
    </w:p>
    <w:p>
      <w:pPr>
        <w:jc w:val="both"/>
        <w:rPr>
          <w:rFonts w:hint="default"/>
          <w:sz w:val="28"/>
          <w:szCs w:val="28"/>
          <w:lang w:val="en"/>
        </w:rPr>
      </w:pPr>
      <w:r>
        <w:rPr>
          <w:rFonts w:hint="default"/>
          <w:sz w:val="28"/>
          <w:szCs w:val="28"/>
          <w:lang w:val="en"/>
        </w:rPr>
        <w:t xml:space="preserve">Here, we determined the complete mitochondrial genome of </w:t>
      </w:r>
      <w:r>
        <w:rPr>
          <w:rFonts w:hint="default"/>
          <w:color w:val="FF0000"/>
          <w:sz w:val="28"/>
          <w:szCs w:val="28"/>
          <w:lang w:val="en"/>
        </w:rPr>
        <w:t>C. vittiger</w:t>
      </w:r>
      <w:r>
        <w:rPr>
          <w:rFonts w:hint="default"/>
          <w:sz w:val="28"/>
          <w:szCs w:val="28"/>
          <w:lang w:val="en"/>
        </w:rPr>
        <w:t xml:space="preserve">, which is the second mitochondrial genome sequenced to date in the genus of </w:t>
      </w:r>
      <w:r>
        <w:rPr>
          <w:rFonts w:hint="default"/>
          <w:color w:val="FF0000"/>
          <w:sz w:val="28"/>
          <w:szCs w:val="28"/>
          <w:lang w:val="en"/>
        </w:rPr>
        <w:t>Chiagosnius Fleutiaux</w:t>
      </w:r>
      <w:r>
        <w:rPr>
          <w:rFonts w:hint="default"/>
          <w:sz w:val="28"/>
          <w:szCs w:val="28"/>
          <w:lang w:val="en"/>
        </w:rPr>
        <w:t>, and the first one is</w:t>
      </w:r>
      <w:r>
        <w:rPr>
          <w:rFonts w:hint="default"/>
          <w:color w:val="FF0000"/>
          <w:sz w:val="28"/>
          <w:szCs w:val="28"/>
          <w:lang w:val="en"/>
        </w:rPr>
        <w:t xml:space="preserve"> Chiagosnius sulcicollis </w:t>
      </w:r>
      <w:r>
        <w:rPr>
          <w:rFonts w:hint="default"/>
          <w:sz w:val="28"/>
          <w:szCs w:val="28"/>
          <w:lang w:val="en"/>
        </w:rPr>
        <w:t>(Wang et al. 2019).</w:t>
      </w:r>
    </w:p>
    <w:p>
      <w:pPr>
        <w:jc w:val="both"/>
        <w:rPr>
          <w:rFonts w:hint="default"/>
          <w:sz w:val="28"/>
          <w:szCs w:val="28"/>
          <w:lang w:val="en"/>
        </w:rPr>
      </w:pPr>
    </w:p>
    <w:p>
      <w:pPr>
        <w:jc w:val="both"/>
        <w:rPr>
          <w:rFonts w:hint="default"/>
          <w:sz w:val="28"/>
          <w:szCs w:val="28"/>
          <w:lang w:val="en"/>
        </w:rPr>
      </w:pPr>
      <w:r>
        <w:rPr>
          <w:rFonts w:hint="default"/>
          <w:sz w:val="28"/>
          <w:szCs w:val="28"/>
          <w:lang w:val="en"/>
        </w:rPr>
        <w:t>在这里，我们确定了C. vittiger的完整线粒体基因组，这是迄今为止在雪狐属中测序的第二个线粒体基因组，第一个是雪狐属(Chiagosnius sulcicollis, Wang et al. 2019)。</w:t>
      </w:r>
    </w:p>
    <w:p>
      <w:pPr>
        <w:rPr>
          <w:rFonts w:hint="default"/>
          <w:sz w:val="28"/>
          <w:szCs w:val="28"/>
          <w:lang w:val="en"/>
        </w:rPr>
      </w:pPr>
      <w:r>
        <w:rPr>
          <w:rFonts w:hint="default"/>
          <w:sz w:val="28"/>
          <w:szCs w:val="28"/>
          <w:lang w:val="en"/>
        </w:rPr>
        <w:br w:type="page"/>
      </w:r>
    </w:p>
    <w:p>
      <w:pPr>
        <w:jc w:val="both"/>
        <w:rPr>
          <w:rFonts w:hint="default"/>
          <w:sz w:val="28"/>
          <w:szCs w:val="28"/>
          <w:lang w:val="en"/>
        </w:rPr>
      </w:pPr>
      <w:r>
        <w:rPr>
          <w:rFonts w:hint="default"/>
          <w:sz w:val="28"/>
          <w:szCs w:val="28"/>
          <w:lang w:val="en"/>
        </w:rPr>
        <w:t>The sampled specimen was collected from Jianfengling National Nature Reserve, Hainan, China (18 44 N, 108 54 E) in May, 2018. The specimen was stored in the Entomological specimen room of Shangluo University (voucher no. CO-2018229)</w:t>
      </w:r>
    </w:p>
    <w:p>
      <w:pPr>
        <w:jc w:val="both"/>
        <w:rPr>
          <w:rFonts w:hint="default"/>
          <w:sz w:val="28"/>
          <w:szCs w:val="28"/>
          <w:lang w:val="en"/>
        </w:rPr>
      </w:pPr>
    </w:p>
    <w:p>
      <w:pPr>
        <w:jc w:val="both"/>
        <w:rPr>
          <w:rFonts w:hint="default"/>
          <w:sz w:val="28"/>
          <w:szCs w:val="28"/>
          <w:lang w:val="en"/>
        </w:rPr>
      </w:pPr>
      <w:r>
        <w:rPr>
          <w:rFonts w:hint="default"/>
          <w:sz w:val="28"/>
          <w:szCs w:val="28"/>
          <w:lang w:val="en"/>
        </w:rPr>
        <w:t>标本于2018年5月采集自中国海南尖峰岭国家自然保护区(北纬18 44度，东经108度54度)。标本保存于商洛大学昆虫标本室。有限公司(2018229)</w:t>
      </w:r>
    </w:p>
    <w:p>
      <w:pPr>
        <w:jc w:val="both"/>
        <w:rPr>
          <w:rFonts w:hint="default"/>
          <w:sz w:val="28"/>
          <w:szCs w:val="28"/>
          <w:lang w:val="en"/>
        </w:rPr>
      </w:pPr>
    </w:p>
    <w:p>
      <w:pPr>
        <w:jc w:val="both"/>
        <w:rPr>
          <w:rFonts w:hint="default"/>
          <w:sz w:val="28"/>
          <w:szCs w:val="28"/>
          <w:lang w:val="en"/>
        </w:rPr>
      </w:pPr>
      <w:r>
        <w:rPr>
          <w:rFonts w:hint="default"/>
          <w:sz w:val="28"/>
          <w:szCs w:val="28"/>
          <w:lang w:val="en"/>
        </w:rPr>
        <w:t>The complete mitochondrial DNA sequence was determined by Illumina HiSeq 2500 Sequencing System (Illumina, San Diego, CA,USA). In total, 5.6 G raw reads were obtained, quality-trimmed, and assembled using MITObim version 1.7</w:t>
      </w:r>
    </w:p>
    <w:p>
      <w:pPr>
        <w:jc w:val="both"/>
        <w:rPr>
          <w:rFonts w:hint="default"/>
          <w:sz w:val="28"/>
          <w:szCs w:val="28"/>
          <w:lang w:val="en"/>
        </w:rPr>
      </w:pPr>
    </w:p>
    <w:p>
      <w:pPr>
        <w:jc w:val="both"/>
        <w:rPr>
          <w:rFonts w:hint="default"/>
          <w:sz w:val="28"/>
          <w:szCs w:val="28"/>
          <w:lang w:val="en"/>
        </w:rPr>
      </w:pPr>
      <w:r>
        <w:rPr>
          <w:rFonts w:hint="default"/>
          <w:sz w:val="28"/>
          <w:szCs w:val="28"/>
          <w:lang w:val="en"/>
        </w:rPr>
        <w:t>线粒体DNA全序列由Illumina HiSeq 2500测序系统(Illumina, San Diego, CA,USA)测定。总的来说，使用MITObim 1.7版获得了5.6 G的原始读数，并进行了质量调整和组装</w:t>
      </w:r>
    </w:p>
    <w:p>
      <w:pPr>
        <w:rPr>
          <w:rFonts w:hint="default"/>
          <w:sz w:val="28"/>
          <w:szCs w:val="28"/>
          <w:lang w:val="en"/>
        </w:rPr>
      </w:pPr>
      <w:r>
        <w:rPr>
          <w:rFonts w:hint="default"/>
          <w:sz w:val="28"/>
          <w:szCs w:val="28"/>
          <w:lang w:val="en"/>
        </w:rPr>
        <w:br w:type="page"/>
      </w:r>
    </w:p>
    <w:p>
      <w:pPr>
        <w:jc w:val="both"/>
        <w:rPr>
          <w:rFonts w:hint="default"/>
          <w:sz w:val="28"/>
          <w:szCs w:val="28"/>
          <w:lang w:val="en"/>
        </w:rPr>
      </w:pPr>
      <w:r>
        <w:rPr>
          <w:rFonts w:hint="default"/>
          <w:sz w:val="28"/>
          <w:szCs w:val="28"/>
          <w:lang w:val="en"/>
        </w:rPr>
        <w:t>The complete mitochondrial genome of C. vittiger was 15,842 bp in total length and deposited in GenBank database with an accession number MN306531. The overall base composition was 41.6% A, 31.1% T, 16.9% C, and 10.4% G, with an A + T ratio of 72.7%.</w:t>
      </w:r>
    </w:p>
    <w:p>
      <w:pPr>
        <w:jc w:val="both"/>
        <w:rPr>
          <w:rFonts w:hint="default"/>
          <w:sz w:val="28"/>
          <w:szCs w:val="28"/>
          <w:lang w:val="en"/>
        </w:rPr>
      </w:pPr>
    </w:p>
    <w:p>
      <w:pPr>
        <w:numPr>
          <w:ilvl w:val="0"/>
          <w:numId w:val="1"/>
        </w:numPr>
        <w:jc w:val="both"/>
        <w:rPr>
          <w:rFonts w:hint="default"/>
          <w:sz w:val="28"/>
          <w:szCs w:val="28"/>
          <w:lang w:val="en"/>
        </w:rPr>
      </w:pPr>
      <w:r>
        <w:rPr>
          <w:rFonts w:hint="default"/>
          <w:sz w:val="28"/>
          <w:szCs w:val="28"/>
          <w:lang w:val="en"/>
        </w:rPr>
        <w:t>vittiger线粒体基因组全长15842 bp，存入GenBank数据库，登录号MN306531。总碱组成为41.6% A, 31.1% T, 16.9% C, 10.4% G, A + T比例为72.7%。</w:t>
      </w:r>
    </w:p>
    <w:p>
      <w:pPr>
        <w:widowControl w:val="0"/>
        <w:numPr>
          <w:ilvl w:val="0"/>
          <w:numId w:val="0"/>
        </w:numPr>
        <w:jc w:val="both"/>
        <w:rPr>
          <w:rFonts w:hint="default"/>
          <w:sz w:val="28"/>
          <w:szCs w:val="28"/>
          <w:lang w:val="en"/>
        </w:rPr>
      </w:pPr>
    </w:p>
    <w:p>
      <w:pPr>
        <w:widowControl w:val="0"/>
        <w:numPr>
          <w:ilvl w:val="0"/>
          <w:numId w:val="0"/>
        </w:numPr>
        <w:jc w:val="both"/>
        <w:rPr>
          <w:rFonts w:hint="default"/>
          <w:color w:val="C00000"/>
          <w:sz w:val="28"/>
          <w:szCs w:val="28"/>
          <w:highlight w:val="yellow"/>
          <w:lang w:val="en"/>
        </w:rPr>
      </w:pPr>
      <w:r>
        <w:rPr>
          <w:rFonts w:hint="default"/>
          <w:sz w:val="28"/>
          <w:szCs w:val="28"/>
          <w:lang w:val="en"/>
        </w:rPr>
        <w:t xml:space="preserve">The full mitochondrial genome contains </w:t>
      </w:r>
      <w:r>
        <w:rPr>
          <w:rFonts w:hint="default"/>
          <w:color w:val="FF0000"/>
          <w:sz w:val="28"/>
          <w:szCs w:val="28"/>
          <w:lang w:val="en"/>
        </w:rPr>
        <w:t>13</w:t>
      </w:r>
      <w:r>
        <w:rPr>
          <w:rFonts w:hint="default"/>
          <w:sz w:val="28"/>
          <w:szCs w:val="28"/>
          <w:lang w:val="en"/>
        </w:rPr>
        <w:t xml:space="preserve"> protein-coding genes (PCGs),</w:t>
      </w:r>
      <w:r>
        <w:rPr>
          <w:rFonts w:hint="default"/>
          <w:color w:val="FF0000"/>
          <w:sz w:val="28"/>
          <w:szCs w:val="28"/>
          <w:lang w:val="en"/>
        </w:rPr>
        <w:t xml:space="preserve"> 22</w:t>
      </w:r>
      <w:r>
        <w:rPr>
          <w:rFonts w:hint="default"/>
          <w:sz w:val="28"/>
          <w:szCs w:val="28"/>
          <w:lang w:val="en"/>
        </w:rPr>
        <w:t xml:space="preserve"> transfer RNAs (tRNAs), two ribosomal RNAs (rRNAs) and</w:t>
      </w:r>
      <w:r>
        <w:rPr>
          <w:rFonts w:hint="default"/>
          <w:sz w:val="28"/>
          <w:szCs w:val="28"/>
          <w:highlight w:val="yellow"/>
          <w:lang w:val="en"/>
        </w:rPr>
        <w:t xml:space="preserve"> </w:t>
      </w:r>
      <w:r>
        <w:rPr>
          <w:rFonts w:hint="default"/>
          <w:color w:val="C00000"/>
          <w:sz w:val="28"/>
          <w:szCs w:val="28"/>
          <w:highlight w:val="yellow"/>
          <w:lang w:val="en"/>
        </w:rPr>
        <w:t>a putative control region (CR).</w:t>
      </w:r>
      <w:r>
        <w:rPr>
          <w:rFonts w:hint="default"/>
          <w:sz w:val="28"/>
          <w:szCs w:val="28"/>
          <w:lang w:val="en"/>
        </w:rPr>
        <w:t xml:space="preserve"> The gene arrangement of C. vittiger is found to be similar to most insect mitochondrial genomes </w:t>
      </w:r>
      <w:r>
        <w:rPr>
          <w:rFonts w:hint="default"/>
          <w:color w:val="C00000"/>
          <w:sz w:val="28"/>
          <w:szCs w:val="28"/>
          <w:highlight w:val="yellow"/>
          <w:lang w:val="en"/>
        </w:rPr>
        <w:t>(Wolstenholme 1992).</w:t>
      </w:r>
    </w:p>
    <w:p>
      <w:pPr>
        <w:widowControl w:val="0"/>
        <w:numPr>
          <w:ilvl w:val="0"/>
          <w:numId w:val="0"/>
        </w:numPr>
        <w:jc w:val="both"/>
        <w:rPr>
          <w:rFonts w:hint="default"/>
          <w:sz w:val="28"/>
          <w:szCs w:val="28"/>
          <w:lang w:val="en"/>
        </w:rPr>
      </w:pPr>
    </w:p>
    <w:p>
      <w:pPr>
        <w:widowControl w:val="0"/>
        <w:numPr>
          <w:ilvl w:val="0"/>
          <w:numId w:val="0"/>
        </w:numPr>
        <w:jc w:val="both"/>
        <w:rPr>
          <w:rFonts w:hint="default"/>
          <w:sz w:val="28"/>
          <w:szCs w:val="28"/>
          <w:lang w:val="en"/>
        </w:rPr>
      </w:pPr>
      <w:r>
        <w:rPr>
          <w:rFonts w:hint="default"/>
          <w:sz w:val="28"/>
          <w:szCs w:val="28"/>
          <w:lang w:val="en"/>
        </w:rPr>
        <w:t>整个线粒体基因组包含13个蛋白编码基因(PCGs)、22个转移rna (tRNAs)、两个核糖体rna (rRNAs)和一个假定的控制区(CR)。人们发现，C. vittiger的基因排列与大多数昆虫的线粒体基因组相似(Wolstenholme 1992)。</w:t>
      </w:r>
    </w:p>
    <w:p>
      <w:pPr>
        <w:widowControl w:val="0"/>
        <w:numPr>
          <w:ilvl w:val="0"/>
          <w:numId w:val="0"/>
        </w:numPr>
        <w:jc w:val="both"/>
        <w:rPr>
          <w:rFonts w:hint="default"/>
          <w:sz w:val="28"/>
          <w:szCs w:val="28"/>
          <w:lang w:val="en"/>
        </w:rPr>
      </w:pPr>
    </w:p>
    <w:p>
      <w:pPr>
        <w:widowControl w:val="0"/>
        <w:numPr>
          <w:ilvl w:val="0"/>
          <w:numId w:val="0"/>
        </w:numPr>
        <w:jc w:val="both"/>
        <w:rPr>
          <w:rFonts w:hint="default"/>
          <w:sz w:val="28"/>
          <w:szCs w:val="28"/>
          <w:lang w:val="en"/>
        </w:rPr>
      </w:pPr>
    </w:p>
    <w:p>
      <w:pPr>
        <w:widowControl w:val="0"/>
        <w:numPr>
          <w:ilvl w:val="0"/>
          <w:numId w:val="0"/>
        </w:numPr>
        <w:jc w:val="both"/>
        <w:rPr>
          <w:rFonts w:hint="default"/>
          <w:sz w:val="28"/>
          <w:szCs w:val="28"/>
          <w:lang w:val="en"/>
        </w:rPr>
      </w:pPr>
      <w:r>
        <w:rPr>
          <w:rFonts w:hint="default"/>
          <w:sz w:val="28"/>
          <w:szCs w:val="28"/>
          <w:lang w:val="en"/>
        </w:rPr>
        <w:t xml:space="preserve">Most PCGs of C. vittiger have the conventional start codon for </w:t>
      </w:r>
      <w:r>
        <w:rPr>
          <w:rFonts w:hint="default"/>
          <w:color w:val="FF0000"/>
          <w:sz w:val="28"/>
          <w:szCs w:val="28"/>
          <w:lang w:val="en"/>
        </w:rPr>
        <w:t xml:space="preserve">invertebrate(无脊椎动物) </w:t>
      </w:r>
      <w:r>
        <w:rPr>
          <w:rFonts w:hint="default"/>
          <w:sz w:val="28"/>
          <w:szCs w:val="28"/>
          <w:lang w:val="en"/>
        </w:rPr>
        <w:t>mitochondrial PCGs (</w:t>
      </w:r>
      <w:r>
        <w:rPr>
          <w:rFonts w:hint="default"/>
          <w:color w:val="FF0000"/>
          <w:sz w:val="28"/>
          <w:szCs w:val="28"/>
          <w:lang w:val="en"/>
        </w:rPr>
        <w:t>ATN</w:t>
      </w:r>
      <w:r>
        <w:rPr>
          <w:rFonts w:hint="default"/>
          <w:sz w:val="28"/>
          <w:szCs w:val="28"/>
          <w:lang w:val="en"/>
        </w:rPr>
        <w:t xml:space="preserve">), with the </w:t>
      </w:r>
      <w:r>
        <w:rPr>
          <w:rFonts w:hint="default"/>
          <w:color w:val="auto"/>
          <w:sz w:val="28"/>
          <w:szCs w:val="28"/>
          <w:lang w:val="en"/>
        </w:rPr>
        <w:t xml:space="preserve">exception </w:t>
      </w:r>
      <w:r>
        <w:rPr>
          <w:rFonts w:hint="default"/>
          <w:sz w:val="28"/>
          <w:szCs w:val="28"/>
          <w:lang w:val="en"/>
        </w:rPr>
        <w:t>of nad1 (TTG) and the start codon of cox1 not determined. Most of the PCGs terminate with the stop codon TAA or TAG, whereas cox2, cox3, and nad5 end with the incomplete codon T. nine PCGs are encoded on the majority strand (J-strand) and four (nad5, nad4, nad4L, and nad1) on the minority strand (N-strand).</w:t>
      </w:r>
    </w:p>
    <w:p>
      <w:pPr>
        <w:widowControl w:val="0"/>
        <w:numPr>
          <w:ilvl w:val="0"/>
          <w:numId w:val="0"/>
        </w:numPr>
        <w:jc w:val="both"/>
        <w:rPr>
          <w:rFonts w:hint="default"/>
          <w:sz w:val="28"/>
          <w:szCs w:val="28"/>
          <w:lang w:val="en"/>
        </w:rPr>
      </w:pPr>
    </w:p>
    <w:p>
      <w:pPr>
        <w:widowControl w:val="0"/>
        <w:numPr>
          <w:ilvl w:val="0"/>
          <w:numId w:val="0"/>
        </w:numPr>
        <w:jc w:val="both"/>
        <w:rPr>
          <w:rFonts w:hint="default"/>
          <w:sz w:val="28"/>
          <w:szCs w:val="28"/>
          <w:lang w:val="en"/>
        </w:rPr>
      </w:pPr>
      <w:r>
        <w:rPr>
          <w:rFonts w:hint="default"/>
          <w:sz w:val="28"/>
          <w:szCs w:val="28"/>
          <w:lang w:val="en"/>
        </w:rPr>
        <w:t>除nad1 (TTG)和cox1的起始密码子未确定外，C. vittiger的大多数PCGs都具有无脊椎线粒体PCGs (ATN)的常规起始密码子。大多数PCGs以终止密码子TAA或TAG结束，而cox2、cox3和nad5以不完全密码子t结束。9个PCGs编码在多数链(j链)上，4个编码在少数链(n链)上(nad5、nad4、nad4L和nad1)。</w:t>
      </w:r>
    </w:p>
    <w:p>
      <w:pPr>
        <w:rPr>
          <w:rFonts w:hint="default"/>
          <w:sz w:val="28"/>
          <w:szCs w:val="28"/>
          <w:lang w:val="en"/>
        </w:rPr>
      </w:pPr>
      <w:r>
        <w:rPr>
          <w:rFonts w:hint="default"/>
          <w:sz w:val="28"/>
          <w:szCs w:val="28"/>
          <w:lang w:val="en"/>
        </w:rPr>
        <w:br w:type="page"/>
      </w:r>
    </w:p>
    <w:p>
      <w:pPr>
        <w:widowControl w:val="0"/>
        <w:numPr>
          <w:ilvl w:val="0"/>
          <w:numId w:val="0"/>
        </w:numPr>
        <w:jc w:val="both"/>
        <w:rPr>
          <w:rFonts w:hint="default"/>
          <w:sz w:val="28"/>
          <w:szCs w:val="28"/>
          <w:lang w:val="en"/>
        </w:rPr>
      </w:pPr>
      <w:r>
        <w:rPr>
          <w:rFonts w:hint="default"/>
          <w:sz w:val="28"/>
          <w:szCs w:val="28"/>
          <w:lang w:val="en"/>
        </w:rPr>
        <w:t>All 22 tRNA genes can be folded into the typical cloverleaf structure except for trnS1, in which the dihydrouridine (DHU) arm cannot form a stable stem-loop structure but a simple loop.</w:t>
      </w:r>
    </w:p>
    <w:p>
      <w:pPr>
        <w:widowControl w:val="0"/>
        <w:numPr>
          <w:ilvl w:val="0"/>
          <w:numId w:val="0"/>
        </w:numPr>
        <w:jc w:val="both"/>
        <w:rPr>
          <w:rFonts w:hint="default"/>
          <w:sz w:val="28"/>
          <w:szCs w:val="28"/>
          <w:lang w:val="en"/>
        </w:rPr>
      </w:pPr>
    </w:p>
    <w:p>
      <w:pPr>
        <w:widowControl w:val="0"/>
        <w:numPr>
          <w:ilvl w:val="0"/>
          <w:numId w:val="0"/>
        </w:numPr>
        <w:jc w:val="both"/>
        <w:rPr>
          <w:rFonts w:hint="default"/>
          <w:sz w:val="28"/>
          <w:szCs w:val="28"/>
          <w:lang w:val="en"/>
        </w:rPr>
      </w:pPr>
      <w:r>
        <w:rPr>
          <w:rFonts w:hint="default"/>
          <w:sz w:val="28"/>
          <w:szCs w:val="28"/>
          <w:lang w:val="en"/>
        </w:rPr>
        <w:t>除trnS1外，所有22个tRNA基因均可折叠成典型的三叶草结构，其中双水吖啶(东华大学)臂不能形成稳定的茎环结构，只能形成简单的环。</w:t>
      </w:r>
    </w:p>
    <w:p>
      <w:pPr>
        <w:widowControl w:val="0"/>
        <w:numPr>
          <w:ilvl w:val="0"/>
          <w:numId w:val="0"/>
        </w:numPr>
        <w:jc w:val="both"/>
        <w:rPr>
          <w:rFonts w:hint="default"/>
          <w:sz w:val="28"/>
          <w:szCs w:val="28"/>
          <w:lang w:val="en"/>
        </w:rPr>
      </w:pPr>
    </w:p>
    <w:p>
      <w:pPr>
        <w:widowControl w:val="0"/>
        <w:numPr>
          <w:ilvl w:val="0"/>
          <w:numId w:val="0"/>
        </w:numPr>
        <w:jc w:val="both"/>
        <w:rPr>
          <w:rFonts w:hint="default"/>
          <w:sz w:val="28"/>
          <w:szCs w:val="28"/>
          <w:lang w:val="en"/>
        </w:rPr>
      </w:pPr>
      <w:r>
        <w:rPr>
          <w:rFonts w:hint="default"/>
          <w:sz w:val="28"/>
          <w:szCs w:val="28"/>
          <w:lang w:val="en"/>
        </w:rPr>
        <w:t>Two rRNA genes (rrnL and rrnS) locate at trnL1/trnV and trnV/control regions, respectively, and both rRNA genes are encoded on the N-strand.</w:t>
      </w:r>
    </w:p>
    <w:p>
      <w:pPr>
        <w:widowControl w:val="0"/>
        <w:numPr>
          <w:ilvl w:val="0"/>
          <w:numId w:val="0"/>
        </w:numPr>
        <w:jc w:val="both"/>
        <w:rPr>
          <w:rFonts w:hint="default"/>
          <w:sz w:val="28"/>
          <w:szCs w:val="28"/>
          <w:lang w:val="en"/>
        </w:rPr>
      </w:pPr>
    </w:p>
    <w:p>
      <w:pPr>
        <w:widowControl w:val="0"/>
        <w:numPr>
          <w:ilvl w:val="0"/>
          <w:numId w:val="0"/>
        </w:numPr>
        <w:jc w:val="both"/>
        <w:rPr>
          <w:rFonts w:hint="default"/>
          <w:sz w:val="28"/>
          <w:szCs w:val="28"/>
          <w:lang w:val="en"/>
        </w:rPr>
      </w:pPr>
      <w:r>
        <w:rPr>
          <w:rFonts w:hint="default"/>
          <w:sz w:val="28"/>
          <w:szCs w:val="28"/>
          <w:lang w:val="en"/>
        </w:rPr>
        <w:t>两个rRNA基因（rrnL和rrnS）分别位于trnL1 / trnV和trnV / control区域，并且两个rRNA基因都编码在N链上。</w:t>
      </w:r>
    </w:p>
    <w:p>
      <w:pPr>
        <w:rPr>
          <w:rFonts w:hint="default"/>
          <w:sz w:val="28"/>
          <w:szCs w:val="28"/>
          <w:lang w:val="en"/>
        </w:rPr>
      </w:pPr>
      <w:r>
        <w:rPr>
          <w:rFonts w:hint="default"/>
          <w:sz w:val="28"/>
          <w:szCs w:val="28"/>
          <w:lang w:val="en"/>
        </w:rPr>
        <w:br w:type="page"/>
      </w:r>
    </w:p>
    <w:p>
      <w:pPr>
        <w:widowControl w:val="0"/>
        <w:numPr>
          <w:ilvl w:val="0"/>
          <w:numId w:val="0"/>
        </w:numPr>
        <w:jc w:val="both"/>
        <w:rPr>
          <w:rFonts w:hint="default"/>
          <w:sz w:val="28"/>
          <w:szCs w:val="28"/>
          <w:lang w:val="en"/>
        </w:rPr>
      </w:pPr>
      <w:r>
        <w:rPr>
          <w:rFonts w:hint="default"/>
          <w:sz w:val="28"/>
          <w:szCs w:val="28"/>
          <w:lang w:val="en"/>
        </w:rPr>
        <w:t>The lengths of the two rRNA genes (rrnL and rrnS) in C. vittiger are about 1283 and 736 bp, with the A + T contents of 78.7% and 75.9%, respectively. The length of control region is 1230 bp, with the AT content of this region is up to 81.9%.</w:t>
      </w:r>
    </w:p>
    <w:p>
      <w:pPr>
        <w:widowControl w:val="0"/>
        <w:numPr>
          <w:ilvl w:val="0"/>
          <w:numId w:val="0"/>
        </w:numPr>
        <w:jc w:val="both"/>
        <w:rPr>
          <w:rFonts w:hint="default"/>
          <w:sz w:val="28"/>
          <w:szCs w:val="28"/>
          <w:lang w:val="en"/>
        </w:rPr>
      </w:pPr>
    </w:p>
    <w:p>
      <w:pPr>
        <w:widowControl w:val="0"/>
        <w:numPr>
          <w:ilvl w:val="0"/>
          <w:numId w:val="0"/>
        </w:numPr>
        <w:jc w:val="both"/>
        <w:rPr>
          <w:rFonts w:hint="default"/>
          <w:sz w:val="28"/>
          <w:szCs w:val="28"/>
          <w:lang w:val="en"/>
        </w:rPr>
      </w:pPr>
      <w:r>
        <w:rPr>
          <w:rFonts w:hint="default"/>
          <w:sz w:val="28"/>
          <w:szCs w:val="28"/>
          <w:lang w:val="en"/>
        </w:rPr>
        <w:t>C. vittiger中两个rRNA基因(rrnL和rrnS)的长度约为1283 bp和736 bp, A + T含量分别为78.7%和75.9%。控制区长度为1230 bp，该区域AT含量达81.9%。</w:t>
      </w:r>
    </w:p>
    <w:p>
      <w:pPr>
        <w:widowControl w:val="0"/>
        <w:numPr>
          <w:ilvl w:val="0"/>
          <w:numId w:val="0"/>
        </w:numPr>
        <w:jc w:val="both"/>
        <w:rPr>
          <w:rFonts w:hint="default"/>
          <w:sz w:val="28"/>
          <w:szCs w:val="28"/>
          <w:lang w:val="en"/>
        </w:rPr>
      </w:pPr>
    </w:p>
    <w:p>
      <w:pPr>
        <w:widowControl w:val="0"/>
        <w:numPr>
          <w:ilvl w:val="0"/>
          <w:numId w:val="0"/>
        </w:numPr>
        <w:jc w:val="both"/>
        <w:rPr>
          <w:rFonts w:hint="default"/>
          <w:sz w:val="28"/>
          <w:szCs w:val="28"/>
          <w:lang w:val="en"/>
        </w:rPr>
      </w:pPr>
      <w:r>
        <w:rPr>
          <w:rFonts w:hint="default"/>
          <w:sz w:val="28"/>
          <w:szCs w:val="28"/>
          <w:lang w:val="en"/>
        </w:rPr>
        <w:t>Results showed that the family Elateridae is monophyletic and the genus Chiagosnius Fleutiaux is sister to Melanotus Eschlscholtz (Figure 1), which was consistent with the previous studies (Lin et al. 2018; Meng et al. 2018; Wang et al. 2019).</w:t>
      </w:r>
    </w:p>
    <w:p>
      <w:pPr>
        <w:widowControl w:val="0"/>
        <w:numPr>
          <w:ilvl w:val="0"/>
          <w:numId w:val="0"/>
        </w:numPr>
        <w:jc w:val="both"/>
        <w:rPr>
          <w:rFonts w:hint="default"/>
          <w:sz w:val="28"/>
          <w:szCs w:val="28"/>
          <w:lang w:val="en"/>
        </w:rPr>
      </w:pPr>
    </w:p>
    <w:p>
      <w:pPr>
        <w:widowControl w:val="0"/>
        <w:numPr>
          <w:ilvl w:val="0"/>
          <w:numId w:val="0"/>
        </w:numPr>
        <w:jc w:val="both"/>
        <w:rPr>
          <w:rFonts w:hint="default"/>
          <w:sz w:val="28"/>
          <w:szCs w:val="28"/>
          <w:lang w:val="en"/>
        </w:rPr>
      </w:pPr>
      <w:r>
        <w:rPr>
          <w:rFonts w:hint="default"/>
          <w:sz w:val="28"/>
          <w:szCs w:val="28"/>
          <w:lang w:val="en"/>
        </w:rPr>
        <w:t>结果表明，Elateridae为单系，Chiagosnius Fleutiaux属是Melanotus Eschlscholtz的姊妹(图1)，这与以往的研究一致(Lin et al. 2018;孟等，2018;Wang et al. 2019)。</w:t>
      </w:r>
    </w:p>
    <w:p>
      <w:pPr>
        <w:rPr>
          <w:rFonts w:hint="default"/>
          <w:sz w:val="28"/>
          <w:szCs w:val="28"/>
          <w:lang w:val="en"/>
        </w:rPr>
      </w:pPr>
      <w:r>
        <w:rPr>
          <w:rFonts w:hint="default"/>
          <w:sz w:val="28"/>
          <w:szCs w:val="28"/>
          <w:lang w:val="en"/>
        </w:rPr>
        <w:br w:type="page"/>
      </w:r>
    </w:p>
    <w:p>
      <w:pPr>
        <w:widowControl w:val="0"/>
        <w:numPr>
          <w:ilvl w:val="0"/>
          <w:numId w:val="0"/>
        </w:numPr>
        <w:jc w:val="both"/>
        <w:rPr>
          <w:rFonts w:hint="default"/>
          <w:sz w:val="28"/>
          <w:szCs w:val="28"/>
          <w:lang w:val="en"/>
        </w:rPr>
      </w:pPr>
      <w:r>
        <w:rPr>
          <w:rFonts w:hint="default"/>
          <w:sz w:val="28"/>
          <w:szCs w:val="28"/>
          <w:lang w:val="en"/>
        </w:rPr>
        <w:t>As a conclusion, we obtained and described the complete mitochondrial genome of C. vittiger, which constitute a valuable and useful resource for population genetic study and identification efforts on this species.</w:t>
      </w:r>
    </w:p>
    <w:p>
      <w:pPr>
        <w:widowControl w:val="0"/>
        <w:numPr>
          <w:ilvl w:val="0"/>
          <w:numId w:val="0"/>
        </w:numPr>
        <w:jc w:val="both"/>
        <w:rPr>
          <w:rFonts w:hint="default"/>
          <w:sz w:val="28"/>
          <w:szCs w:val="28"/>
          <w:lang w:val="en"/>
        </w:rPr>
      </w:pPr>
    </w:p>
    <w:p>
      <w:pPr>
        <w:widowControl w:val="0"/>
        <w:numPr>
          <w:ilvl w:val="0"/>
          <w:numId w:val="0"/>
        </w:numPr>
        <w:jc w:val="both"/>
        <w:rPr>
          <w:rFonts w:hint="default"/>
          <w:sz w:val="28"/>
          <w:szCs w:val="28"/>
          <w:lang w:val="en"/>
        </w:rPr>
      </w:pPr>
      <w:r>
        <w:rPr>
          <w:rFonts w:hint="default"/>
          <w:sz w:val="28"/>
          <w:szCs w:val="28"/>
          <w:lang w:val="en"/>
        </w:rPr>
        <w:t>作为结论，我们获得并描述了C. vittiger的完整线粒体基因组，这为该物种的种群遗传学研究和鉴定工作提供了宝贵和有用的资源。</w:t>
      </w:r>
    </w:p>
    <w:p>
      <w:pPr>
        <w:widowControl w:val="0"/>
        <w:numPr>
          <w:ilvl w:val="0"/>
          <w:numId w:val="0"/>
        </w:numPr>
        <w:jc w:val="both"/>
        <w:rPr>
          <w:rFonts w:hint="default"/>
          <w:sz w:val="28"/>
          <w:szCs w:val="28"/>
          <w:lang w:val="en"/>
        </w:rPr>
      </w:pPr>
    </w:p>
    <w:p>
      <w:pPr>
        <w:widowControl w:val="0"/>
        <w:numPr>
          <w:ilvl w:val="0"/>
          <w:numId w:val="0"/>
        </w:numPr>
        <w:jc w:val="both"/>
        <w:rPr>
          <w:rFonts w:hint="default"/>
          <w:sz w:val="28"/>
          <w:szCs w:val="28"/>
          <w:lang w:val="en"/>
        </w:rPr>
      </w:pPr>
      <w:r>
        <w:rPr>
          <w:rFonts w:hint="default"/>
          <w:sz w:val="28"/>
          <w:szCs w:val="28"/>
          <w:lang w:val="en"/>
        </w:rPr>
        <w:t>Figure 1. Phylogenetic relationships based on the 13 mitochondrial protein-coding genes sequences inferred from RaxML. Numbers on branches are bootstrap values (BV).</w:t>
      </w:r>
    </w:p>
    <w:p>
      <w:pPr>
        <w:widowControl w:val="0"/>
        <w:numPr>
          <w:ilvl w:val="0"/>
          <w:numId w:val="0"/>
        </w:numPr>
        <w:jc w:val="both"/>
        <w:rPr>
          <w:rFonts w:hint="default"/>
          <w:sz w:val="28"/>
          <w:szCs w:val="28"/>
          <w:lang w:val="en"/>
        </w:rPr>
      </w:pPr>
    </w:p>
    <w:p>
      <w:pPr>
        <w:widowControl w:val="0"/>
        <w:numPr>
          <w:ilvl w:val="0"/>
          <w:numId w:val="0"/>
        </w:numPr>
        <w:jc w:val="both"/>
        <w:rPr>
          <w:rFonts w:hint="default"/>
          <w:sz w:val="28"/>
          <w:szCs w:val="28"/>
          <w:lang w:val="en"/>
        </w:rPr>
      </w:pPr>
      <w:r>
        <w:rPr>
          <w:rFonts w:hint="default"/>
          <w:sz w:val="28"/>
          <w:szCs w:val="28"/>
          <w:lang w:val="en"/>
        </w:rPr>
        <w:t>图1所示。基于13个线粒体蛋白编码基因序列的系统发育关系。分支上的数字是引导值(BV)。</w:t>
      </w:r>
    </w:p>
    <w:p>
      <w:pPr>
        <w:widowControl w:val="0"/>
        <w:numPr>
          <w:ilvl w:val="0"/>
          <w:numId w:val="0"/>
        </w:numPr>
        <w:jc w:val="both"/>
        <w:rPr>
          <w:rFonts w:hint="default"/>
          <w:sz w:val="28"/>
          <w:szCs w:val="28"/>
          <w:lang w:val="en"/>
        </w:rPr>
      </w:pPr>
    </w:p>
    <w:p>
      <w:pPr>
        <w:rPr>
          <w:rFonts w:hint="default"/>
          <w:sz w:val="28"/>
          <w:szCs w:val="28"/>
          <w:lang w:val="en"/>
        </w:rPr>
      </w:pPr>
      <w:r>
        <w:rPr>
          <w:rFonts w:hint="default"/>
          <w:sz w:val="28"/>
          <w:szCs w:val="28"/>
          <w:lang w:val="en"/>
        </w:rPr>
        <w:br w:type="page"/>
      </w:r>
    </w:p>
    <w:p>
      <w:pPr>
        <w:jc w:val="both"/>
        <w:rPr>
          <w:rFonts w:hint="default"/>
          <w:sz w:val="28"/>
          <w:szCs w:val="28"/>
          <w:lang w:val="en"/>
        </w:rPr>
      </w:pPr>
      <w:r>
        <w:rPr>
          <w:rFonts w:hint="default"/>
          <w:sz w:val="28"/>
          <w:szCs w:val="28"/>
          <w:lang w:val="en"/>
        </w:rPr>
        <w:t>In this study, we determined the complete mitochondrial genome sequence of click beetle Chiagosnius vittiger (Heyden, 1887) (GenBank accession no. MN306531) using next-generation sequencing (NGS) method.</w:t>
      </w:r>
    </w:p>
    <w:p>
      <w:pPr>
        <w:jc w:val="both"/>
        <w:rPr>
          <w:rFonts w:hint="default"/>
          <w:sz w:val="28"/>
          <w:szCs w:val="28"/>
          <w:lang w:val="en"/>
        </w:rPr>
      </w:pPr>
    </w:p>
    <w:p>
      <w:pPr>
        <w:jc w:val="both"/>
        <w:rPr>
          <w:rFonts w:hint="default"/>
          <w:sz w:val="28"/>
          <w:szCs w:val="28"/>
          <w:lang w:val="en"/>
        </w:rPr>
      </w:pPr>
      <w:r>
        <w:rPr>
          <w:rFonts w:hint="default"/>
          <w:sz w:val="28"/>
          <w:szCs w:val="28"/>
          <w:lang w:val="en"/>
        </w:rPr>
        <w:t>在本研究中，我们测定了赤蝽的全线粒体基因组序列(Heyden, 1887)。采用新一代测序(NGS)方法。</w:t>
      </w:r>
    </w:p>
    <w:p>
      <w:pPr>
        <w:jc w:val="both"/>
        <w:rPr>
          <w:rFonts w:hint="default"/>
          <w:sz w:val="28"/>
          <w:szCs w:val="28"/>
          <w:lang w:val="en"/>
        </w:rPr>
      </w:pPr>
      <w:r>
        <w:rPr>
          <w:rFonts w:hint="default"/>
          <w:sz w:val="28"/>
          <w:szCs w:val="28"/>
          <w:lang w:val="en"/>
        </w:rPr>
        <w:t>Elateridae commonly known as click beetles and contains approximately 10,000 species (Johnson 2002). Chiagosnius vittiger, with dark brown oval marking in the middle of pronotum, mainly distributed in southern China and East Asia (Jiang and Wang 1999). Here, we determined the complete mitochondrial genome of C. vittiger, which is the second mitochondrial genome sequenced to date in the genus of Chiagosnius Fleutiaux, and the first one is Chiagosnius sulcicollis (Wang et al. 2019).</w:t>
      </w:r>
    </w:p>
    <w:p>
      <w:pPr>
        <w:jc w:val="both"/>
        <w:rPr>
          <w:rFonts w:hint="default"/>
          <w:sz w:val="28"/>
          <w:szCs w:val="28"/>
          <w:lang w:val="en"/>
        </w:rPr>
      </w:pPr>
    </w:p>
    <w:p>
      <w:pPr>
        <w:jc w:val="both"/>
        <w:rPr>
          <w:rFonts w:hint="default"/>
          <w:sz w:val="28"/>
          <w:szCs w:val="28"/>
          <w:lang w:val="en"/>
        </w:rPr>
      </w:pPr>
      <w:r>
        <w:rPr>
          <w:rFonts w:hint="default"/>
          <w:sz w:val="28"/>
          <w:szCs w:val="28"/>
          <w:lang w:val="en"/>
        </w:rPr>
        <w:t>金龟子科，俗称点击甲虫，约有10000种(Johnson 2002)。叉头龙，在叉头龙中间有深棕色的椭圆形斑纹，主要分布于中国南部和东亚地区(Jiang和Wang 1999)。在这里，我们确定了C. vittiger的完整线粒体基因组，这是迄今为止在雪狐属中测序的第二个线粒体基因组，第一个是雪狐属(Chiagosnius sulcicollis, Wang et al. 2019)。</w:t>
      </w:r>
    </w:p>
    <w:p>
      <w:pPr>
        <w:rPr>
          <w:rFonts w:hint="default"/>
          <w:sz w:val="28"/>
          <w:szCs w:val="28"/>
          <w:lang w:val="en"/>
        </w:rPr>
      </w:pPr>
      <w:r>
        <w:rPr>
          <w:rFonts w:hint="default"/>
          <w:sz w:val="28"/>
          <w:szCs w:val="28"/>
          <w:lang w:val="en"/>
        </w:rPr>
        <w:br w:type="page"/>
      </w:r>
    </w:p>
    <w:p>
      <w:pPr>
        <w:jc w:val="both"/>
        <w:rPr>
          <w:rFonts w:hint="default"/>
          <w:sz w:val="28"/>
          <w:szCs w:val="28"/>
          <w:lang w:val="en"/>
        </w:rPr>
      </w:pPr>
      <w:r>
        <w:rPr>
          <w:rFonts w:hint="default"/>
          <w:sz w:val="28"/>
          <w:szCs w:val="28"/>
          <w:lang w:val="en"/>
        </w:rPr>
        <w:t>样本标本于2018年5月从中国海南剑峰岭国家级自然保护区（北纬18°44′，东经108°54′）采集。标本存放在商洛大学昆虫学标本室（优惠券编号：CO- 2018229）。 线粒体DNA的完整序列通过Illumina HiSeq 2500测序系统（Illumina，圣地亚哥，加利福尼亚，美国）确定。 使用MITObim版本1.7（https://github.com/chrishah/MITObim）（Hahn等人，2013），总共获得了5.6μG的原始读物，对其进行了质量修剪和组装。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icrosoft YaHei">
    <w:panose1 w:val="020B0503020204020204"/>
    <w:charset w:val="86"/>
    <w:family w:val="auto"/>
    <w:pitch w:val="default"/>
    <w:sig w:usb0="80000287" w:usb1="28CF3C50" w:usb2="00000016" w:usb3="00000000" w:csb0="0004001F" w:csb1="00000000"/>
  </w:font>
  <w:font w:name="AR PL UKai CN">
    <w:panose1 w:val="02000503000000000000"/>
    <w:charset w:val="86"/>
    <w:family w:val="auto"/>
    <w:pitch w:val="default"/>
    <w:sig w:usb0="A00002FF" w:usb1="3ACFFDFF" w:usb2="00000036" w:usb3="00000000" w:csb0="2016009F" w:csb1="DFD7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F71CBB"/>
    <w:multiLevelType w:val="singleLevel"/>
    <w:tmpl w:val="79F71CBB"/>
    <w:lvl w:ilvl="0" w:tentative="0">
      <w:start w:val="3"/>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057F6674"/>
    <w:rsid w:val="0F7DD371"/>
    <w:rsid w:val="0FA67668"/>
    <w:rsid w:val="17BFBE68"/>
    <w:rsid w:val="1AFB8A18"/>
    <w:rsid w:val="2F1DB1A2"/>
    <w:rsid w:val="377F979E"/>
    <w:rsid w:val="37FBA7E9"/>
    <w:rsid w:val="39F7F5AD"/>
    <w:rsid w:val="3AEF7FDE"/>
    <w:rsid w:val="3EF439D8"/>
    <w:rsid w:val="3F1D54CE"/>
    <w:rsid w:val="3FEB9561"/>
    <w:rsid w:val="4A1947CF"/>
    <w:rsid w:val="4FFD38E5"/>
    <w:rsid w:val="51F7661F"/>
    <w:rsid w:val="5AF73E22"/>
    <w:rsid w:val="5B772F01"/>
    <w:rsid w:val="5DFF4640"/>
    <w:rsid w:val="5F372DF9"/>
    <w:rsid w:val="5F7F5F41"/>
    <w:rsid w:val="5FD7251C"/>
    <w:rsid w:val="5FFB5625"/>
    <w:rsid w:val="5FFFB643"/>
    <w:rsid w:val="65FBC1CB"/>
    <w:rsid w:val="6EDF5861"/>
    <w:rsid w:val="6F7F0B15"/>
    <w:rsid w:val="6F9E733D"/>
    <w:rsid w:val="6FBDA7CF"/>
    <w:rsid w:val="6FBF8BE8"/>
    <w:rsid w:val="6FFE3B96"/>
    <w:rsid w:val="707D332E"/>
    <w:rsid w:val="732BE767"/>
    <w:rsid w:val="73EEC30A"/>
    <w:rsid w:val="73F30D96"/>
    <w:rsid w:val="757BF365"/>
    <w:rsid w:val="75F6038E"/>
    <w:rsid w:val="77F932C4"/>
    <w:rsid w:val="77FD5EF0"/>
    <w:rsid w:val="78FFE1A6"/>
    <w:rsid w:val="79DD34E9"/>
    <w:rsid w:val="7BA719F5"/>
    <w:rsid w:val="7BFB9DC1"/>
    <w:rsid w:val="7BFBB7F6"/>
    <w:rsid w:val="7D5DC02A"/>
    <w:rsid w:val="7DDF2479"/>
    <w:rsid w:val="7E7E25B9"/>
    <w:rsid w:val="7F736B83"/>
    <w:rsid w:val="7F772D17"/>
    <w:rsid w:val="7F8DDFC9"/>
    <w:rsid w:val="7FA7EDFB"/>
    <w:rsid w:val="7FCF4DCB"/>
    <w:rsid w:val="7FEFE99E"/>
    <w:rsid w:val="7FFB9A16"/>
    <w:rsid w:val="7FFD248B"/>
    <w:rsid w:val="7FFE5A0B"/>
    <w:rsid w:val="7FFF3F0F"/>
    <w:rsid w:val="8ADF705E"/>
    <w:rsid w:val="8F6F1D36"/>
    <w:rsid w:val="96B7E9B0"/>
    <w:rsid w:val="97D7B99D"/>
    <w:rsid w:val="9CFC190D"/>
    <w:rsid w:val="9DBFAE59"/>
    <w:rsid w:val="9EDF351D"/>
    <w:rsid w:val="9EFFC5CE"/>
    <w:rsid w:val="B7F57264"/>
    <w:rsid w:val="BD1BEC20"/>
    <w:rsid w:val="BD6F0CE2"/>
    <w:rsid w:val="BE6B8EF2"/>
    <w:rsid w:val="BEDA42E5"/>
    <w:rsid w:val="BEE709F1"/>
    <w:rsid w:val="BF7FECBB"/>
    <w:rsid w:val="BFBF7CC6"/>
    <w:rsid w:val="BFF8FF4E"/>
    <w:rsid w:val="C7F3ABF6"/>
    <w:rsid w:val="CB6729AD"/>
    <w:rsid w:val="CBEEFC2A"/>
    <w:rsid w:val="D5D67006"/>
    <w:rsid w:val="D6F99F4C"/>
    <w:rsid w:val="DB1FC266"/>
    <w:rsid w:val="DBFFCB3E"/>
    <w:rsid w:val="DDFE08C7"/>
    <w:rsid w:val="DDFF3B57"/>
    <w:rsid w:val="DE8DD1FB"/>
    <w:rsid w:val="DF6F6EBC"/>
    <w:rsid w:val="DFBFC271"/>
    <w:rsid w:val="DFFF44D8"/>
    <w:rsid w:val="E5DF3976"/>
    <w:rsid w:val="E5FFAABD"/>
    <w:rsid w:val="E77E722F"/>
    <w:rsid w:val="EBF127E0"/>
    <w:rsid w:val="EBFD35FE"/>
    <w:rsid w:val="ECAF4B02"/>
    <w:rsid w:val="ECFF93D6"/>
    <w:rsid w:val="EDBD1C89"/>
    <w:rsid w:val="EE772CFE"/>
    <w:rsid w:val="EF2DADE1"/>
    <w:rsid w:val="EFDFD289"/>
    <w:rsid w:val="EFF7ECCE"/>
    <w:rsid w:val="EFFFF503"/>
    <w:rsid w:val="F1FF5D3D"/>
    <w:rsid w:val="F2BB38D9"/>
    <w:rsid w:val="F2D281A1"/>
    <w:rsid w:val="F3BF4EB1"/>
    <w:rsid w:val="F3FCF785"/>
    <w:rsid w:val="F64EE62D"/>
    <w:rsid w:val="F76FC32B"/>
    <w:rsid w:val="F7E623D8"/>
    <w:rsid w:val="F7F18E0E"/>
    <w:rsid w:val="F9FE94B5"/>
    <w:rsid w:val="FCBF8FE0"/>
    <w:rsid w:val="FD379B2B"/>
    <w:rsid w:val="FDB26A6A"/>
    <w:rsid w:val="FDEFE8B4"/>
    <w:rsid w:val="FDFD6648"/>
    <w:rsid w:val="FDFE59EF"/>
    <w:rsid w:val="FDFF19DF"/>
    <w:rsid w:val="FE7686FD"/>
    <w:rsid w:val="FEB7E7E7"/>
    <w:rsid w:val="FEBF5D52"/>
    <w:rsid w:val="FEEBB7D2"/>
    <w:rsid w:val="FEFBD3AA"/>
    <w:rsid w:val="FFE72A28"/>
    <w:rsid w:val="FFEFEEBB"/>
    <w:rsid w:val="FFFE4DA9"/>
    <w:rsid w:val="FFFFB8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Microsoft YaHei" w:hAnsi="Microsoft YaHei" w:eastAsiaTheme="minorEastAsia" w:cstheme="minorBidi"/>
      <w:kern w:val="2"/>
      <w:sz w:val="28"/>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4">
    <w:name w:val="Hyperlink"/>
    <w:basedOn w:val="3"/>
    <w:qFormat/>
    <w:uiPriority w:val="0"/>
    <w:rPr>
      <w:color w:val="0000FF"/>
      <w:u w:val="single"/>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2018-07-12T15:11:00Z</dcterms:created>
  <dc:creator>d</dc:creator>
  <cp:lastModifiedBy>wy</cp:lastModifiedBy>
  <dcterms:modified xsi:type="dcterms:W3CDTF">2019-12-19T16:05:11Z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