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黑体" w:hAnsi="宋体" w:eastAsia="黑体" w:cs="黑体"/>
          <w:i w:val="0"/>
          <w:iCs w:val="0"/>
          <w:caps w:val="0"/>
          <w:color w:val="020202"/>
          <w:spacing w:val="0"/>
          <w:sz w:val="39"/>
          <w:szCs w:val="39"/>
          <w:shd w:val="clear" w:fill="FFFFFF"/>
        </w:rPr>
      </w:pPr>
      <w:r>
        <w:rPr>
          <w:rFonts w:hint="eastAsia" w:ascii="黑体" w:hAnsi="宋体" w:eastAsia="黑体" w:cs="黑体"/>
          <w:i w:val="0"/>
          <w:iCs w:val="0"/>
          <w:caps w:val="0"/>
          <w:color w:val="020202"/>
          <w:spacing w:val="0"/>
          <w:sz w:val="39"/>
          <w:szCs w:val="39"/>
          <w:shd w:val="clear" w:fill="FFFFFF"/>
        </w:rPr>
        <w:fldChar w:fldCharType="begin"/>
      </w:r>
      <w:r>
        <w:rPr>
          <w:rFonts w:hint="eastAsia" w:ascii="黑体" w:hAnsi="宋体" w:eastAsia="黑体" w:cs="黑体"/>
          <w:i w:val="0"/>
          <w:iCs w:val="0"/>
          <w:caps w:val="0"/>
          <w:color w:val="020202"/>
          <w:spacing w:val="0"/>
          <w:sz w:val="39"/>
          <w:szCs w:val="39"/>
          <w:shd w:val="clear" w:fill="FFFFFF"/>
        </w:rPr>
        <w:instrText xml:space="preserve"> HYPERLINK "http://www.scdsjzx.cn/scdsjzx/ziliaoxiazai/2021/12/15/f80d7152666d48b490286bfcd31e99e9.shtml" </w:instrText>
      </w:r>
      <w:r>
        <w:rPr>
          <w:rFonts w:hint="eastAsia" w:ascii="黑体" w:hAnsi="宋体" w:eastAsia="黑体" w:cs="黑体"/>
          <w:i w:val="0"/>
          <w:iCs w:val="0"/>
          <w:caps w:val="0"/>
          <w:color w:val="020202"/>
          <w:spacing w:val="0"/>
          <w:sz w:val="39"/>
          <w:szCs w:val="39"/>
          <w:shd w:val="clear" w:fill="FFFFFF"/>
        </w:rPr>
        <w:fldChar w:fldCharType="separate"/>
      </w:r>
      <w:r>
        <w:rPr>
          <w:rStyle w:val="5"/>
          <w:rFonts w:hint="eastAsia" w:ascii="黑体" w:hAnsi="宋体" w:eastAsia="黑体" w:cs="黑体"/>
          <w:i w:val="0"/>
          <w:iCs w:val="0"/>
          <w:caps w:val="0"/>
          <w:spacing w:val="0"/>
          <w:sz w:val="39"/>
          <w:szCs w:val="39"/>
          <w:shd w:val="clear" w:fill="FFFFFF"/>
        </w:rPr>
        <w:t>http://www.scdsjzx.cn/scdsjzx/ziliaoxiazai/2021/12/15/f80d7152666d48b490286bfcd31e99e9.shtml</w:t>
      </w:r>
      <w:r>
        <w:rPr>
          <w:rFonts w:hint="eastAsia" w:ascii="黑体" w:hAnsi="宋体" w:eastAsia="黑体" w:cs="黑体"/>
          <w:i w:val="0"/>
          <w:iCs w:val="0"/>
          <w:caps w:val="0"/>
          <w:color w:val="020202"/>
          <w:spacing w:val="0"/>
          <w:sz w:val="39"/>
          <w:szCs w:val="39"/>
          <w:shd w:val="clear" w:fill="FFFFFF"/>
        </w:rPr>
        <w:fldChar w:fldCharType="end"/>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黑体" w:hAnsi="宋体" w:eastAsia="黑体" w:cs="黑体"/>
          <w:i w:val="0"/>
          <w:iCs w:val="0"/>
          <w:caps w:val="0"/>
          <w:color w:val="020202"/>
          <w:spacing w:val="0"/>
          <w:sz w:val="39"/>
          <w:szCs w:val="39"/>
          <w:shd w:val="clear" w:fill="FFFFFF"/>
        </w:rPr>
      </w:pP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黑体" w:hAnsi="宋体" w:eastAsia="黑体" w:cs="黑体"/>
          <w:i w:val="0"/>
          <w:iCs w:val="0"/>
          <w:caps w:val="0"/>
          <w:color w:val="020202"/>
          <w:spacing w:val="0"/>
          <w:sz w:val="39"/>
          <w:szCs w:val="39"/>
          <w:shd w:val="clear" w:fill="FFFFFF"/>
        </w:rPr>
      </w:pPr>
      <w:r>
        <w:rPr>
          <w:rFonts w:hint="eastAsia" w:ascii="黑体" w:hAnsi="宋体" w:eastAsia="黑体" w:cs="黑体"/>
          <w:i w:val="0"/>
          <w:iCs w:val="0"/>
          <w:caps w:val="0"/>
          <w:color w:val="020202"/>
          <w:spacing w:val="0"/>
          <w:sz w:val="39"/>
          <w:szCs w:val="39"/>
          <w:shd w:val="clear" w:fill="FFFFFF"/>
        </w:rPr>
        <w:t>http://www.scdsjzx.cn/scdsjzx/shuzizhaoshang/2022/2/28/d5cde6bec72148b3abacdd20f75f5d89.shtml</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shd w:val="clear" w:fill="FFFFFF"/>
        </w:rPr>
      </w:pPr>
      <w:r>
        <w:rPr>
          <w:rFonts w:ascii="黑体" w:hAnsi="宋体" w:eastAsia="黑体" w:cs="黑体"/>
          <w:i w:val="0"/>
          <w:iCs w:val="0"/>
          <w:caps w:val="0"/>
          <w:color w:val="020202"/>
          <w:spacing w:val="0"/>
          <w:sz w:val="39"/>
          <w:szCs w:val="39"/>
          <w:shd w:val="clear" w:fill="FFFFFF"/>
        </w:rPr>
        <w:t>我国数字经济发展的主要特点和突出优势</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shd w:val="clear" w:fill="FFFFFF"/>
        </w:rPr>
      </w:pP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近年来，我国数字经济在政策扶持和市场推动下实现了跨越式发展，规模稳步扩大，占GDP比重不断提升，我国全球数字经济大国的地位得到进一步巩固。中国信通院发布的《中国数字经济发展白皮书（2021）》显示，在新冠肺炎疫情冲击和全球经济下行叠加影响下，2020年我国数字经济依然保持9.7%的高位增长，是同期GDP名义增速的3.2倍多，规模达到39.2万亿元，占GDP的比重为38.6%。</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数字经济作为推动经济复苏的新动能和新引擎，已经成为世界范围内最显着的新经济增长极，是当前世界各国重点关注和发展的核心领域，全球各国在数字经济领域的竞争也日趋激烈。党的十九届五中全会提出，要“发展数字经济，推进数字产业化和产业数字化，推动数字经济和实体经济深度融合，打造具有国际竞争力的数字产业集群”，这充分体现了我国大力发展数字经济的决心。基于此，有必要总结分析我国发展数字经济的前期基础性成果，客观认识今后发展数字经济的独特优势，进一步提升我国数字经济竞争力。</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现阶段，我国数字经济发展呈现以下四大特点</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数字产业化稳步发展</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信息基础设施建设取得跨越式发展。当前，我国已经建成了全球规模最大的光纤网络和4G网络，全国范围内行政村通4G及光纤的比例超过98%，固定宽带移动LTE网络IPv6升级改造也已全面完成。在数据基础设施建设方面，近年来，新一代云计算平台设施正加速构建，多方向大容量的国际传输网络架构也已基本形成，为数字经济新兴业态和融合应用提供了强大支撑与保障，有力推动了数字产业化高质量发展。</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数字化消费新业态新模式加快形成。在抗击新冠肺炎疫情期间，数字技术和数字化服务发挥了重要作用，显示出更为广阔的应用前景以及更加强劲的增长动力，消费者的在线消费习惯也得到了进一步培养，重量级消费新形态正在加快形成。其中，远程办公、在线教育、智慧医疗、电子政务等各类线上服务在疫情期间实现了爆发式增长，数字经济的优势进一步凸显。此外，在5G等新兴数字技术支持下，数字媒体、智能家居等消费新模式也正迎来快速发展时期。</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产业数字化进程提速</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数字技术创新助推产业转型升级。近年来，我国在人工智能、深度学习、大数据与云计算等数字技术领域的研发取得较大进展，新一代信息技术为数字经济的发展壮大提供了良好支撑，对推动产业数字化转型和数字经济产业链完善具有重要作用。当前，制造业企业的数字化基础能力稳步提升，智能化、自动化水平不断增强，制造业正成为数字经济主战场。</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数字经济融合发展取得重要进展。近年来，我国数字经济同实体经济的融合范围不断拓宽，融合程度不断深化。例如，工业互联网的创新发展带动形成了智能制造、个性定制、网络协同、数字管理等新业态新模式，推动数字经济向更多实体经济行业与场景进一步延伸。</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数字化治理成效显着</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近年来，数字化治理得到了国家高度重视，数字政府建设大力推进并取得了显着成效。当前，我国各地各级政府机构政务服务线上化推进程度明显提升，“掌上办”“一网通办”等电子政务平台加速上线，一体化政务服务平台的服务能力显着增强，跨地区、跨部门、跨层级业务办理能力以及快速响应能力持续提升。截至2020年12月，我国互联网政务服务用户规模达8.43亿，占网民整体的85.3%。《2020联合国电子政务调查报告》显示，我国电子政务发展指数排名从2018年的全球第65位提升至第45位，取得历史新高，其中，在线服务指数跃升至全球第9位，达到“非常高”水平。</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随着数字技术与传统产业加速融合，我国的国家治理体系也向着更高层级加速迈进。从治理方式来看，数字经济强有力地推动国家治理由个人判断、经验主义的模糊治理方式转变为细致精准、数据驱动的数字化标准化规范化治理。与此同时，大数据、云计算等数字技术同传统公共服务的融合应用更是增强了治理体系的态势感知、科学决策、风险防范以及应急响应能力，提升了数字化公共服务均等化水平。</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数据价值化加速推进</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当前，我国政府高度重视数字经济发展中数据的重要作用，先后出台一系列政策文件，加快完善“市场有效、政府有为、企业有利、个人有益”的数据要素市场化配置机制。2020年4月9日，中共中央、国务院印发《关于构建更加完善的要素市场化配置体制机制的意见》，明确提出要加快培育数据要素市场，这标志着数据与土地、资本、技术等其他要素一起，融入了我国经济价值创造体系，成为数字经济时代的基础性、战略性资源和重要生产力。2021年1月31日，中共中央办公厅、国务院办公厅印发了《建设高标准市场体系行动方案》，明确提出要加快培育发展数据要素市场，建立数据资源产权、交易流通、跨境传输和安全等基础制度和标准规范，推动数据资源开发利用。由此可见，中央高度重视并确认了数据要素的经济价值，为我国数字经济发展驶入快车道奠定了基础。</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在党中央的政策引导下，各地纷纷将政策着力点放在促进数据交易流通上，并高度重视本地的大数据交易平台建设。例如，2015年，贵阳大数据交易所正式挂牌运营并完成了首批大数据交易；此后，北京、上海、深圳也探索建立了北京国际大数据交易所、上海数据交易中心和上海市大数据中心、粤港澳大湾区大数据中心等数据交易中心，依托现有交易场所陆续开展数据交易。</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在发展数字经济方面，我国有以下五点突出优势</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当前全球数字经济竞争日趋激烈，我国的数字经济发展仍面临着高速增长和高质量发展的双重任务与挑战。不过也要看到，我国发展数字经济也具有制度、市场、平台企业、工业体系和人力资源等多方面优势。</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制度的优越性</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有助于推动我国新型基础设施建设。中国的制度优势使得政府能够在数字基础设施的建设上大有作为。新型基础设施建设具有规模大、涉及产业广、所需投资大等特点，高昂的建设成本必然需要企业和民间资本的参与和支持。我国独有的集中力量办大事的制度优势，有助于组织好各类资本力量参与新型基础设施建设，这为数字经济生态体系的发展完善奠定了基础，具有重大的现实意义和战略意义。</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有助于形成包容宽松的政策法规体系。当前，政府、企业、民众对发展数字经济的认识进一步得到统一，中央到地方自上而下的政策部署为数字经济发展营造了良好的政策环境，助力数字经济新产业、新业态和新模式蕴藏的巨大潜力和强大动能不断释放。中国政府对数字经济一直持包容宽松的监管态度，并在国家战略高度重视发展数字经济。近年来，推进“上云用数赋智”行动、数字化转型伙伴行动（2020）等政策行动相继推出，我国发展数字经济的制度优势日益凸显。</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广阔的市场空间</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市场规模优势。数字经济的典型特征是网络外部性，市场规模越大，越有利于海量数据的产生，也就越有利于数字经济发展。我国拥有14亿人口所形成的强大内需市场，网民规模巨大，截至2020年12月，我国网民规模达9.89亿，互联网普及率已经达到70.4%。强大的国内市场更有利于数字经济充分发挥降低市场交易成本和协调成本的能力，也将使得市场效率得到有效提升。</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消费群体优势。我国数字消费者数量庞大，各种数字应用渗透率都位于世界前列。庞大的消费者群体使得消费者的个性化需求得以满足，促使各个数字经济企业不断开辟新场景新产品，以满足消费者独特且多变的需求。当前，越来越多的中国互联网公司开始采用独特的生态战略，实现线上线下全场景打通，强化与消费者的沟通，通过社会化方式完成更多新产品新服务的生产和提供。</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三是消费变革优势。当前，我国消费升级趋势强劲，不仅为数字经济发展提供了多样化的应用场景，也有助于降低企业创新创业的试错成本。在数字经济相关的大数据、人工智能等领域，数字经济能够依托海量数字消费者实现快速发展。此外，中国仍有部分产业的成熟度较低，人民日益增长的美好生活需要难以被传统行业满足。未来，数字经济将提供更具创造性的解决方案，直击消费者痛点，有望实现跨越式发展。</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领先的平台企业</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市场主体优势。近年来，中国在电子商务、移动支付、共享经济等数字经济核心领域已经培养出了一大批走在世界前列的数字平台企业，在这些龙头企业的带动引领下，一批中小企业得以集聚，同时，在市场和政府的共同推动下，以人才、金融、新型基础设施、制度等多要素为支撑，形成了一个大的数字产业生态，为传统产业转型升级带来积极影响。此外，全球领先的龙头企业能够充分发挥国际话语权优势，深化对外经贸合作与技术交流，通过参与电子商务、移动支付、数字内容等领域的国际规则制定，为更多中国数字经济企业“走出去”奠定良好的规则基础。</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协调配置优势。在数字经济时代，我国的互联网平台正逐渐成为协调和配置资源的基本经济组织，成为推动我国经济发展的重要加速器。众多平台企业通过打造共创共赢的生态系统，推动整个社会数字化转型，为中小微企业提供可负担的、世界级的数字基础设施，促使更多资源实现高效集聚，从而让整个社会的信息成本大幅度下降，让更大范围的协同合作成为可能。一方面，数字经济能够依托平台的组织减少信息不对称性，避免生产要素多余投入或闲置造成的浪费；另一方面，互联网平台能够通过技术和模式创新打破各类要素投入生产的时间和空间约束，扩大生产要素的资源供给。</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完整的工业体系</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产业优势。我国已成为制造业大国，是全球唯一拥有联合国产业分类中所列全部工业门类的国家，拥有世界上最完备的工业体系，在工业互联网快速发展的今天，这将为数字经济的发展带来更多红利。例如，借助完整产业链的优势，可以打造完善的供应链体系，从而为各个产业中数字技术的更新迭代及应用实验提供便利和成本优势。</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技术优势。信息技术的持续迭代为数字经济增长增添了全新活力，近年来，我国在5G、人工智能、量子计算、物联网、区块链、大数据等信息技术优势领域持续形成突破，并加快推进产业化应用，为数字经济的蓬勃发展提供了强大支撑。与此同时，数字技术突破和融合发展的赋能成效正在快速呈现，“创新红利”持续释放，有力地实现了对传统经济的渗透补充，并推动传统经济转型升级。</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三是后发优势。总体来看，我国产业数字化转型仍处于起步期，传统产业数字化水平还有待提高。与此同时，数字经济在不同区域间发展不平衡的问题日益凸显，偏远落后地区、农村地区还有大量的数字化需求未能满足。我国数字化发展潜力巨大，有利于加快培育数字经济新增长点，形成数字经济新动能。此外，我国经济体系建设中仍存在一些不完善的因素，较国际先进水平有一定差距，这反而使得我国在数字经济发展中没有历史包袱，能够具有后发优势。典型的例子就是移动支付在中国的快速崛起。正是由于中国没有欧美那样发达便捷的信用卡支付体系，反而使得移动支付在中国异军突起。中国不必完全遵循西方国家数字化、网络化、智能化的顺序发展路径，可以充分发挥后发优势，实现并联式跨越式发展，推动产业技术革命，打造中国“智能制造”新模式。</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b/>
          <w:bCs/>
          <w:i w:val="0"/>
          <w:iCs w:val="0"/>
          <w:caps w:val="0"/>
          <w:color w:val="020202"/>
          <w:spacing w:val="0"/>
          <w:sz w:val="24"/>
          <w:szCs w:val="24"/>
          <w:shd w:val="clear" w:fill="FFFFFF"/>
        </w:rPr>
        <w:t>丰富的人力资源</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一是人才质量不断优化。随着人才强国战略的深入实施，我国教育体系日益优化，科技创新人才队伍建设取得积极进展。近年来，我国人才优势不断积累，“劳动力红利”逐步向“工程师红利”转化，为数字经济的高质量发展奠定了雄厚的智力资本。此外，我国人才整体素质不断提高，人才规模不断扩大，人才流动持续加快，人才队伍构成更加多元化，政府对各类人才服务、支持和管理的力度也进一步加大，这都为数字经济发展提供了有力保障。</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二是人才吸引力逐步增强。当前，我国数字经济规模占GDP比重近四成，其增速远远超出GDP增速，在国民经济中的地位举足轻重，数字经济正在成为驱动经济增长、吸纳就业的新引擎。与此同时，我国还积极营造有利于人才成长的外部环境，提供研究经费、个人税收、签证、户口、子女教育等优惠便利条件。从全球人才转移趋势上来看，来华工作的国际人才日益增多，为提升我国数字经济国际竞争力奠定了基础。</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作者：李三希 中国人民大学经济学院教授</w:t>
      </w:r>
    </w:p>
    <w:p>
      <w:pPr>
        <w:pStyle w:val="2"/>
        <w:keepNext w:val="0"/>
        <w:keepLines w:val="0"/>
        <w:widowControl/>
        <w:suppressLineNumbers w:val="0"/>
        <w:shd w:val="clear" w:fill="FFFFFF"/>
        <w:spacing w:before="420" w:beforeAutospacing="0" w:after="105" w:afterAutospacing="0" w:line="30" w:lineRule="atLeast"/>
        <w:ind w:left="0" w:firstLine="420"/>
        <w:jc w:val="both"/>
        <w:rPr>
          <w:rFonts w:hint="eastAsia" w:ascii="宋体" w:hAnsi="宋体" w:eastAsia="宋体" w:cs="宋体"/>
          <w:i w:val="0"/>
          <w:iCs w:val="0"/>
          <w:caps w:val="0"/>
          <w:color w:val="020202"/>
          <w:spacing w:val="0"/>
          <w:sz w:val="24"/>
          <w:szCs w:val="24"/>
        </w:rPr>
      </w:pPr>
      <w:r>
        <w:rPr>
          <w:rFonts w:hint="eastAsia" w:ascii="宋体" w:hAnsi="宋体" w:eastAsia="宋体" w:cs="宋体"/>
          <w:i w:val="0"/>
          <w:iCs w:val="0"/>
          <w:caps w:val="0"/>
          <w:color w:val="020202"/>
          <w:spacing w:val="0"/>
          <w:sz w:val="24"/>
          <w:szCs w:val="24"/>
          <w:shd w:val="clear" w:fill="FFFFFF"/>
        </w:rPr>
        <w:t>【中国人民大学经济学院博士研究生武玙璠对本文亦有贡献】</w:t>
      </w:r>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 w:lineRule="atLeast"/>
        <w:ind w:left="0" w:firstLine="0"/>
        <w:jc w:val="center"/>
        <w:rPr>
          <w:rFonts w:ascii="黑体" w:hAnsi="宋体" w:eastAsia="黑体" w:cs="黑体"/>
          <w:i w:val="0"/>
          <w:iCs w:val="0"/>
          <w:caps w:val="0"/>
          <w:color w:val="020202"/>
          <w:spacing w:val="0"/>
          <w:sz w:val="39"/>
          <w:szCs w:val="39"/>
        </w:rPr>
      </w:pPr>
      <w:r>
        <w:rPr>
          <w:rFonts w:hint="eastAsia" w:ascii="黑体" w:hAnsi="宋体" w:eastAsia="黑体" w:cs="黑体"/>
          <w:i w:val="0"/>
          <w:iCs w:val="0"/>
          <w:caps w:val="0"/>
          <w:color w:val="020202"/>
          <w:spacing w:val="0"/>
          <w:kern w:val="0"/>
          <w:sz w:val="39"/>
          <w:szCs w:val="39"/>
          <w:bdr w:val="none" w:color="auto" w:sz="0" w:space="0"/>
          <w:shd w:val="clear" w:fill="FFFFFF"/>
          <w:lang w:val="en-US" w:eastAsia="zh-CN" w:bidi="ar"/>
        </w:rPr>
        <w:t>数字政府建设要以人民为中心</w:t>
      </w:r>
    </w:p>
    <w:tbl>
      <w:tblPr>
        <w:tblW w:w="16320" w:type="dxa"/>
        <w:tblInd w:w="-22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40"/>
        <w:gridCol w:w="5440"/>
        <w:gridCol w:w="5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440" w:type="dxa"/>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2022年04月21日 09时40分</w:t>
            </w:r>
          </w:p>
        </w:tc>
        <w:tc>
          <w:tcPr>
            <w:tcW w:w="5440" w:type="dxa"/>
            <w:shd w:val="clear"/>
            <w:vAlign w:val="center"/>
          </w:tcPr>
          <w:p>
            <w:pPr>
              <w:keepNext w:val="0"/>
              <w:keepLines w:val="0"/>
              <w:widowControl/>
              <w:suppressLineNumbers w:val="0"/>
              <w:jc w:val="center"/>
            </w:pPr>
            <w:r>
              <w:rPr>
                <w:rFonts w:ascii="宋体" w:hAnsi="宋体" w:eastAsia="宋体" w:cs="宋体"/>
                <w:kern w:val="0"/>
                <w:sz w:val="24"/>
                <w:szCs w:val="24"/>
                <w:bdr w:val="none" w:color="auto" w:sz="0" w:space="0"/>
                <w:lang w:val="en-US" w:eastAsia="zh-CN" w:bidi="ar"/>
              </w:rPr>
              <w:t>信息来源：光明网-时评频道</w:t>
            </w:r>
          </w:p>
        </w:tc>
        <w:tc>
          <w:tcPr>
            <w:tcW w:w="5440" w:type="dxa"/>
            <w:shd w:val="clear"/>
            <w:vAlign w:val="center"/>
          </w:tcPr>
          <w:p>
            <w:pPr>
              <w:keepNext w:val="0"/>
              <w:keepLines w:val="0"/>
              <w:widowControl/>
              <w:suppressLineNumbers w:val="0"/>
              <w:jc w:val="right"/>
            </w:pPr>
            <w:r>
              <w:rPr>
                <w:rFonts w:ascii="宋体" w:hAnsi="宋体" w:eastAsia="宋体" w:cs="宋体"/>
                <w:kern w:val="0"/>
                <w:sz w:val="24"/>
                <w:szCs w:val="24"/>
                <w:bdr w:val="none" w:color="auto" w:sz="0" w:space="0"/>
                <w:lang w:val="en-US" w:eastAsia="zh-CN" w:bidi="ar"/>
              </w:rPr>
              <w:t>分享到： </w:t>
            </w:r>
          </w:p>
          <w:p>
            <w:pPr>
              <w:keepNext w:val="0"/>
              <w:keepLines w:val="0"/>
              <w:widowControl/>
              <w:suppressLineNumbers w:val="0"/>
              <w:pBdr>
                <w:top w:val="none" w:color="auto" w:sz="0" w:space="0"/>
                <w:left w:val="none" w:color="auto" w:sz="0" w:space="0"/>
                <w:bottom w:val="none" w:color="auto" w:sz="0" w:space="0"/>
                <w:right w:val="none" w:color="auto" w:sz="0" w:space="0"/>
              </w:pBdr>
              <w:jc w:val="right"/>
            </w:pPr>
            <w:r>
              <w:rPr>
                <w:rFonts w:ascii="宋体" w:hAnsi="宋体" w:eastAsia="宋体" w:cs="宋体"/>
                <w:color w:val="333333"/>
                <w:kern w:val="0"/>
                <w:sz w:val="18"/>
                <w:szCs w:val="18"/>
                <w:u w:val="none"/>
                <w:bdr w:val="none" w:color="auto" w:sz="0" w:space="0"/>
                <w:lang w:val="en-US" w:eastAsia="zh-CN" w:bidi="ar"/>
              </w:rPr>
              <w:fldChar w:fldCharType="begin"/>
            </w:r>
            <w:r>
              <w:rPr>
                <w:rFonts w:ascii="宋体" w:hAnsi="宋体" w:eastAsia="宋体" w:cs="宋体"/>
                <w:color w:val="333333"/>
                <w:kern w:val="0"/>
                <w:sz w:val="18"/>
                <w:szCs w:val="18"/>
                <w:u w:val="none"/>
                <w:bdr w:val="none" w:color="auto" w:sz="0" w:space="0"/>
                <w:lang w:val="en-US" w:eastAsia="zh-CN" w:bidi="ar"/>
              </w:rPr>
              <w:instrText xml:space="preserve"> HYPERLINK "http://www.scdsjzx.cn/scdsjzx/shuzizhaoshang/2022/4/21/9ab56a949aac48479c6f18791814834c.shtml" </w:instrText>
            </w:r>
            <w:r>
              <w:rPr>
                <w:rFonts w:ascii="宋体" w:hAnsi="宋体" w:eastAsia="宋体" w:cs="宋体"/>
                <w:color w:val="333333"/>
                <w:kern w:val="0"/>
                <w:sz w:val="18"/>
                <w:szCs w:val="18"/>
                <w:u w:val="none"/>
                <w:bdr w:val="none" w:color="auto" w:sz="0" w:space="0"/>
                <w:lang w:val="en-US" w:eastAsia="zh-CN" w:bidi="ar"/>
              </w:rPr>
              <w:fldChar w:fldCharType="separate"/>
            </w:r>
            <w:r>
              <w:rPr>
                <w:rFonts w:ascii="宋体" w:hAnsi="宋体" w:eastAsia="宋体" w:cs="宋体"/>
                <w:color w:val="333333"/>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"http://www.scdsjzx.cn/scdsjzx/shuzizhaoshang/2022/4/21/9ab56a949aac48479c6f18791814834c.shtml" \o "分享到微信"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"http://www.scdsjzx.cn/scdsjzx/shuzizhaoshang/2022/4/21/9ab56a949aac48479c6f18791814834c.shtml" \o "分享到QQ好友"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"http://www.scdsjzx.cn/scdsjzx/shuzizhaoshang/2022/4/21/9ab56a949aac48479c6f18791814834c.shtml" \o "分享到新浪微博"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p>
        </w:tc>
      </w:tr>
    </w:tbl>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作者：中国人民大学国家发展与战略研究院研究员、公共管理学院教授马亮</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数字政府是将各类数字技术用于政府管理、政务服务和公共服务，使政府更加透明高效廉洁为民，也是推进国家治理体系和治理能力现代化的重要支撑。在数字时代，无论是常态时期的政府管理和公共服务，还是非常态时期的应急管理，数字政府都发挥着不可替代的重要作用。4月19日，中央全面深化改革委员会审议通过《关于加强数字政府建设的指导意见》（下称《指导意见》）。习近平在主持会议时强调，要全面贯彻网络强国战略，把数字技术广泛应用于政府管理服务，推动政府数字化、智能化运行，为推进国家治理体系和治理能力现代化提供有力支撑。</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数字政府建设要明确为谁而建、为何而建和如何建设的问题，厘清数字政府建设的目标、功能和路径。从《指导意见》披露的内容来看，主要回答了数字政府为谁而建，建了干什么，以及如何建立健全数字政府的制度体系和安全保障体系，为“十四五”时期数字政府建设明确了方向。</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指导意见》提出，“要把满足人民对美好生活的向往作为数字政府建设的出发点和落脚点”。这意味着数字政府建设是以人民为中心，一切从人民群众的需求出发，通过数字化手段提供优质公共服务。一些政府部门往往把数字政府建设视为“炫技”，交互界面琳琅满目、花里花哨，但是老百姓却找不到入口，服务体验也不理想。数字技术是手段而不是目标，不能为了数字化而数字化，导致数字政府建设本末倒置。归根结底，数字政府建设是为了满足人民日益增长的美好生活需求，通过数字化使人民生活的安全感、获得感和幸福感显著提升。</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指导意见》提出要打造泛在可及、智慧便捷、公平普惠的数字化服务体系，让百姓少跑腿、数据多跑路。唯有实现政务数据在不同地域、层级、部门、业务和系统之间的流通互认共享，才能实现数字政府建设的“全国一盘棋”，并为群众企业办事提供便利。当前在数据共享和业务协同方面面临的主要障碍是制度</w:t>
      </w:r>
      <w:bookmarkStart w:id="0" w:name="_GoBack"/>
      <w:bookmarkEnd w:id="0"/>
      <w:r>
        <w:rPr>
          <w:rFonts w:hint="eastAsia" w:ascii="宋体" w:hAnsi="宋体" w:eastAsia="宋体" w:cs="宋体"/>
          <w:i w:val="0"/>
          <w:iCs w:val="0"/>
          <w:caps w:val="0"/>
          <w:color w:val="020202"/>
          <w:spacing w:val="0"/>
          <w:sz w:val="24"/>
          <w:szCs w:val="24"/>
          <w:shd w:val="clear" w:fill="FFFFFF"/>
        </w:rPr>
        <w:t>不完善，与之配套的法律法规和规章制度付诸阙如，也就出现了政府部门不敢不愿采取行动的情况。</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数字政府建设是当前的热点领域，但是也出现过一哄而散和无序扩张的乱象。为此要加强数字政府建设的统筹协调，避免各自为政带来的重复建设和铺张浪费。比如，在省级或市级层面统筹推进一网通办和一网统管，清理整顿基层社交媒体账号、移动政务客户端的泛滥无序，降低基层负担并提高治理效能。还应加强数字政府的集约化建设，推进线上线下一体化，加快实现全程网上办。比如，疫情期间健康码、行程码、核酸检测报告等的全国互认，既为数字政府建设提供了加速推进的应用场景，也说明加强数字政府制度体系建设至关重要。</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目前各地政府都设立了大数据管理局，将各个部门的海量数据汇聚、存储和开发利用。与此同时，无处不在的互联网和物联网采集了大量敏感数据，由此带来的数据安全问题不容忽视。在推进数字政府建设的同时，要加强政府数字安全保障能力建设，确保国家秘密、个人隐私和企业商业机密的安全可控。完善数字政府应急预案，对上马的数字政府项目加强前期论证，定期对数字政府项目进行安全排查，都是值得固化和推广的做法。</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在增强数字服务提供的同时，还应推动政府办公的数字化转型，从办公自动化走向办公数字化。之所以一些公务人员不得不手工处理文件，或者依靠微信等社交媒体传递文件和开展业务，同政府自身的办公系统不好用和不够用有很大关系。在加强政府对外数字服务能力的同时，也应提升政府对内办公的技术支撑，便利公务人员的日常办公，并增强政府办公的安全保障。（马亮</w:t>
      </w:r>
    </w:p>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 w:lineRule="atLeast"/>
        <w:ind w:left="0" w:firstLine="0"/>
        <w:jc w:val="center"/>
        <w:rPr>
          <w:rFonts w:ascii="黑体" w:hAnsi="宋体" w:eastAsia="黑体" w:cs="黑体"/>
          <w:i w:val="0"/>
          <w:iCs w:val="0"/>
          <w:caps w:val="0"/>
          <w:color w:val="020202"/>
          <w:spacing w:val="0"/>
          <w:sz w:val="39"/>
          <w:szCs w:val="39"/>
        </w:rPr>
      </w:pPr>
      <w:r>
        <w:rPr>
          <w:rFonts w:hint="eastAsia" w:ascii="黑体" w:hAnsi="宋体" w:eastAsia="黑体" w:cs="黑体"/>
          <w:i w:val="0"/>
          <w:iCs w:val="0"/>
          <w:caps w:val="0"/>
          <w:color w:val="020202"/>
          <w:spacing w:val="0"/>
          <w:kern w:val="0"/>
          <w:sz w:val="39"/>
          <w:szCs w:val="39"/>
          <w:bdr w:val="none" w:color="auto" w:sz="0" w:space="0"/>
          <w:shd w:val="clear" w:fill="FFFFFF"/>
          <w:lang w:val="en-US" w:eastAsia="zh-CN" w:bidi="ar"/>
        </w:rPr>
        <w:t>《“十四五”信息通信行业发展规划》解读</w:t>
      </w:r>
    </w:p>
    <w:tbl>
      <w:tblPr>
        <w:tblW w:w="16320" w:type="dxa"/>
        <w:tblInd w:w="-22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40"/>
        <w:gridCol w:w="5440"/>
        <w:gridCol w:w="5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440" w:type="dxa"/>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2021年11月17日 14时55分</w:t>
            </w:r>
          </w:p>
        </w:tc>
        <w:tc>
          <w:tcPr>
            <w:tcW w:w="5440" w:type="dxa"/>
            <w:shd w:val="clear"/>
            <w:vAlign w:val="center"/>
          </w:tcPr>
          <w:p>
            <w:pPr>
              <w:keepNext w:val="0"/>
              <w:keepLines w:val="0"/>
              <w:widowControl/>
              <w:suppressLineNumbers w:val="0"/>
              <w:jc w:val="center"/>
            </w:pPr>
            <w:r>
              <w:rPr>
                <w:rFonts w:ascii="宋体" w:hAnsi="宋体" w:eastAsia="宋体" w:cs="宋体"/>
                <w:kern w:val="0"/>
                <w:sz w:val="24"/>
                <w:szCs w:val="24"/>
                <w:bdr w:val="none" w:color="auto" w:sz="0" w:space="0"/>
                <w:lang w:val="en-US" w:eastAsia="zh-CN" w:bidi="ar"/>
              </w:rPr>
              <w:t>信息来源：工业和信息化部信息通信发展司</w:t>
            </w:r>
          </w:p>
        </w:tc>
        <w:tc>
          <w:tcPr>
            <w:tcW w:w="5440" w:type="dxa"/>
            <w:shd w:val="clear"/>
            <w:vAlign w:val="center"/>
          </w:tcPr>
          <w:p>
            <w:pPr>
              <w:keepNext w:val="0"/>
              <w:keepLines w:val="0"/>
              <w:widowControl/>
              <w:suppressLineNumbers w:val="0"/>
              <w:jc w:val="right"/>
            </w:pPr>
            <w:r>
              <w:rPr>
                <w:rFonts w:ascii="宋体" w:hAnsi="宋体" w:eastAsia="宋体" w:cs="宋体"/>
                <w:kern w:val="0"/>
                <w:sz w:val="24"/>
                <w:szCs w:val="24"/>
                <w:bdr w:val="none" w:color="auto" w:sz="0" w:space="0"/>
                <w:lang w:val="en-US" w:eastAsia="zh-CN" w:bidi="ar"/>
              </w:rPr>
              <w:t>分享到： </w:t>
            </w:r>
          </w:p>
          <w:p>
            <w:pPr>
              <w:keepNext w:val="0"/>
              <w:keepLines w:val="0"/>
              <w:widowControl/>
              <w:suppressLineNumbers w:val="0"/>
              <w:pBdr>
                <w:top w:val="none" w:color="auto" w:sz="0" w:space="0"/>
                <w:left w:val="none" w:color="auto" w:sz="0" w:space="0"/>
                <w:bottom w:val="none" w:color="auto" w:sz="0" w:space="0"/>
                <w:right w:val="none" w:color="auto" w:sz="0" w:space="0"/>
              </w:pBdr>
              <w:jc w:val="right"/>
            </w:pPr>
            <w:r>
              <w:rPr>
                <w:rFonts w:ascii="宋体" w:hAnsi="宋体" w:eastAsia="宋体" w:cs="宋体"/>
                <w:color w:val="333333"/>
                <w:kern w:val="0"/>
                <w:sz w:val="18"/>
                <w:szCs w:val="18"/>
                <w:u w:val="none"/>
                <w:bdr w:val="none" w:color="auto" w:sz="0" w:space="0"/>
                <w:lang w:val="en-US" w:eastAsia="zh-CN" w:bidi="ar"/>
              </w:rPr>
              <w:fldChar w:fldCharType="begin"/>
            </w:r>
            <w:r>
              <w:rPr>
                <w:rFonts w:ascii="宋体" w:hAnsi="宋体" w:eastAsia="宋体" w:cs="宋体"/>
                <w:color w:val="333333"/>
                <w:kern w:val="0"/>
                <w:sz w:val="18"/>
                <w:szCs w:val="18"/>
                <w:u w:val="none"/>
                <w:bdr w:val="none" w:color="auto" w:sz="0" w:space="0"/>
                <w:lang w:val="en-US" w:eastAsia="zh-CN" w:bidi="ar"/>
              </w:rPr>
              <w:instrText xml:space="preserve"> HYPERLINK "http://www.scdsjzx.cn/scdsjzx/shuzizhaoshang/2021/11/17/a0cd9e097d494dd9a799c4ae2878af5b.shtml" </w:instrText>
            </w:r>
            <w:r>
              <w:rPr>
                <w:rFonts w:ascii="宋体" w:hAnsi="宋体" w:eastAsia="宋体" w:cs="宋体"/>
                <w:color w:val="333333"/>
                <w:kern w:val="0"/>
                <w:sz w:val="18"/>
                <w:szCs w:val="18"/>
                <w:u w:val="none"/>
                <w:bdr w:val="none" w:color="auto" w:sz="0" w:space="0"/>
                <w:lang w:val="en-US" w:eastAsia="zh-CN" w:bidi="ar"/>
              </w:rPr>
              <w:fldChar w:fldCharType="separate"/>
            </w:r>
            <w:r>
              <w:rPr>
                <w:rFonts w:ascii="宋体" w:hAnsi="宋体" w:eastAsia="宋体" w:cs="宋体"/>
                <w:color w:val="333333"/>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"http://www.scdsjzx.cn/scdsjzx/shuzizhaoshang/2021/11/17/a0cd9e097d494dd9a799c4ae2878af5b.shtml" \o "分享到微信"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"http://www.scdsjzx.cn/scdsjzx/shuzizhaoshang/2021/11/17/a0cd9e097d494dd9a799c4ae2878af5b.shtml" \o "分享到QQ好友"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"http://www.scdsjzx.cn/scdsjzx/shuzizhaoshang/2021/11/17/a0cd9e097d494dd9a799c4ae2878af5b.shtml" \o "分享到新浪微博"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p>
        </w:tc>
      </w:tr>
    </w:tbl>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近期，工业和信息化部发布《“十四五”信息通信行业发展规划》（下称《规划》）。《规划》包括4大部分、26条发展重点、近3万字，描绘了信息通信行业的发展蓝图，是未来五年加快建设网络强国和数字中国、推进信息通信行业高质量发展、引导市场主体行为、配置政府公共资源的指导性文件。</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与以往的五年规划相比，本次《规划》一方面进一步凸显了信息通信行业的功能和定位：是构建国家新型数字基础设施、提供网络和信息服务、全面支撑经济社会发展的战略性、基础性和先导性行业。另一方面进一步强化了坚持新发展理念、坚持系统观念方面的有关要求：一是《规划》全面对接国家关于新发展阶段、新发展理念和新发展格局的战略构想和相关规划体系，提出行业高质量发展新思路，设定6大类20个量化发展目标；二是《规划》确定了五个方面26项发展重点和21项重点工程，首次明确提出了加强跨地域跨行业统筹协调的重点任务，并通过增加工程数量进一步明确了任务落地实施的重点和抓手。</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《规划》适应信息通信行业内涵扩大和结构变迁的新情况，牢牢把握高质量发展这个主题，内容上呈现以下亮点：</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一是《规划》内涵范围与“十三五”相比呈现持续扩大的趋势。基础设施已从以信息传输为核心的传统电信网络设施，拓展为融感知、传输、存储、计算、处理为一体的，包括“双千兆”网络等新一代通信网络基础设施、数据中心等数据和算力设施、以及工业互联网等融合基础设施在内的新型数字基础设施体系。网络和信息服务也从电信服务、互联网信息服务、物联网服务、卫星通信服务、云计算及大数据等面向政企和公众用户开展的各类服务，向工业云服务、智慧医疗、智能交通等数字化生产和数字化治理服务新业态扩展。</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二是《规划》系统总结了行业发展取得的瞩目成绩，同时也梳理了现阶段仍存在的几点不足。“十三五”期间，我国信息通信行业总体保持平稳较快发展态势，行业综合实力再上台阶、网络供给和服务能力显著增强、行业管理和改革开放持续深化、安全保障能力不断提升，为下一个五年发展奠定良好基础。同时，面向新阶段我国经济社会高质量发展新要求和满足人民日益增长的美好数字生活新需要，在信息基础设施区域布局、信息通信技术融合应用和产业生态、行业管理能力、网络安全和应急保障四个方面还存在一些短板和弱项，这也将是“十四五”时期信息通信行业着力补短板强弱项的重要方向。</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三是《规划》概括了行业“十四五”面临的新形势，认为机遇仍大于挑战。信息通信行业面临5个“新”形势，即新使命、新动能、新空间、新要求、新挑战，这是基于国家宏观环境、行业自身定位和行业发展态势作出的综合判断。从宏观环境看，我国发展仍然处于重要战略机遇期，同时，国际环境日趋复杂，不稳定性不确定性明显增加，国家发展将进入高质量发展阶段，将加快构建“双循环”新发展格局,行业发展必须融入这一战略大局，承担起相应的使命责任。从行业自身看，随着信息通信技术与经济社会融合步伐的加快，信息通信行业在经济社会发展中的地位和作用更加凸显，新阶段、新特征和国家战略新安排，要求信息通信行业承担攻克相关领域技术难题、培育壮大国内新型消费市场、促进全球信息通信领域紧密联动的历史使命，成为夯实数字社会的新底座，成为满足人民美好生活需要、驱动新一轮内生性增长的新动能。在加快新型数字基础设施建设、支撑全社会数字化转型过程中，行业将打开新的增长空间，同时在新兴业态的跨领域协同监管以及网络安全保障能力提升等方面也将面临一些新要求、新挑战。</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四是《规划》确立了行业高质量发展新思路和基本原则。高质量发展既是经济社会进入新发展阶段的外部要求，也是行业自身可持续发展的内在要求。《规划》全面贯彻落实党和国家关于新发展阶段、新发展理念和新发展格局的战略构想，在“指导思想”部分提出了“以推动高质量发展为主题”的总体思路，并从方法论、战略和战术三个层面进一步阐述，要求处理好供给与需求、发展与安全、政府作用与市场作用3对重要关系。《规划》提出要把握好3个战略要点,抓好5个着力点。3个战略要点承前启后兼具延续性和前瞻性，一是强调牢牢把握扩大内需这个战略基点，二是在坚定不移推动制造强国、网络强国建设基础上，补充和强调了数字中国建设，三是着重强调要加快推进经济社会数字化发展。5个着力点分别指向新型数字基础设施建设、新技术研发和应用推广、新型行业管理体系建立完善、行业服务质量提升和安全保障能力增强5个方面。《规划》提出的7项“基本原则”，既强调要坚定不移地贯彻创新、协调、绿色、开放、共享五大发展理念，又强调要坚持依法治理和守法经营，坚守网信安全发展底线。</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五是《规划》体系化梳理了行业发展定量目标，提出的20个量化目标中“新基建”相关指标占比较高。《规划》在“发展目标”部分提出了到2025年“行业整体规模进一步壮大，发展质量显著提升”“成为建设制造强国、网络强国、数字中国的坚强柱石”的总体目标，并具体从“通信网络基础设施能力、数据与算力设施能力、融合基础设施能力、数字化应用水平、行业治理和用户权益保障能力、网络与数据安全保障能力、绿色发展水平”七方面提出分项目标。《规划》还以表格形式集中列出了6大类共20个量化目标，与“十三五”《规划》相比有不少新变化。一是指标体系进行了重新梳理，共设总体规模、基础设施、绿色节能、应用普及、创新发展、普惠共享六个大类，新设类别进一步强调和呼应了创新引领、绿色环保、惠民共享几项基本原则，更符合当前阶段发展特点和要求。二是指标选取方面有继承有更新，相比“十三五”《规划》保留了5个、调整了7个、新增了8个指标，其中新增指标主要体现在5G、千兆光网、工业互联网等新型数字基础设施部署和应用方面。</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六是《规划》瞄准发展目标、聚焦问题短板，分别从新型数字基础设施、数字化发展、行业管理、安全保障以及跨地域跨行业统筹协调五个方面，提出了26项“十四五”期间行业发展和管理的重点方向。</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一，新型数字基础设施建设方面。按照国家发改委有关表述，新型基础设施主要包括信息基础设施、融合基础设施、创新基础设施。结合新发展阶段信息通信行业范畴拓展的实际情况，《规划》将信息基础设施和数字形态的融合基础设施归为新型数字基础设施，作为行业“十四五”期间布局“新基建”的落脚点。《规划》提出5项重点任务，包括全面部署5G、千兆光纤网络、IPv6、移动物联网、卫星通信网络等新一代通信网络基础设施，统筹优化数据中心布局，构建绿色智能、互通共享的数据与算力设施，积极发展工业互联网和车联网等融合基础设施，加快构建并形成以技术创新为驱动、以新一代通信网络为基础、以数据和算力设施为核心、以融合基础设施为突破的新型数字基础设施体系。</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二，数字化发展空间拓展方面。《规划》从需求和供给两个角度，提出5项重点任务。一是从扩大内需、培育新型信息消费角度，提出应聚焦各行业各领域数字化发展需求，加大5G、大数据、人工智能等新技术应用力度，深入拓展数字化生产、生活和社会治理新应用，包括线下生活服务的融合化、智能化、无人化升级，信息服务的无障碍化改造和普及应用，互联网生产服务的和工业互联网的融合创新，数字化社会治理，数字化疫情防控等。二是从深化供给侧结构性改革、提高供给能力角度，提出为了发挥海量数据优势，应在安全可信数据空间建设、数据流通和交易规则建立、数据要素市场培育、工业大数据融合创新等方面发力，推进数据要素流动和应用创新。同时，为了发挥5G等信息通信技术优势，将围绕关键技术攻关、终端产品研发和融合应用探索，优化产业发展环境，加强产业链协同创新，完善数字化服务应用产业生态。</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三，行业管理体系构建方面。聚焦管主体、管资源、管行为三个方面，《规划》提出了深化“放管服”改革、构建新型行业管理体系的6项重点任务。管主体方面，在“十三五”期间，全国电信业务经营许可持证主体由3万家增长至10万余家的基础上，提出需要继续推进行业改革开放，同时进一步简政放权，优化市场许可准入，为企业松绑减负，营造更好的营商环境。管资源方面，针对电信网码号、域名、IP地址、工业互联网标识等基础资源，提出要进一步提升追踪溯源能力，实现科学监管、精准监管、智慧监管。对已成为经济社会发展关键要素的海量数据，要从制定完善数据确权、开放、流通和交易的制度入手，强化跨部门数据共享，推动数据从“持有者”向“使用者”的流动。管行为方面，针对扰乱市场竞争秩序、侵害用户权益等违法违规问题，提出要综合利用行政处罚、信用管理等手段，加强市场监测巡查，加大执法监督力度，树立监管权威,营造公平竞争市场秩序。</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四，安全保障体系和能力建设方面。围绕国家网络安全工作“四个坚持”基本原则和防范化解重大网络安全风险的工作主线，《规划》提出着力完备网络基础设施保护和网络数据安全体系，持续提升新型数字基础设施安全管理水平，打造繁荣发展的网络安全产业和可信的网络生态环境，全面提升行业网络安全应急处置，构建国家网络安全新格局等6项重点任务，以支撑国家网络安全新格局形成。《规划》将行业关键信息基础设施及新型数字基础设施安全保障提到新的战略高度，通过深化网络安全防护和风险管理、防范遏制重大网络安全事件，提升行业关键信息基础设施及新型数字基础设施保障水平。《规划》首次将创新发展网络安全产业作为重要任务之一，通过开展创新示范应用、繁荣网络安全产业生态培育工程等措施，进一步提升网络安全产业核心技术掌控水平，为网络安全保障提供扎实支撑，为数字经济健康发展保驾护航。</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五，跨地域跨行业统筹协调方面。《规划》从贯彻落实国家提出的统筹国内国际两个大局，深入实施区域重大战略、区域协调发展战略出发，提出4项重点任务。首次明确提出了跨地域统筹协调中行业要承担的重点任务，强化了对国家重点区域发展战略、乡村振兴战略、“一带一路”倡议等的衔接落地，具体从区域统筹、城乡协调、国际国内市场布局三个方面提出了具体任务。此外，还强调了统筹发展和绿色发展的理念，提出要强化信息基础设施规划与其他规划衔接，要深化基础设施跨行业共建共享，进一步明确了基础设施跨行业融合共建、提高资源利用效率的方向和思路。</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七是为保障规划落地实施、切实指导行业主体开展各项重点工作，《规划》还提出了21项重点工程，每一项重点工程都提出了具体的建设内容，将重点任务细化到操作层面。在建设新型数字基础设施部分设置了5G网络部署、数据中心高质量发展、移动通信核心技术演进和产业推进等9个重点工程。拓展数字化发展空间部分设置了通信大数据应用创新、5G应用创新和产业生态培育2个重点工程。构建新型行业管理体系部分设置了互联网“聚源”、市场监管“聚力”、应急通信“聚能”等5个重点工程。全面加强网络安全保障体系和能力建设部分设置了5G和工业互联网安全创新、网络安全技术产业生态培育、网络安全智慧大脑等4个重点工程。加强跨地域跨行业统筹协调部分设置了新一轮电信普遍服务1个重点工程。</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八是为保证任务、工程等高效落地实施，《规划》从法制建设、政策和资金支持、人才队伍建设、统筹实施四个方面提出了具体保障措施。</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一，法制建设方面。鉴于《数据安全法》《个人信息保护法》《关键信息基础设施安全保护条例》等法律法规已于近期正式发布，《规划》提出要严格落实好，同时提出积极推动行业期盼多年的《电信法》立法工作。此外，《规划》提出要加强法治宣传教育培训，系统推进普法工作，提升信息通信领域依法行政能力和水平。</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二，政策和资金支持方面。《规划》针对监管力量薄弱问题，再次提出推动建立信息通信行业部、省、市三级管理体制，争取行业管理机构向地市一级延伸。针对建设资金不足问题，提出希望发挥国家级政府投资基金、社会资本产业投资基金、地方专项资金等作用，加大对5G、工业互联网等数字基础设施发展的支持。针对偏远地区网络覆盖存在市场失灵的问题，提出强化资金保障和政策支持。同时，提出深化产融合作等若干举措，引导金融机构加大对信息通信重点领域和薄弱环节的支持力度。</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三，人才队伍建设方面。针对复合型人才和专业型人才紧缺问题，《规划》提出建立完善多层次人才合作培养模式、依托各类引才引智计划集聚国内外高层次人才等举措。针对人才激励问题，提出推动国家人才发展重大项目对信息通信行业人才队伍建设的支持、建立多元化人才评价和激励机制等举措。</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第四，统筹实施方面。为强化落地实施取得实效，《规划》提出要坚持有效市场和有为政府相结合的基本原则，并提出加强地方规划和企业规划与本规划的衔接，建立部省、部际及部企沟通协调机制，开展规划实施情况动态监测和评估等几方面举措。</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规划》描绘的信息通信行业五年发展蓝图振奋人心。全行业应沿着规划指引的目标，紧抓数字化发展的历史机遇，直面困难和挑战，汇聚起行业高质量发展的强大合力，一步一个脚印，努力把规划蓝图变为美好现实，为全面建设社会主义现代化国家开好局、起好步作出重要贡献。</w:t>
      </w:r>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 w:lineRule="atLeast"/>
        <w:ind w:left="0" w:firstLine="0"/>
        <w:jc w:val="center"/>
        <w:rPr>
          <w:rFonts w:ascii="黑体" w:hAnsi="宋体" w:eastAsia="黑体" w:cs="黑体"/>
          <w:i w:val="0"/>
          <w:iCs w:val="0"/>
          <w:caps w:val="0"/>
          <w:color w:val="020202"/>
          <w:spacing w:val="0"/>
          <w:sz w:val="39"/>
          <w:szCs w:val="39"/>
        </w:rPr>
      </w:pPr>
      <w:r>
        <w:rPr>
          <w:rFonts w:hint="eastAsia" w:ascii="黑体" w:hAnsi="宋体" w:eastAsia="黑体" w:cs="黑体"/>
          <w:i w:val="0"/>
          <w:iCs w:val="0"/>
          <w:caps w:val="0"/>
          <w:color w:val="020202"/>
          <w:spacing w:val="0"/>
          <w:kern w:val="0"/>
          <w:sz w:val="39"/>
          <w:szCs w:val="39"/>
          <w:bdr w:val="none" w:color="auto" w:sz="0" w:space="0"/>
          <w:shd w:val="clear" w:fill="FFFFFF"/>
          <w:lang w:val="en-US" w:eastAsia="zh-CN" w:bidi="ar"/>
        </w:rPr>
        <w:t>国务院印发《关于加强数字政府建设的指导意见》</w:t>
      </w:r>
    </w:p>
    <w:tbl>
      <w:tblPr>
        <w:tblW w:w="16320" w:type="dxa"/>
        <w:tblInd w:w="-22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40"/>
        <w:gridCol w:w="5440"/>
        <w:gridCol w:w="5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440" w:type="dxa"/>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2022年06月24日 08时21分</w:t>
            </w:r>
          </w:p>
        </w:tc>
        <w:tc>
          <w:tcPr>
            <w:tcW w:w="5440" w:type="dxa"/>
            <w:shd w:val="clear"/>
            <w:vAlign w:val="center"/>
          </w:tcPr>
          <w:p>
            <w:pPr>
              <w:keepNext w:val="0"/>
              <w:keepLines w:val="0"/>
              <w:widowControl/>
              <w:suppressLineNumbers w:val="0"/>
              <w:jc w:val="center"/>
            </w:pPr>
            <w:r>
              <w:rPr>
                <w:rFonts w:ascii="宋体" w:hAnsi="宋体" w:eastAsia="宋体" w:cs="宋体"/>
                <w:kern w:val="0"/>
                <w:sz w:val="24"/>
                <w:szCs w:val="24"/>
                <w:bdr w:val="none" w:color="auto" w:sz="0" w:space="0"/>
                <w:lang w:val="en-US" w:eastAsia="zh-CN" w:bidi="ar"/>
              </w:rPr>
              <w:t>信息来源：新华社</w:t>
            </w:r>
          </w:p>
        </w:tc>
        <w:tc>
          <w:tcPr>
            <w:tcW w:w="5440" w:type="dxa"/>
            <w:shd w:val="clear"/>
            <w:vAlign w:val="center"/>
          </w:tcPr>
          <w:p>
            <w:pPr>
              <w:keepNext w:val="0"/>
              <w:keepLines w:val="0"/>
              <w:widowControl/>
              <w:suppressLineNumbers w:val="0"/>
              <w:jc w:val="right"/>
            </w:pPr>
            <w:r>
              <w:rPr>
                <w:rFonts w:ascii="宋体" w:hAnsi="宋体" w:eastAsia="宋体" w:cs="宋体"/>
                <w:kern w:val="0"/>
                <w:sz w:val="24"/>
                <w:szCs w:val="24"/>
                <w:bdr w:val="none" w:color="auto" w:sz="0" w:space="0"/>
                <w:lang w:val="en-US" w:eastAsia="zh-CN" w:bidi="ar"/>
              </w:rPr>
              <w:t>分享到： </w:t>
            </w:r>
          </w:p>
          <w:p>
            <w:pPr>
              <w:keepNext w:val="0"/>
              <w:keepLines w:val="0"/>
              <w:widowControl/>
              <w:suppressLineNumbers w:val="0"/>
              <w:pBdr>
                <w:top w:val="none" w:color="auto" w:sz="0" w:space="0"/>
                <w:left w:val="none" w:color="auto" w:sz="0" w:space="0"/>
                <w:bottom w:val="none" w:color="auto" w:sz="0" w:space="0"/>
                <w:right w:val="none" w:color="auto" w:sz="0" w:space="0"/>
              </w:pBdr>
              <w:jc w:val="right"/>
            </w:pPr>
            <w:r>
              <w:rPr>
                <w:rFonts w:ascii="宋体" w:hAnsi="宋体" w:eastAsia="宋体" w:cs="宋体"/>
                <w:color w:val="333333"/>
                <w:kern w:val="0"/>
                <w:sz w:val="18"/>
                <w:szCs w:val="18"/>
                <w:u w:val="none"/>
                <w:bdr w:val="none" w:color="auto" w:sz="0" w:space="0"/>
                <w:lang w:val="en-US" w:eastAsia="zh-CN" w:bidi="ar"/>
              </w:rPr>
              <w:fldChar w:fldCharType="begin"/>
            </w:r>
            <w:r>
              <w:rPr>
                <w:rFonts w:ascii="宋体" w:hAnsi="宋体" w:eastAsia="宋体" w:cs="宋体"/>
                <w:color w:val="333333"/>
                <w:kern w:val="0"/>
                <w:sz w:val="18"/>
                <w:szCs w:val="18"/>
                <w:u w:val="none"/>
                <w:bdr w:val="none" w:color="auto" w:sz="0" w:space="0"/>
                <w:lang w:val="en-US" w:eastAsia="zh-CN" w:bidi="ar"/>
              </w:rPr>
              <w:instrText xml:space="preserve"> HYPERLINK "http://www.scdsjzx.cn/scdsjzx/guojiaxingdong/2022/6/24/92b4f1e6eb384a55b8e54d4f0b249142.shtml" </w:instrText>
            </w:r>
            <w:r>
              <w:rPr>
                <w:rFonts w:ascii="宋体" w:hAnsi="宋体" w:eastAsia="宋体" w:cs="宋体"/>
                <w:color w:val="333333"/>
                <w:kern w:val="0"/>
                <w:sz w:val="18"/>
                <w:szCs w:val="18"/>
                <w:u w:val="none"/>
                <w:bdr w:val="none" w:color="auto" w:sz="0" w:space="0"/>
                <w:lang w:val="en-US" w:eastAsia="zh-CN" w:bidi="ar"/>
              </w:rPr>
              <w:fldChar w:fldCharType="separate"/>
            </w:r>
            <w:r>
              <w:rPr>
                <w:rFonts w:ascii="宋体" w:hAnsi="宋体" w:eastAsia="宋体" w:cs="宋体"/>
                <w:color w:val="333333"/>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"http://www.scdsjzx.cn/scdsjzx/guojiaxingdong/2022/6/24/92b4f1e6eb384a55b8e54d4f0b249142.shtml" \o "分享到微信"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"http://www.scdsjzx.cn/scdsjzx/guojiaxingdong/2022/6/24/92b4f1e6eb384a55b8e54d4f0b249142.shtml" \o "分享到QQ好友"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r>
              <w:rPr>
                <w:rFonts w:ascii="宋体" w:hAnsi="宋体" w:eastAsia="宋体" w:cs="宋体"/>
                <w:color w:val="393939"/>
                <w:kern w:val="0"/>
                <w:sz w:val="18"/>
                <w:szCs w:val="18"/>
                <w:u w:val="none"/>
                <w:bdr w:val="none" w:color="auto" w:sz="0" w:space="0"/>
                <w:lang w:val="en-US" w:eastAsia="zh-CN" w:bidi="ar"/>
              </w:rPr>
              <w:fldChar w:fldCharType="begin"/>
            </w:r>
            <w:r>
              <w:rPr>
                <w:rFonts w:ascii="宋体" w:hAnsi="宋体" w:eastAsia="宋体" w:cs="宋体"/>
                <w:color w:val="393939"/>
                <w:kern w:val="0"/>
                <w:sz w:val="18"/>
                <w:szCs w:val="18"/>
                <w:u w:val="none"/>
                <w:bdr w:val="none" w:color="auto" w:sz="0" w:space="0"/>
                <w:lang w:val="en-US" w:eastAsia="zh-CN" w:bidi="ar"/>
              </w:rPr>
              <w:instrText xml:space="preserve"> HYPERLINK "http://www.scdsjzx.cn/scdsjzx/guojiaxingdong/2022/6/24/92b4f1e6eb384a55b8e54d4f0b249142.shtml" \o "分享到新浪微博" </w:instrText>
            </w:r>
            <w:r>
              <w:rPr>
                <w:rFonts w:ascii="宋体" w:hAnsi="宋体" w:eastAsia="宋体" w:cs="宋体"/>
                <w:color w:val="393939"/>
                <w:kern w:val="0"/>
                <w:sz w:val="18"/>
                <w:szCs w:val="18"/>
                <w:u w:val="none"/>
                <w:bdr w:val="none" w:color="auto" w:sz="0" w:space="0"/>
                <w:lang w:val="en-US" w:eastAsia="zh-CN" w:bidi="ar"/>
              </w:rPr>
              <w:fldChar w:fldCharType="separate"/>
            </w:r>
            <w:r>
              <w:rPr>
                <w:rFonts w:ascii="宋体" w:hAnsi="宋体" w:eastAsia="宋体" w:cs="宋体"/>
                <w:color w:val="393939"/>
                <w:kern w:val="0"/>
                <w:sz w:val="18"/>
                <w:szCs w:val="18"/>
                <w:u w:val="none"/>
                <w:bdr w:val="none" w:color="auto" w:sz="0" w:space="0"/>
                <w:lang w:val="en-US" w:eastAsia="zh-CN" w:bidi="ar"/>
              </w:rPr>
              <w:fldChar w:fldCharType="end"/>
            </w:r>
          </w:p>
        </w:tc>
      </w:tr>
    </w:tbl>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 日前，国务院印发《</w:t>
      </w:r>
      <w:r>
        <w:rPr>
          <w:rFonts w:hint="eastAsia" w:ascii="宋体" w:hAnsi="宋体" w:eastAsia="宋体" w:cs="宋体"/>
          <w:i w:val="0"/>
          <w:iCs w:val="0"/>
          <w:caps w:val="0"/>
          <w:color w:val="0000FF"/>
          <w:spacing w:val="0"/>
          <w:sz w:val="24"/>
          <w:szCs w:val="24"/>
          <w:u w:val="none"/>
          <w:shd w:val="clear" w:fill="FFFFFF"/>
        </w:rPr>
        <w:fldChar w:fldCharType="begin"/>
      </w:r>
      <w:r>
        <w:rPr>
          <w:rFonts w:hint="eastAsia" w:ascii="宋体" w:hAnsi="宋体" w:eastAsia="宋体" w:cs="宋体"/>
          <w:i w:val="0"/>
          <w:iCs w:val="0"/>
          <w:caps w:val="0"/>
          <w:color w:val="0000FF"/>
          <w:spacing w:val="0"/>
          <w:sz w:val="24"/>
          <w:szCs w:val="24"/>
          <w:u w:val="none"/>
          <w:shd w:val="clear" w:fill="FFFFFF"/>
        </w:rPr>
        <w:instrText xml:space="preserve"> HYPERLINK "http://www.scdsjzx.cn/scdsjzx/guojiazhengce/2022/6/23/4ac4654ca39c4991b5062f27ccaf5a8a.shtml" \t "http://www.scdsjzx.cn/scdsjzx/guojiaxingdong/2022/6/24/_blank" </w:instrText>
      </w:r>
      <w:r>
        <w:rPr>
          <w:rFonts w:hint="eastAsia" w:ascii="宋体" w:hAnsi="宋体" w:eastAsia="宋体" w:cs="宋体"/>
          <w:i w:val="0"/>
          <w:iCs w:val="0"/>
          <w:caps w:val="0"/>
          <w:color w:val="0000FF"/>
          <w:spacing w:val="0"/>
          <w:sz w:val="24"/>
          <w:szCs w:val="24"/>
          <w:u w:val="none"/>
          <w:shd w:val="clear" w:fill="FFFFFF"/>
        </w:rPr>
        <w:fldChar w:fldCharType="separate"/>
      </w:r>
      <w:r>
        <w:rPr>
          <w:rStyle w:val="5"/>
          <w:rFonts w:hint="eastAsia" w:ascii="宋体" w:hAnsi="宋体" w:eastAsia="宋体" w:cs="宋体"/>
          <w:i w:val="0"/>
          <w:iCs w:val="0"/>
          <w:caps w:val="0"/>
          <w:color w:val="0000FF"/>
          <w:spacing w:val="0"/>
          <w:sz w:val="24"/>
          <w:szCs w:val="24"/>
          <w:u w:val="none"/>
          <w:shd w:val="clear" w:fill="FFFFFF"/>
        </w:rPr>
        <w:t>关于加强数字政府建设的指导意见</w:t>
      </w:r>
      <w:r>
        <w:rPr>
          <w:rFonts w:hint="eastAsia" w:ascii="宋体" w:hAnsi="宋体" w:eastAsia="宋体" w:cs="宋体"/>
          <w:i w:val="0"/>
          <w:iCs w:val="0"/>
          <w:caps w:val="0"/>
          <w:color w:val="0000FF"/>
          <w:spacing w:val="0"/>
          <w:sz w:val="24"/>
          <w:szCs w:val="24"/>
          <w:u w:val="none"/>
          <w:shd w:val="clear" w:fill="FFFFFF"/>
        </w:rPr>
        <w:fldChar w:fldCharType="end"/>
      </w:r>
      <w:r>
        <w:rPr>
          <w:rFonts w:hint="eastAsia" w:ascii="宋体" w:hAnsi="宋体" w:eastAsia="宋体" w:cs="宋体"/>
          <w:i w:val="0"/>
          <w:iCs w:val="0"/>
          <w:caps w:val="0"/>
          <w:color w:val="020202"/>
          <w:spacing w:val="0"/>
          <w:sz w:val="24"/>
          <w:szCs w:val="24"/>
          <w:shd w:val="clear" w:fill="FFFFFF"/>
        </w:rPr>
        <w:t>》（以下简称《指导意见》），就主动顺应经济社会数字化转型趋势，充分释放数字化发展红利，全面开创数字政府建设新局面作出部署。</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指导意见》要求，要高举中国特色社会主义伟大旗帜，坚持以习近平新时代中国特色社会主义思想为指导，全面贯彻党的十九大和十九届历次全会精神，深入贯彻习近平总书记关于网络强国的重要思想，认真落实党中央、国务院决策部署，立足新发展阶段，完整、准确、全面贯彻新发展理念，构建新发展格局，将数字技术广泛应用于政府管理服务，推进政府治理流程优化、模式创新和履职能力提升，构建数字化、智能化的政府运行新形态，充分发挥数字政府建设对数字经济、数字社会、数字生态的引领作用，促进经济社会高质量发展，不断增强人民群众获得感、幸福感、安全感，为推进国家治理体系和治理能力现代化提供有力支撑。</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指导意见》提出两阶段工作目标，到2025年，与政府治理能力现代化相适应的数字政府顶层设计更加完善、统筹协调机制更加健全，政府履职数字化、智能化水平显著提升，政府决策科学化、社会治理精准化、公共服务高效化取得重要进展，数字政府建设在服务党和国家重大战略、促进经济社会高质量发展、建设人民满意的服务型政府等方面发挥重要作用。到2035年，与国家治理体系和治理能力现代化相适应的数字政府体系框架更加成熟完备，整体协同、敏捷高效、智能精准、开放透明、公平普惠的数字政府基本建成，为基本实现社会主义现代化提供有力支撑。</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指导意见》明确了数字政府建设的七方面重点任务。在构建协同高效的政府数字化履职能力体系方面，通过全面推进政府履职和政务运行数字化转型，强化经济运行大数据监测分析，大力推行智慧监管，积极推动数字化治理模式创新，持续优化利企便民数字化服务，强化生态环境动态感知和立体防控，加快推进数字机关建设，推进政务公开平台智能集约发展，创新行政管理和服务方式，全面提升政府履职效能。在构建数字政府全方位安全保障体系方面，强化安全管理责任，落实安全制度要求，提升安全保障能力，提高自主可控水平，筑牢数字政府建设安全防线。在构建科学规范的数字政府建设制度规则体系方面，以数字化改革助力政府职能转变，创新数字政府建设管理机制，完善法律法规制度，健全标准规范，开展试点示范，保障数字政府建设和运行整体协同、智能高效、平稳有序。在构建开放共享的数据资源体系方面，创新数据管理机制，深化数据高效共享，促进数据有序开发利用，充分释放数据要素价值。在构建智能集约的平台支撑体系方面，整合构建结构合理、智能集约的平台支撑体系，强化政务云平台、网络平台及重点共性应用支撑能力，全面夯实数字政府建设根基。在以数字政府建设全面引领驱动数字化发展方面，通过持续增强数字政府效能，更好激发数字经济活力，优化数字社会环境，营造良好数字生态。在加强党对数字政府建设工作的领导方面，加强党中央对数字政府建设工作的集中统一领导，健全推进机制，提升数字素养，强化考核评估，把党的政治优势、组织优势转化为数字政府建设的强大动力和坚强保障，确保数字政府建设重大决策部署贯彻落实。</w:t>
      </w:r>
    </w:p>
    <w:p>
      <w:pPr>
        <w:pStyle w:val="2"/>
        <w:keepNext w:val="0"/>
        <w:keepLines w:val="0"/>
        <w:widowControl/>
        <w:suppressLineNumbers w:val="0"/>
        <w:spacing w:before="420" w:beforeAutospacing="0" w:after="105" w:afterAutospacing="0" w:line="30" w:lineRule="atLeast"/>
        <w:ind w:left="0" w:firstLine="420"/>
        <w:jc w:val="both"/>
        <w:rPr>
          <w:rFonts w:hint="eastAsia" w:ascii="宋体" w:hAnsi="宋体" w:eastAsia="宋体" w:cs="宋体"/>
          <w:sz w:val="24"/>
          <w:szCs w:val="24"/>
        </w:rPr>
      </w:pPr>
      <w:r>
        <w:rPr>
          <w:rFonts w:hint="eastAsia" w:ascii="宋体" w:hAnsi="宋体" w:eastAsia="宋体" w:cs="宋体"/>
          <w:i w:val="0"/>
          <w:iCs w:val="0"/>
          <w:caps w:val="0"/>
          <w:color w:val="020202"/>
          <w:spacing w:val="0"/>
          <w:sz w:val="24"/>
          <w:szCs w:val="24"/>
          <w:shd w:val="clear" w:fill="FFFFFF"/>
        </w:rPr>
        <w:t>《指导意见》提出，成立由国务院领导同志任组长的数字政府建设工作领导小组，统筹指导协调数字政府建设，办公室设在国务院办公厅，具体负责组织推进落实。各地区各部门也要建立健全本地区本部门数字政府建设领导协调机制，保障数字政府建设有序推进</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2MjFkNWRkZTBmMjM1NGY5YzRiOWNjMWRmN2JmZmUifQ=="/>
  </w:docVars>
  <w:rsids>
    <w:rsidRoot w:val="00000000"/>
    <w:rsid w:val="0DFD29A0"/>
    <w:rsid w:val="0FD52407"/>
    <w:rsid w:val="121835FB"/>
    <w:rsid w:val="2A32072A"/>
    <w:rsid w:val="31750AF3"/>
    <w:rsid w:val="3F122D72"/>
    <w:rsid w:val="4C305D93"/>
    <w:rsid w:val="59195AB4"/>
    <w:rsid w:val="603F27D2"/>
    <w:rsid w:val="68123617"/>
    <w:rsid w:val="682B1E55"/>
    <w:rsid w:val="71BF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12878</Words>
  <Characters>13196</Characters>
  <Lines>0</Lines>
  <Paragraphs>0</Paragraphs>
  <TotalTime>0</TotalTime>
  <ScaleCrop>false</ScaleCrop>
  <LinksUpToDate>false</LinksUpToDate>
  <CharactersWithSpaces>13202</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2022-06-26T12:37:28Z</dcterms:created>
  <dc:creator>Administrator</dc:creator>
  <cp:lastModifiedBy>王洋</cp:lastModifiedBy>
  <dcterms:modified xsi:type="dcterms:W3CDTF">2022-06-26T15:22:59Z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48AB60240CC64B6E80469F3448F077DA</vt:lpwstr>
  </property>
</Properties>
</file>