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5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52"/>
          <w:u w:val="none"/>
          <w:lang w:val="en-US" w:eastAsia="zh-CN"/>
          <w14:textFill>
            <w14:solidFill>
              <w14:schemeClr w14:val="tx1"/>
            </w14:solidFill>
          </w14:textFill>
        </w:rPr>
        <w:t>项目需求简报-系统功能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52"/>
          <w:u w:val="none"/>
          <w:lang w:val="en-US" w:eastAsia="zh-CN"/>
          <w14:textFill>
            <w14:solidFill>
              <w14:schemeClr w14:val="tx1"/>
            </w14:solidFill>
          </w14:textFill>
        </w:rPr>
        <w:t>分析v1.0</w:t>
      </w:r>
    </w:p>
    <w:p>
      <w:pPr>
        <w:spacing w:line="480" w:lineRule="auto"/>
        <w:jc w:val="left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奥普肯自动化办公平台分为8个模块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系统管理</w:t>
      </w:r>
    </w:p>
    <w:p>
      <w:pPr>
        <w:numPr>
          <w:numId w:val="0"/>
        </w:numPr>
        <w:spacing w:line="480" w:lineRule="auto"/>
        <w:jc w:val="left"/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系统菜单、系统安全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访问限制、二级加密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val="en-US" w:eastAsia="zh-CN"/>
        </w:rPr>
        <w:t>系统资源管理、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用户管理（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val="en-US" w:eastAsia="zh-CN"/>
        </w:rPr>
        <w:t>登录、注册、删改</w:t>
      </w: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）。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项目管理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项目计划管理、自定义项目类型、项目知识管理、项目文档共享、项目流程管理。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人事管理</w:t>
      </w:r>
    </w:p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人员考核、人事调整、薪酬管理、福利管理、人事档案。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办公用品管理</w:t>
      </w:r>
    </w:p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请购发起管理、库存监控、领取通知、物流管理。信息发布管理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信息发布管理</w:t>
      </w:r>
    </w:p>
    <w:p>
      <w:pPr>
        <w:spacing w:line="360" w:lineRule="auto"/>
        <w:jc w:val="both"/>
        <w:rPr>
          <w:rFonts w:hint="default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信息归类管理、意见箱、论坛管理、新闻发布。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会议管理</w:t>
      </w:r>
    </w:p>
    <w:p>
      <w:pPr>
        <w:numPr>
          <w:numId w:val="0"/>
        </w:numPr>
        <w:spacing w:line="480" w:lineRule="auto"/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会议纪要、会议通知、会议室管理、会议审批。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邮箱管理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收发邮件、自定义文件夹、邮件规则设置。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  <w:lang w:eastAsia="zh-CN"/>
        </w:rPr>
        <w:t>车辆管理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  <w:t>车辆资料记录、车辆使用管理、用车申请管理。</w:t>
      </w:r>
    </w:p>
    <w:p>
      <w:pPr>
        <w:numPr>
          <w:numId w:val="0"/>
        </w:numPr>
        <w:spacing w:line="480" w:lineRule="auto"/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color w:val="auto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Cs w:val="21"/>
          <w:lang w:eastAsia="zh-CN"/>
        </w:rPr>
      </w:pPr>
    </w:p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auto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3E520"/>
    <w:multiLevelType w:val="singleLevel"/>
    <w:tmpl w:val="5E03E5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85047"/>
    <w:rsid w:val="4DE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2019-11-04T06:38:00Z</dcterms:created>
  <dc:creator>仙豆</dc:creator>
  <cp:lastModifiedBy>仙豆</cp:lastModifiedBy>
  <dcterms:modified xsi:type="dcterms:W3CDTF">2019-11-04T06:49:02Z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