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8.png" ContentType="image/png"/>
  <Override PartName="/word/media/rId21.png" ContentType="image/png"/>
  <Override PartName="/word/media/rId25.png" ContentType="image/png"/>
  <Override PartName="/word/media/rId32.png" ContentType="image/png"/>
  <Override PartName="/word/media/rId43.png" ContentType="image/png"/>
  <Override PartName="/word/media/rId36.png" ContentType="image/png"/>
  <Override PartName="/word/media/rId39.png" ContentType="image/png"/>
  <Override PartName="/word/media/rId47.png" ContentType="image/png"/>
  <Override PartName="/word/media/rId50.png" ContentType="image/png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Включение графики в LaTeX</w:t>
      </w:r>
    </w:p>
    <w:p>
      <w:pPr>
        <w:pStyle w:val="Author"/>
      </w:pPr>
      <w:r>
        <w:t xml:space="preserve">Ван Яо</w:t>
      </w:r>
    </w:p>
    <w:p>
      <w:pPr>
        <w:pStyle w:val="Date"/>
      </w:pPr>
      <w:r>
        <w:t xml:space="preserve">2026-10-17</w:t>
      </w:r>
    </w:p>
    <w:bookmarkStart w:id="14" w:name="информация"/>
    <w:p>
      <w:pPr>
        <w:pStyle w:val="Heading1"/>
      </w:pPr>
      <w:r>
        <w:t xml:space="preserve">Информация</w:t>
      </w:r>
    </w:p>
    <w:bookmarkStart w:id="13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Ван Яо</w:t>
      </w:r>
    </w:p>
    <w:p>
      <w:pPr>
        <w:pStyle w:val="Compact"/>
        <w:numPr>
          <w:ilvl w:val="0"/>
          <w:numId w:val="1001"/>
        </w:numPr>
      </w:pPr>
      <w:r>
        <w:t xml:space="preserve">Студент ФФМиЕН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1132259420@rudn.ru</w:t>
        </w:r>
      </w:hyperlink>
    </w:p>
    <w:p>
      <w:pPr>
        <w:pStyle w:val="FirstParagraph"/>
      </w:pPr>
      <w:r>
        <w:drawing>
          <wp:inline>
            <wp:extent cx="3733800" cy="523992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/av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End w:id="14"/>
    <w:bookmarkStart w:id="17" w:name="вводная-часть"/>
    <w:p>
      <w:pPr>
        <w:pStyle w:val="Heading1"/>
      </w:pPr>
      <w:r>
        <w:t xml:space="preserve">Вводная часть</w:t>
      </w:r>
    </w:p>
    <w:bookmarkStart w:id="15" w:name="цели-и-задачи"/>
    <w:p>
      <w:pPr>
        <w:pStyle w:val="Heading2"/>
      </w:pPr>
      <w:r>
        <w:t xml:space="preserve">Цели и задачи</w:t>
      </w:r>
    </w:p>
    <w:p>
      <w:pPr>
        <w:pStyle w:val="Compact"/>
        <w:numPr>
          <w:ilvl w:val="0"/>
          <w:numId w:val="1002"/>
        </w:numPr>
      </w:pPr>
      <w:r>
        <w:t xml:space="preserve">Цель:</w:t>
      </w:r>
    </w:p>
    <w:p>
      <w:pPr>
        <w:pStyle w:val="Compact"/>
        <w:numPr>
          <w:ilvl w:val="1"/>
          <w:numId w:val="1003"/>
        </w:numPr>
      </w:pPr>
      <w:r>
        <w:t xml:space="preserve">изучить способы включения графики в документ LaTeX</w:t>
      </w:r>
    </w:p>
    <w:p>
      <w:pPr>
        <w:pStyle w:val="Compact"/>
        <w:numPr>
          <w:ilvl w:val="0"/>
          <w:numId w:val="1002"/>
        </w:numPr>
      </w:pPr>
      <w:r>
        <w:t xml:space="preserve">Задачи:</w:t>
      </w:r>
    </w:p>
    <w:p>
      <w:pPr>
        <w:pStyle w:val="Compact"/>
        <w:numPr>
          <w:ilvl w:val="1"/>
          <w:numId w:val="1004"/>
        </w:numPr>
      </w:pPr>
      <w:r>
        <w:t xml:space="preserve">базовые команды пакета</w:t>
      </w:r>
      <w:r>
        <w:t xml:space="preserve"> </w:t>
      </w:r>
      <w:r>
        <w:rPr>
          <w:rStyle w:val="VerbatimChar"/>
        </w:rPr>
        <w:t xml:space="preserve">graphicx</w:t>
      </w:r>
    </w:p>
    <w:p>
      <w:pPr>
        <w:pStyle w:val="Compact"/>
        <w:numPr>
          <w:ilvl w:val="1"/>
          <w:numId w:val="1004"/>
        </w:numPr>
      </w:pPr>
      <w:r>
        <w:t xml:space="preserve">изменение параметров (размер, обрезка, поворот)</w:t>
      </w:r>
    </w:p>
    <w:p>
      <w:pPr>
        <w:pStyle w:val="Compact"/>
        <w:numPr>
          <w:ilvl w:val="1"/>
          <w:numId w:val="1004"/>
        </w:numPr>
      </w:pPr>
      <w:r>
        <w:t xml:space="preserve">плавающие объекты (floats) и их размещение</w:t>
      </w:r>
    </w:p>
    <w:p>
      <w:pPr>
        <w:pStyle w:val="Compact"/>
        <w:numPr>
          <w:ilvl w:val="1"/>
          <w:numId w:val="1004"/>
        </w:numPr>
      </w:pPr>
      <w:r>
        <w:t xml:space="preserve">механизм перекрёстных ссылок (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хранение графики в подкаталогах</w:t>
      </w:r>
    </w:p>
    <w:bookmarkEnd w:id="15"/>
    <w:bookmarkStart w:id="16" w:name="пакет-graphicx"/>
    <w:p>
      <w:pPr>
        <w:pStyle w:val="Heading2"/>
      </w:pPr>
      <w:r>
        <w:t xml:space="preserve">Пакет graphicx</w:t>
      </w:r>
    </w:p>
    <w:p>
      <w:pPr>
        <w:pStyle w:val="Compact"/>
        <w:numPr>
          <w:ilvl w:val="0"/>
          <w:numId w:val="1005"/>
        </w:numPr>
      </w:pPr>
      <w:r>
        <w:t xml:space="preserve">Для вставки используется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и команда</w:t>
      </w:r>
      <w:r>
        <w:t xml:space="preserve"> </w:t>
      </w:r>
      <w:r>
        <w:rPr>
          <w:rStyle w:val="VerbatimChar"/>
        </w:rPr>
        <w:t xml:space="preserve">\includegraphics</w:t>
      </w:r>
    </w:p>
    <w:p>
      <w:pPr>
        <w:pStyle w:val="Compact"/>
        <w:numPr>
          <w:ilvl w:val="0"/>
          <w:numId w:val="1005"/>
        </w:numPr>
      </w:pPr>
      <w:r>
        <w:t xml:space="preserve">Поддерживаются форматы: EPS, PNG, JPG, PDF</w:t>
      </w:r>
    </w:p>
    <w:p>
      <w:pPr>
        <w:pStyle w:val="Compact"/>
        <w:numPr>
          <w:ilvl w:val="0"/>
          <w:numId w:val="1005"/>
        </w:numPr>
      </w:pPr>
      <w:r>
        <w:t xml:space="preserve">Управление размером: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(с сохранением пропорций)</w:t>
      </w:r>
    </w:p>
    <w:p>
      <w:pPr>
        <w:pStyle w:val="Compact"/>
        <w:numPr>
          <w:ilvl w:val="0"/>
          <w:numId w:val="1005"/>
        </w:numPr>
      </w:pPr>
      <w:r>
        <w:t xml:space="preserve">Обрезка (</w:t>
      </w:r>
      <w:r>
        <w:rPr>
          <w:rStyle w:val="VerbatimChar"/>
        </w:rPr>
        <w:t xml:space="preserve">clip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</w:t>
      </w:r>
      <w:r>
        <w:t xml:space="preserve">) и поворот (</w:t>
      </w:r>
      <w:r>
        <w:rPr>
          <w:rStyle w:val="VerbatimChar"/>
        </w:rPr>
        <w:t xml:space="preserve">angle</w:t>
      </w:r>
      <w:r>
        <w:t xml:space="preserve">)</w:t>
      </w:r>
    </w:p>
    <w:bookmarkEnd w:id="16"/>
    <w:bookmarkEnd w:id="17"/>
    <w:bookmarkStart w:id="54" w:name="ход-выполнения-работы"/>
    <w:p>
      <w:pPr>
        <w:pStyle w:val="Heading1"/>
      </w:pPr>
      <w:r>
        <w:t xml:space="preserve">Ход выполнения работы</w:t>
      </w:r>
    </w:p>
    <w:bookmarkStart w:id="24" w:name="базовое-включение-и-размеры"/>
    <w:p>
      <w:pPr>
        <w:pStyle w:val="Heading2"/>
      </w:pPr>
      <w:r>
        <w:t xml:space="preserve">Базовое включение и размеры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[height=2cm]{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400300" cy="136820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/4.1-basic-outpu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68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310668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4.1-size-outpu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10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обрезка-и-поворот"/>
    <w:p>
      <w:pPr>
        <w:pStyle w:val="Heading2"/>
      </w:pPr>
      <w:r>
        <w:t xml:space="preserve">Обрезка и поворот</w:t>
      </w:r>
    </w:p>
    <w:p>
      <w:pPr>
        <w:pStyle w:val="Compact"/>
        <w:numPr>
          <w:ilvl w:val="0"/>
          <w:numId w:val="1006"/>
        </w:numPr>
      </w:pPr>
      <w:r>
        <w:t xml:space="preserve">Обрезка с помощью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trim</w:t>
      </w:r>
    </w:p>
    <w:p>
      <w:pPr>
        <w:pStyle w:val="Compact"/>
        <w:numPr>
          <w:ilvl w:val="0"/>
          <w:numId w:val="1006"/>
        </w:numPr>
      </w:pPr>
      <w:r>
        <w:t xml:space="preserve">Поворот через параметр</w:t>
      </w:r>
      <w:r>
        <w:t xml:space="preserve"> </w:t>
      </w:r>
      <w:r>
        <w:rPr>
          <w:rStyle w:val="VerbatimChar"/>
        </w:rPr>
        <w:t xml:space="preserve">angle</w:t>
      </w:r>
    </w:p>
    <w:p>
      <w:pPr>
        <w:pStyle w:val="SourceCode"/>
      </w:pPr>
      <w:r>
        <w:rPr>
          <w:rStyle w:val="BuiltInTok"/>
        </w:rPr>
        <w:t xml:space="preserve">\includegraphics</w:t>
      </w:r>
      <w:r>
        <w:rPr>
          <w:rStyle w:val="NormalTok"/>
        </w:rPr>
        <w:t xml:space="preserve">[angle=45, width=0.4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400300" cy="258590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4.1-trim-outpu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58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63865" cy="293096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4.1-rotate-outpu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865" cy="293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плавающие-объекты-floats"/>
    <w:p>
      <w:pPr>
        <w:pStyle w:val="Heading2"/>
      </w:pPr>
      <w:r>
        <w:t xml:space="preserve">Плавающие объекты (floats)</w:t>
      </w:r>
    </w:p>
    <w:p>
      <w:pPr>
        <w:pStyle w:val="Compact"/>
        <w:numPr>
          <w:ilvl w:val="0"/>
          <w:numId w:val="1007"/>
        </w:numPr>
      </w:pPr>
      <w:r>
        <w:t xml:space="preserve">Изображения обычно помещают в окружение</w:t>
      </w:r>
      <w:r>
        <w:t xml:space="preserve"> </w:t>
      </w:r>
      <w:r>
        <w:rPr>
          <w:rStyle w:val="VerbatimChar"/>
        </w:rPr>
        <w:t xml:space="preserve">figure</w:t>
      </w:r>
    </w:p>
    <w:p>
      <w:pPr>
        <w:pStyle w:val="Compact"/>
        <w:numPr>
          <w:ilvl w:val="0"/>
          <w:numId w:val="1007"/>
        </w:numPr>
      </w:pPr>
      <w:r>
        <w:t xml:space="preserve">LaTeX сам оптимизирует положение объекта</w:t>
      </w:r>
    </w:p>
    <w:p>
      <w:pPr>
        <w:pStyle w:val="Compact"/>
        <w:numPr>
          <w:ilvl w:val="0"/>
          <w:numId w:val="1007"/>
        </w:numPr>
      </w:pPr>
      <w:r>
        <w:t xml:space="preserve">Параметры размещения: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(here),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(top),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(bottom),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(page)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{An example image}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200400" cy="4141694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4.2-float-output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41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42" w:name="X2a5dff4397d7719f2be2e7aa3e05b4056d40b53"/>
    <w:p>
      <w:pPr>
        <w:pStyle w:val="Heading2"/>
      </w:pPr>
      <w:r>
        <w:t xml:space="preserve">Строгое размещение и пользовательские floats</w:t>
      </w:r>
    </w:p>
    <w:p>
      <w:pPr>
        <w:pStyle w:val="Compact"/>
        <w:numPr>
          <w:ilvl w:val="0"/>
          <w:numId w:val="1008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и параметр</w:t>
      </w:r>
      <w:r>
        <w:t xml:space="preserve"> </w:t>
      </w:r>
      <w:r>
        <w:rPr>
          <w:rStyle w:val="VerbatimChar"/>
        </w:rPr>
        <w:t xml:space="preserve">[H]</w:t>
      </w:r>
      <w:r>
        <w:t xml:space="preserve"> </w:t>
      </w:r>
      <w:r>
        <w:t xml:space="preserve">для строгого размещения</w:t>
      </w:r>
    </w:p>
    <w:p>
      <w:pPr>
        <w:pStyle w:val="Compact"/>
        <w:numPr>
          <w:ilvl w:val="0"/>
          <w:numId w:val="1008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trivfloat</w:t>
      </w:r>
      <w:r>
        <w:t xml:space="preserve"> </w:t>
      </w:r>
      <w:r>
        <w:t xml:space="preserve">для создания новых типов окружений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float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}[H] ...</w:t>
      </w:r>
    </w:p>
    <w:p>
      <w:pPr>
        <w:pStyle w:val="FirstParagraph"/>
      </w:pPr>
      <w:r>
        <w:drawing>
          <wp:inline>
            <wp:extent cx="2400300" cy="310627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4.6-H-output-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106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310645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4.7-trivfloat-output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106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пути-к-файлам"/>
    <w:p>
      <w:pPr>
        <w:pStyle w:val="Heading2"/>
      </w:pPr>
      <w:r>
        <w:t xml:space="preserve">Пути к файлам</w:t>
      </w:r>
    </w:p>
    <w:p>
      <w:pPr>
        <w:pStyle w:val="Compact"/>
        <w:numPr>
          <w:ilvl w:val="0"/>
          <w:numId w:val="1009"/>
        </w:numPr>
      </w:pPr>
      <w:r>
        <w:t xml:space="preserve">Именование файлов без пробелов</w:t>
      </w:r>
    </w:p>
    <w:p>
      <w:pPr>
        <w:pStyle w:val="Compact"/>
        <w:numPr>
          <w:ilvl w:val="0"/>
          <w:numId w:val="1009"/>
        </w:numPr>
      </w:pPr>
      <w:r>
        <w:t xml:space="preserve">Настройка путей поиска с помощью</w:t>
      </w:r>
      <w:r>
        <w:t xml:space="preserve"> </w:t>
      </w:r>
      <w:r>
        <w:rPr>
          <w:rStyle w:val="VerbatimChar"/>
        </w:rPr>
        <w:t xml:space="preserve">\graphicspath</w:t>
      </w:r>
    </w:p>
    <w:p>
      <w:pPr>
        <w:pStyle w:val="SourceCode"/>
      </w:pPr>
      <w:r>
        <w:rPr>
          <w:rStyle w:val="FunctionTok"/>
        </w:rPr>
        <w:t xml:space="preserve">\graphicspath</w:t>
      </w:r>
      <w:r>
        <w:rPr>
          <w:rStyle w:val="NormalTok"/>
        </w:rPr>
        <w:t xml:space="preserve">{{figs/}{pics/}}</w:t>
      </w:r>
    </w:p>
    <w:p>
      <w:pPr>
        <w:pStyle w:val="FirstParagraph"/>
      </w:pPr>
      <w:r>
        <w:drawing>
          <wp:inline>
            <wp:extent cx="3200400" cy="414099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4.4subdir-output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40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3" w:name="перекрёстные-ссылки"/>
    <w:p>
      <w:pPr>
        <w:pStyle w:val="Heading2"/>
      </w:pPr>
      <w:r>
        <w:t xml:space="preserve">Перекрёстные ссылки</w:t>
      </w:r>
    </w:p>
    <w:p>
      <w:pPr>
        <w:pStyle w:val="Compact"/>
        <w:numPr>
          <w:ilvl w:val="0"/>
          <w:numId w:val="1010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</w:p>
    <w:p>
      <w:pPr>
        <w:pStyle w:val="Compact"/>
        <w:numPr>
          <w:ilvl w:val="0"/>
          <w:numId w:val="1010"/>
        </w:numPr>
      </w:pPr>
      <w:r>
        <w:t xml:space="preserve">Важно: требуется двойная компиляция для обновления ссылок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hyperref</w:t>
      </w:r>
      <w:r>
        <w:t xml:space="preserve"> </w:t>
      </w:r>
      <w:r>
        <w:t xml:space="preserve">делает ссылки кликабельными</w:t>
      </w:r>
    </w:p>
    <w:p>
      <w:pPr>
        <w:pStyle w:val="SourceCode"/>
      </w:pP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fig:example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See Figure~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fig:example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400300" cy="310574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4.8-fig-ref-output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10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310603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4.8-hyperref-outp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106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bookmarkStart w:id="56" w:name="заключение"/>
    <w:p>
      <w:pPr>
        <w:pStyle w:val="Heading1"/>
      </w:pPr>
      <w:r>
        <w:t xml:space="preserve">Заключение</w:t>
      </w:r>
    </w:p>
    <w:bookmarkStart w:id="55" w:name="заключение-1"/>
    <w:p>
      <w:pPr>
        <w:pStyle w:val="Heading2"/>
      </w:pPr>
      <w:r>
        <w:t xml:space="preserve">Заключение</w:t>
      </w:r>
    </w:p>
    <w:p>
      <w:pPr>
        <w:pStyle w:val="Compact"/>
        <w:numPr>
          <w:ilvl w:val="0"/>
          <w:numId w:val="1011"/>
        </w:numPr>
      </w:pPr>
      <w:r>
        <w:t xml:space="preserve">Изучили базовые команды вставки графики (</w:t>
      </w:r>
      <w:r>
        <w:rPr>
          <w:rStyle w:val="VerbatimChar"/>
        </w:rPr>
        <w:t xml:space="preserve">graphicx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Освоили управление размером, обрезку и поворот</w:t>
      </w:r>
    </w:p>
    <w:p>
      <w:pPr>
        <w:pStyle w:val="Compact"/>
        <w:numPr>
          <w:ilvl w:val="0"/>
          <w:numId w:val="1011"/>
        </w:numPr>
      </w:pPr>
      <w:r>
        <w:t xml:space="preserve">Разобрали работу с плавающими объектами (</w:t>
      </w:r>
      <w:r>
        <w:rPr>
          <w:rStyle w:val="VerbatimChar"/>
        </w:rPr>
        <w:t xml:space="preserve">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trivfloat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Научились создавать перекрёстные ссылки (</w:t>
      </w:r>
      <w:r>
        <w:rPr>
          <w:rStyle w:val="VerbatimChar"/>
        </w:rPr>
        <w:t xml:space="preserve">\label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\ref</w:t>
      </w:r>
      <w:r>
        <w:t xml:space="preserve">) и гиперссылки (</w:t>
      </w:r>
      <w:r>
        <w:rPr>
          <w:rStyle w:val="VerbatimChar"/>
        </w:rPr>
        <w:t xml:space="preserve">hyperref</w:t>
      </w:r>
      <w:r>
        <w:t xml:space="preserve">)</w:t>
      </w:r>
      <w:r>
        <w:t xml:space="preserve"> </w:t>
      </w:r>
      <w:r>
        <w:t xml:space="preserve">```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43" Target="media/rId4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10" Target="media/rId10.jpg" /><Relationship Type="http://schemas.openxmlformats.org/officeDocument/2006/relationships/hyperlink" Id="rId9" Target="mailto:1132259420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132259420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Ван Яо</dc:creator>
  <dc:language>ru-RU</dc:language>
  <cp:keywords/>
  <dcterms:created xsi:type="dcterms:W3CDTF">2026-10-17T12:29:21Z</dcterms:created>
  <dcterms:modified xsi:type="dcterms:W3CDTF">2026-10-17T12:29:21Z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2026-10-17</vt:lpwstr>
  </property>
  <property fmtid="{D5CDD505-2E9C-101B-9397-08002B2CF9AE}" pid="9" name="date-format">
    <vt:lpwstr>YYYY-MM-DD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Включение графики в LaTeX</vt:lpwstr>
  </property>
  <property fmtid="{D5CDD505-2E9C-101B-9397-08002B2CF9AE}" pid="16" name="toc-title">
    <vt:lpwstr>Содержание</vt:lpwstr>
  </property>
</Properties>
</file>