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2.png" ContentType="image/png"/>
  <Override PartName="/word/media/rId24.png" ContentType="image/png"/>
  <Override PartName="/word/media/rId28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60.png" ContentType="image/png"/>
  <Override PartName="/word/media/rId64.png" ContentType="image/png"/>
  <Override PartName="/word/media/rId56.png" ContentType="image/png"/>
  <Override PartName="/word/media/rId6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Включение графики в LaTeX</w:t>
      </w:r>
    </w:p>
    <w:p>
      <w:pPr>
        <w:pStyle w:val="Author"/>
      </w:pPr>
      <w:r>
        <w:t xml:space="preserve">Ван 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Современные научные и технические документы редко обходятся без графических материалов. Иллюстрации, графики и схемы помогают наглядно представить результаты работы, облегчая их восприятие читателем. Поэтому освоение вставки и оформления изображений в LaTeX является важным этапом подготовки к написанию научных работ.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способы включения графических изображений в документ LaTeX с помощью пакета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освоить настройку внешнего вида изображений, работу с плавающими объектами, а также механизм перекрёстных ссылок.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базовые команды включения графики (</w:t>
      </w:r>
      <w:r>
        <w:rPr>
          <w:rStyle w:val="VerbatimChar"/>
        </w:rPr>
        <w:t xml:space="preserve">\includegraphics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Освоить изменение параметров изображений (размер, обрезка, поворот).</w:t>
      </w:r>
    </w:p>
    <w:p>
      <w:pPr>
        <w:pStyle w:val="Compact"/>
        <w:numPr>
          <w:ilvl w:val="0"/>
          <w:numId w:val="1001"/>
        </w:numPr>
      </w:pPr>
      <w:r>
        <w:t xml:space="preserve">Изучить работу с плавающими объектами (floats) и их размещением.</w:t>
      </w:r>
    </w:p>
    <w:p>
      <w:pPr>
        <w:pStyle w:val="Compact"/>
        <w:numPr>
          <w:ilvl w:val="0"/>
          <w:numId w:val="1001"/>
        </w:numPr>
      </w:pPr>
      <w:r>
        <w:t xml:space="preserve">Изучить механизм перекрёстных ссылок (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Изучить особенности хранения графики в подкаталогах.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процесс вёрстки документов в LaTeX. Предметом исследования выступают пакеты и команды для работы с графикой.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использовались экспериментальные методы: написание тестовых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файлов, их компиляция в движке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и визуальный анализ полученных PDF-документов.</w:t>
      </w:r>
    </w:p>
    <w:bookmarkEnd w:id="13"/>
    <w:bookmarkStart w:id="17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r>
        <w:rPr>
          <w:b/>
          <w:bCs/>
        </w:rPr>
        <w:t xml:space="preserve">?@fig-flowchart</w:t>
      </w:r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p>
      <w:pPr>
        <w:pStyle w:val="BodyText"/>
      </w:pPr>
    </w:p>
    <w:p>
      <w:pPr>
        <w:pStyle w:val="BodyText"/>
      </w:pPr>
      <w:r>
        <w:drawing>
          <wp:inline>
            <wp:extent cx="5334000" cy="112514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practical-scientific-writing-lab04-report_files/figure-docx/mermaid-figur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pPr>
        <w:pStyle w:val="BodyText"/>
      </w:pPr>
      <w:r>
        <w:t xml:space="preserve">Блок-схема выполнения лабораторной работы</w:t>
      </w:r>
    </w:p>
    <w:bookmarkEnd w:id="17"/>
    <w:bookmarkEnd w:id="18"/>
    <w:bookmarkStart w:id="19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Для включения графики в LaTeX используется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который добавляет команду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. Данный пакет поддерживает форматы EPS, PNG, JPG и PDF</w:t>
      </w:r>
      <w:r>
        <w:t xml:space="preserve"> </w:t>
      </w:r>
      <w:r>
        <w:t xml:space="preserve">[</w:t>
      </w:r>
      <w:r>
        <w:rPr>
          <w:b/>
          <w:bCs/>
        </w:rPr>
        <w:t xml:space="preserve">graphicx_doc?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вставляет изображение в его естественном размере, что часто неудобно. Пакет позволяет управлять шириной (</w:t>
      </w:r>
      <w:r>
        <w:rPr>
          <w:rStyle w:val="VerbatimChar"/>
        </w:rPr>
        <w:t xml:space="preserve">width</w:t>
      </w:r>
      <w:r>
        <w:t xml:space="preserve">), высотой (</w:t>
      </w:r>
      <w:r>
        <w:rPr>
          <w:rStyle w:val="VerbatimChar"/>
        </w:rPr>
        <w:t xml:space="preserve">height</w:t>
      </w:r>
      <w:r>
        <w:t xml:space="preserve">) и масштабом (</w:t>
      </w:r>
      <w:r>
        <w:rPr>
          <w:rStyle w:val="VerbatimChar"/>
        </w:rPr>
        <w:t xml:space="preserve">scale</w:t>
      </w:r>
      <w:r>
        <w:t xml:space="preserve">). Для сохранения пропорций достаточно задать только один параметр. Также доступна обрезка (</w:t>
      </w:r>
      <w:r>
        <w:rPr>
          <w:rStyle w:val="VerbatimChar"/>
        </w:rPr>
        <w:t xml:space="preserve">trim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</w:t>
      </w:r>
      <w:r>
        <w:t xml:space="preserve">) и поворот (</w:t>
      </w:r>
      <w:r>
        <w:rPr>
          <w:rStyle w:val="VerbatimChar"/>
        </w:rPr>
        <w:t xml:space="preserve">angle</w:t>
      </w:r>
      <w:r>
        <w:t xml:space="preserve">).</w:t>
      </w:r>
    </w:p>
    <w:p>
      <w:pPr>
        <w:pStyle w:val="BodyText"/>
      </w:pPr>
      <w:r>
        <w:t xml:space="preserve">Обычно графику не вставляют прямо в текст, а используют так называемые «плавающие объекты» (floats) — например, окружение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. LaTeX автоматически размещает такие объекты в наиболее подходящем месте страницы, чтобы избежать больших пустых пробелов, при этом сохраняя нумерацию и подписи</w:t>
      </w:r>
      <w:r>
        <w:t xml:space="preserve"> </w:t>
      </w:r>
      <w:r>
        <w:t xml:space="preserve">[</w:t>
      </w:r>
      <w:r>
        <w:rPr>
          <w:b/>
          <w:bCs/>
        </w:rPr>
        <w:t xml:space="preserve">lshort?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Для ссылок на рисунки в тексте используется механизм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, который требует как минимум двух проходов компиляции для разрешения ссылок. Для превращения ссылок в кликабельные используется 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[</w:t>
      </w:r>
      <w:r>
        <w:rPr>
          <w:b/>
          <w:bCs/>
        </w:rPr>
        <w:t xml:space="preserve">hyperref_doc?</w:t>
      </w:r>
      <w:r>
        <w:t xml:space="preserve">]</w:t>
      </w:r>
      <w:r>
        <w:t xml:space="preserve">.</w:t>
      </w:r>
    </w:p>
    <w:bookmarkEnd w:id="19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Базовое включение (4.1-basic.tex)</w:t>
      </w:r>
      <w:r>
        <w:t xml:space="preserve">. Подключили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и вставили тестовое изображение с фиксированной высотой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[T1]{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This picture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[height=2cm]{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is an imported PDF.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4.1-basic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Базовое включение изображения</w:t>
            </w:r>
          </w:p>
          <w:bookmarkEnd w:id="23"/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Изменение размера (4.1-size.tex)</w:t>
      </w:r>
      <w:r>
        <w:t xml:space="preserve">. Использовали параметры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относительно размеров текстового блока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[height=0.5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Some text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2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1-size-output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Изменение размера изображения</w:t>
            </w:r>
          </w:p>
          <w:bookmarkEnd w:id="27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Обрезка (4.1-trim.tex)</w:t>
      </w:r>
      <w:r>
        <w:t xml:space="preserve">. Применили параметры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trim</w:t>
      </w:r>
      <w:r>
        <w:t xml:space="preserve"> </w:t>
      </w:r>
      <w:r>
        <w:t xml:space="preserve">для обрезки краев изображения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[clip, trim = 0 0 50 50]{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3"/>
          <w:p>
            <w:pPr>
              <w:pStyle w:val="Compact"/>
              <w:jc w:val="center"/>
            </w:pPr>
            <w:r>
              <w:drawing>
                <wp:inline>
                  <wp:extent cx="3200400" cy="4141694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4.1-trim-output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14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Обрезка изображения</w:t>
            </w:r>
          </w:p>
          <w:bookmarkEnd w:id="31"/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Поворот (4.1-rotate.tex)</w:t>
      </w:r>
      <w:r>
        <w:t xml:space="preserve">. Повернули изображение на 45 градусов с помощью параметра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 </w:t>
      </w:r>
      <w:r>
        <w:t xml:space="preserve">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[angle=45, width=0.4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4"/>
          <w:p>
            <w:pPr>
              <w:pStyle w:val="Compact"/>
              <w:jc w:val="center"/>
            </w:pPr>
            <w:r>
              <w:drawing>
                <wp:inline>
                  <wp:extent cx="2667000" cy="345141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4.1-rotate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451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Поворот изображения на 45 градусов</w:t>
            </w:r>
          </w:p>
          <w:bookmarkEnd w:id="35"/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Плавающие объекты (4.2-float.tex)</w:t>
      </w:r>
      <w:r>
        <w:t xml:space="preserve">. Изображение помещено в окружение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[ht]</w:t>
      </w:r>
      <w:r>
        <w:t xml:space="preserve"> </w:t>
      </w:r>
      <w:r>
        <w:t xml:space="preserve">и добавлена подпись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example-image-a.png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 image}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5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2-float-output-2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Плавающий объект figure</w:t>
            </w:r>
          </w:p>
          <w:bookmarkEnd w:id="39"/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Именование файлов (4.3-naming.tex)</w:t>
      </w:r>
      <w:r>
        <w:t xml:space="preserve">. Проверили работу с именами файлов и относительными путями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SourceCode"/>
      </w:pP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[width=30pt]{</w:t>
      </w:r>
      <w:r>
        <w:rPr>
          <w:rStyle w:val="ExtensionTok"/>
        </w:rPr>
        <w:t xml:space="preserve">pix/mom.png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6"/>
          <w:p>
            <w:pPr>
              <w:pStyle w:val="Compact"/>
              <w:jc w:val="center"/>
            </w:pPr>
            <w:r>
              <w:drawing>
                <wp:inline>
                  <wp:extent cx="2667000" cy="345141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3-naming-output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451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Именование файлов</w:t>
            </w:r>
          </w:p>
          <w:bookmarkEnd w:id="43"/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Хранение в подкаталоге (4.4subdir.tex)</w:t>
      </w:r>
      <w:r>
        <w:t xml:space="preserve">. Настроили пути поиска изображений с помощью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\graphicspath</w:t>
      </w:r>
      <w:r>
        <w:rPr>
          <w:rStyle w:val="NormalTok"/>
        </w:rPr>
        <w:t xml:space="preserve">{{figs/}{pics/}}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7"/>
          <w:p>
            <w:pPr>
              <w:pStyle w:val="Compact"/>
              <w:jc w:val="center"/>
            </w:pPr>
            <w:r>
              <w:drawing>
                <wp:inline>
                  <wp:extent cx="3200400" cy="414169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4.4subdir-output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141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Поиск в подкаталогах</w:t>
            </w:r>
          </w:p>
          <w:bookmarkEnd w:id="47"/>
        </w:tc>
      </w:tr>
    </w:tbl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Строгое размещение (4.6-H.tex)</w:t>
      </w:r>
      <w:r>
        <w:t xml:space="preserve">. Использовали пакет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и параметр</w:t>
      </w:r>
      <w:r>
        <w:t xml:space="preserve"> </w:t>
      </w:r>
      <w:r>
        <w:rPr>
          <w:rStyle w:val="VerbatimChar"/>
        </w:rPr>
        <w:t xml:space="preserve">[H]</w:t>
      </w:r>
      <w:r>
        <w:t xml:space="preserve">, чтобы изображение оставалось ровно там, где указано в коде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float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 image}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8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4.6-H-output-2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Использование параметра H</w:t>
            </w:r>
          </w:p>
          <w:bookmarkEnd w:id="51"/>
        </w:tc>
      </w:tr>
    </w:tbl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Пользовательские floats (4.7-trivfloat.tex)</w:t>
      </w:r>
      <w:r>
        <w:t xml:space="preserve">. Создали новый тип плавающего окружения с помощью пакета</w:t>
      </w:r>
      <w:r>
        <w:t xml:space="preserve"> </w:t>
      </w:r>
      <w:r>
        <w:rPr>
          <w:rStyle w:val="VerbatimChar"/>
        </w:rPr>
        <w:t xml:space="preserve">trivfloat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trivfloat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\trivfloat</w:t>
      </w:r>
      <w:r>
        <w:rPr>
          <w:rStyle w:val="NormalTok"/>
        </w:rPr>
        <w:t xml:space="preserve">{image}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 image}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image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9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4.7-trivfloat-output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Пользовательский float</w:t>
            </w:r>
          </w:p>
          <w:bookmarkEnd w:id="55"/>
        </w:tc>
      </w:tr>
    </w:tbl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Перекрёстные ссылки (4.8-ref.tex)</w:t>
      </w:r>
      <w:r>
        <w:t xml:space="preserve">. Реализовали ссылки на подразделы и уравнения. Потребовалось двойное прохождение компилятора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\subsection</w:t>
      </w:r>
      <w:r>
        <w:rPr>
          <w:rStyle w:val="NormalTok"/>
        </w:rPr>
        <w:t xml:space="preserve">{Subsection of the first section}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subsec:labelone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e^{i</w:t>
      </w:r>
      <w:r>
        <w:rPr>
          <w:rStyle w:val="SpecialCharTok"/>
        </w:rPr>
        <w:t xml:space="preserve">\pi</w:t>
      </w:r>
      <w:r>
        <w:rPr>
          <w:rStyle w:val="SpecialStringTok"/>
        </w:rPr>
        <w:t xml:space="preserve">}+1 = 0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{eq:labeltwo}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In subsection~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subsec:labelone</w:t>
      </w:r>
      <w:r>
        <w:rPr>
          <w:rStyle w:val="NormalTok"/>
        </w:rPr>
        <w:t xml:space="preserve">} is equation~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eq:labeltwo</w:t>
      </w:r>
      <w:r>
        <w:rPr>
          <w:rStyle w:val="NormalTok"/>
        </w:rPr>
        <w:t xml:space="preserve">}.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0"/>
          <w:p>
            <w:pPr>
              <w:pStyle w:val="Compact"/>
              <w:jc w:val="center"/>
            </w:pPr>
            <w:r>
              <w:drawing>
                <wp:inline>
                  <wp:extent cx="3733800" cy="5280455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4.8-ref-output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0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Ссылки на разделы и формулы</w:t>
            </w:r>
          </w:p>
          <w:bookmarkEnd w:id="59"/>
        </w:tc>
      </w:tr>
    </w:tbl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Ссылки на рисунки (4.8-fig-ref.tex)</w:t>
      </w:r>
      <w:r>
        <w:t xml:space="preserve">. Связали текст с плавающим объектом, разместив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внутри окружения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[width=0.4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 image}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fig:example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See Figure~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fig:example</w:t>
      </w:r>
      <w:r>
        <w:rPr>
          <w:rStyle w:val="NormalTok"/>
        </w:rPr>
        <w:t xml:space="preserve">} for details.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1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4.8-fig-ref-output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Ссылка на рисунок</w:t>
            </w:r>
          </w:p>
          <w:bookmarkEnd w:id="63"/>
        </w:tc>
      </w:tr>
    </w:tbl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Гиперссылки (4.8-hyperref.tex)</w:t>
      </w:r>
      <w:r>
        <w:t xml:space="preserve">. Подключили пакет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для создания кликабельных перекрёстных ссылок 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).</w:t>
      </w:r>
    </w:p>
    <w:p>
      <w:pPr>
        <w:pStyle w:val="SourceCode"/>
      </w:pPr>
      <w:r>
        <w:rPr>
          <w:rStyle w:val="BuiltInTok"/>
        </w:rPr>
        <w:t xml:space="preserve">\usepackage</w:t>
      </w:r>
      <w:r>
        <w:rPr>
          <w:rStyle w:val="NormalTok"/>
        </w:rPr>
        <w:t xml:space="preserve">[hidelinks]{</w:t>
      </w:r>
      <w:r>
        <w:rPr>
          <w:rStyle w:val="ExtensionTok"/>
        </w:rPr>
        <w:t xml:space="preserve">hyperref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Some exciting text with a reference~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sec:next</w:t>
      </w:r>
      <w:r>
        <w:rPr>
          <w:rStyle w:val="NormalTok"/>
        </w:rPr>
        <w:t xml:space="preserve">}.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2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4.8-hyperref-outpu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Гиперссылки в документе</w:t>
            </w:r>
          </w:p>
          <w:bookmarkEnd w:id="67"/>
        </w:tc>
      </w:tr>
    </w:tbl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Упражнения (4.9-exercises.tex)</w:t>
      </w:r>
      <w:r>
        <w:t xml:space="preserve">. Выполнили дополнительные задания: сравнили</w:t>
      </w:r>
      <w:r>
        <w:t xml:space="preserve"> </w:t>
      </w:r>
      <w:r>
        <w:rPr>
          <w:rStyle w:val="VerbatimChar"/>
        </w:rPr>
        <w:t xml:space="preserve">\textwidth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\linewidth</w:t>
      </w:r>
      <w:r>
        <w:t xml:space="preserve">, исследовали размещение плавающих объектов с разными параметрами и добавили новые нумерованные части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p>
      <w:pPr>
        <w:pStyle w:val="SourceCode"/>
      </w:pP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[width=0.5</w:t>
      </w:r>
      <w:r>
        <w:rPr>
          <w:rStyle w:val="FunctionTok"/>
        </w:rPr>
        <w:t xml:space="preserve">\linewidth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example-image</w:t>
      </w:r>
      <w:r>
        <w:rPr>
          <w:rStyle w:val="NormalTok"/>
        </w:rPr>
        <w:t xml:space="preserve">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3"/>
          <w:p>
            <w:pPr>
              <w:pStyle w:val="Compact"/>
              <w:jc w:val="center"/>
            </w:pPr>
            <w:r>
              <w:drawing>
                <wp:inline>
                  <wp:extent cx="3733800" cy="4831976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4.9-exercises-output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3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Выполнение упражнений</w:t>
            </w:r>
          </w:p>
          <w:bookmarkEnd w:id="71"/>
        </w:tc>
      </w:tr>
    </w:tbl>
    <w:bookmarkEnd w:id="72"/>
    <w:bookmarkStart w:id="73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В ходе работы мы изучили основные средства работы с графикой в LaTeX:</w:t>
      </w:r>
    </w:p>
    <w:p>
      <w:pPr>
        <w:pStyle w:val="Compact"/>
        <w:numPr>
          <w:ilvl w:val="0"/>
          <w:numId w:val="1015"/>
        </w:numPr>
      </w:pPr>
      <w:r>
        <w:t xml:space="preserve">базовое включение изображений с помощью пакета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 </w:t>
      </w:r>
      <w:r>
        <w:t xml:space="preserve">и команды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управление размером, обрезкой и поворотом графики;</w:t>
      </w:r>
    </w:p>
    <w:p>
      <w:pPr>
        <w:pStyle w:val="Compact"/>
        <w:numPr>
          <w:ilvl w:val="0"/>
          <w:numId w:val="1015"/>
        </w:numPr>
      </w:pPr>
      <w:r>
        <w:t xml:space="preserve">использование плавающих окружений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 </w:t>
      </w:r>
      <w:r>
        <w:t xml:space="preserve">и пакета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для управления размещением;</w:t>
      </w:r>
    </w:p>
    <w:p>
      <w:pPr>
        <w:pStyle w:val="Compact"/>
        <w:numPr>
          <w:ilvl w:val="0"/>
          <w:numId w:val="1015"/>
        </w:numPr>
      </w:pPr>
      <w:r>
        <w:t xml:space="preserve">создание перекрёстных ссылок с помощью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, а также пакета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.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56" Target="media/rId56.png" /><Relationship Type="http://schemas.openxmlformats.org/officeDocument/2006/relationships/image" Id="rId68" Target="media/rId68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Ван Яо</dc:creator>
  <dc:language>ru-RU</dc:language>
  <cp:keywords/>
  <dcterms:created xsi:type="dcterms:W3CDTF">2026-10-17T11:20:20Z</dcterms:created>
  <dcterms:modified xsi:type="dcterms:W3CDTF">2026-10-17T11:20:20Z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Включение графики в LaTeX</vt:lpwstr>
  </property>
  <property fmtid="{D5CDD505-2E9C-101B-9397-08002B2CF9AE}" pid="16" name="toc-title">
    <vt:lpwstr>Содержание</vt:lpwstr>
  </property>
</Properties>
</file>