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1.png" ContentType="image/png"/>
  <Override PartName="/word/media/rId3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Author"/>
      </w:pPr>
      <w:r>
        <w:t xml:space="preserve">Ван</w:t>
      </w:r>
      <w:r>
        <w:t xml:space="preserve"> </w:t>
      </w:r>
      <w:r>
        <w:t xml:space="preserve">Яо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цель-работы"/>
      <w:r>
        <w:t xml:space="preserve">Цель работы</w:t>
      </w:r>
      <w:bookmarkEnd w:id="20"/>
    </w:p>
    <w:p>
      <w:pPr>
        <w:numPr>
          <w:ilvl w:val="0"/>
          <w:numId w:val="1001"/>
        </w:numPr>
        <w:pStyle w:val="Compact"/>
      </w:pPr>
      <w:r>
        <w:t xml:space="preserve">Изучить теоретические основы шифрования гаммированием</w:t>
      </w:r>
    </w:p>
    <w:p>
      <w:pPr>
        <w:numPr>
          <w:ilvl w:val="0"/>
          <w:numId w:val="1001"/>
        </w:numPr>
        <w:pStyle w:val="Compact"/>
      </w:pPr>
      <w:r>
        <w:t xml:space="preserve">Реализовать алгоритм шифрования с использованием конечной гаммы</w:t>
      </w:r>
    </w:p>
    <w:p>
      <w:pPr>
        <w:numPr>
          <w:ilvl w:val="0"/>
          <w:numId w:val="1001"/>
        </w:numPr>
        <w:pStyle w:val="Compact"/>
      </w:pPr>
      <w:r>
        <w:t xml:space="preserve">Исследовать свойства и криптостойкость метода гаммирования</w:t>
      </w:r>
    </w:p>
    <w:p>
      <w:pPr>
        <w:numPr>
          <w:ilvl w:val="0"/>
          <w:numId w:val="1001"/>
        </w:numPr>
        <w:pStyle w:val="Compact"/>
      </w:pPr>
      <w:r>
        <w:t xml:space="preserve">Проанализировать преимущества и недостатки различных подходов к генерации гаммы</w:t>
      </w:r>
    </w:p>
    <w:p>
      <w:pPr>
        <w:pStyle w:val="Heading1"/>
      </w:pPr>
      <w:bookmarkStart w:id="21" w:name="ход-лабораторной-работы"/>
      <w:r>
        <w:t xml:space="preserve">Ход лабораторной работы</w:t>
      </w:r>
      <w:bookmarkEnd w:id="21"/>
    </w:p>
    <w:p>
      <w:pPr>
        <w:pStyle w:val="Heading2"/>
      </w:pPr>
      <w:bookmarkStart w:id="22" w:name="теоретические-основы"/>
      <w:r>
        <w:t xml:space="preserve">Теоретические основы</w:t>
      </w:r>
      <w:bookmarkEnd w:id="22"/>
    </w:p>
    <w:p>
      <w:pPr>
        <w:pStyle w:val="Heading3"/>
      </w:pPr>
      <w:bookmarkStart w:id="23" w:name="основные-понятия"/>
      <w:r>
        <w:t xml:space="preserve">Основные понятия</w:t>
      </w:r>
      <w:bookmarkEnd w:id="23"/>
    </w:p>
    <w:p>
      <w:pPr>
        <w:pStyle w:val="FirstParagraph"/>
      </w:pPr>
      <w:r>
        <w:rPr>
          <w:b/>
        </w:rPr>
        <w:t xml:space="preserve">Гаммирование</w:t>
      </w:r>
      <w:r>
        <w:t xml:space="preserve"> </w:t>
      </w:r>
      <w:r>
        <w:t xml:space="preserve">— процедура наложения на исходный текст гаммы шифра (псевдослучайной последовательности) при помощи некоторой функции.</w:t>
      </w:r>
    </w:p>
    <w:p>
      <w:pPr>
        <w:pStyle w:val="BodyText"/>
      </w:pPr>
      <w:r>
        <w:rPr>
          <w:b/>
        </w:rPr>
        <w:t xml:space="preserve">Однократное использование (one-time pad)</w:t>
      </w:r>
      <w:r>
        <w:t xml:space="preserve"> </w:t>
      </w:r>
      <w:r>
        <w:t xml:space="preserve">— идеально безопасная схема шифрования, где длина ключа равна длине сообщения.</w:t>
      </w:r>
    </w:p>
    <w:p>
      <w:pPr>
        <w:pStyle w:val="BodyText"/>
      </w:pPr>
      <w:r>
        <w:rPr>
          <w:b/>
        </w:rPr>
        <w:t xml:space="preserve">Псевдослучайная последовательность (ПСП)</w:t>
      </w:r>
      <w:r>
        <w:t xml:space="preserve"> </w:t>
      </w:r>
      <w:r>
        <w:t xml:space="preserve">— последовательность, статистически неотличимая от случайной, но генерируемая детерминированным алгоритмом.</w:t>
      </w:r>
    </w:p>
    <w:p>
      <w:pPr>
        <w:pStyle w:val="Heading3"/>
      </w:pPr>
      <w:bookmarkStart w:id="24" w:name="математические-основы"/>
      <w:r>
        <w:t xml:space="preserve">Математические основы</w:t>
      </w:r>
      <w:bookmarkEnd w:id="24"/>
    </w:p>
    <w:p>
      <w:pPr>
        <w:pStyle w:val="Heading4"/>
      </w:pPr>
      <w:bookmarkStart w:id="25" w:name="операция-сложения-по-модулю"/>
      <w:r>
        <w:t xml:space="preserve">Операция сложения по модулю</w:t>
      </w:r>
      <w:bookmarkEnd w:id="25"/>
    </w:p>
    <w:p>
      <w:pPr>
        <w:pStyle w:val="FirstParagraph"/>
      </w:pPr>
      <w:r>
        <w:t xml:space="preserve">Для шифрования используется операция сложения по модулю 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=</m:t>
          </m:r>
          <m:r>
            <m:t>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t>)</m:t>
          </m:r>
          <m:r>
            <m:rPr>
              <m:nor/>
              <m:sty m:val="p"/>
            </m:rPr>
            <m:t>mod</m:t>
          </m:r>
          <m:r>
            <m:t>N</m:t>
          </m:r>
        </m:oMath>
      </m:oMathPara>
    </w:p>
    <w:p>
      <w:pPr>
        <w:pStyle w:val="FirstParagraph"/>
      </w:pPr>
      <w:r>
        <w:t xml:space="preserve">где:</w:t>
      </w:r>
    </w:p>
    <w:p>
      <w:pPr>
        <w:numPr>
          <w:ilvl w:val="0"/>
          <w:numId w:val="1002"/>
        </w:numPr>
        <w:pStyle w:val="Compact"/>
      </w:pPr>
      <m:oMath>
        <m: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)</m:t>
        </m:r>
      </m:oMath>
      <w:r>
        <w:t xml:space="preserve"> </w:t>
      </w:r>
      <w:r>
        <w:t xml:space="preserve">— i-й символ открытого текста</w:t>
      </w:r>
    </w:p>
    <w:p>
      <w:pPr>
        <w:numPr>
          <w:ilvl w:val="0"/>
          <w:numId w:val="1002"/>
        </w:numPr>
        <w:pStyle w:val="Compact"/>
      </w:pPr>
      <m:oMath>
        <m:r>
          <m:t>(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t>)</m:t>
        </m:r>
      </m:oMath>
      <w:r>
        <w:t xml:space="preserve"> </w:t>
      </w:r>
      <w:r>
        <w:t xml:space="preserve">— i-й символ гаммы</w:t>
      </w:r>
    </w:p>
    <w:p>
      <w:pPr>
        <w:numPr>
          <w:ilvl w:val="0"/>
          <w:numId w:val="1002"/>
        </w:numPr>
        <w:pStyle w:val="Compact"/>
      </w:pPr>
      <m:oMath>
        <m:r>
          <m:t>(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)</m:t>
        </m:r>
      </m:oMath>
      <w:r>
        <w:t xml:space="preserve"> </w:t>
      </w:r>
      <w:r>
        <w:t xml:space="preserve">— i-й символ шифртекста</w:t>
      </w:r>
    </w:p>
    <w:p>
      <w:pPr>
        <w:numPr>
          <w:ilvl w:val="0"/>
          <w:numId w:val="1002"/>
        </w:numPr>
        <w:pStyle w:val="Compact"/>
      </w:pPr>
      <m:oMath>
        <m:r>
          <m:t>(</m:t>
        </m:r>
        <m:r>
          <m:t>N</m:t>
        </m:r>
        <m:r>
          <m:t>)</m:t>
        </m:r>
      </m:oMath>
      <w:r>
        <w:t xml:space="preserve"> </w:t>
      </w:r>
      <w:r>
        <w:t xml:space="preserve">— мощность алфавита</w:t>
      </w:r>
    </w:p>
    <w:p>
      <w:pPr>
        <w:pStyle w:val="FirstParagraph"/>
      </w:pPr>
      <w:r>
        <w:t xml:space="preserve">Для дешифрования: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=</m:t>
          </m:r>
          <m:r>
            <m:t>(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t>)</m:t>
          </m:r>
          <m:r>
            <m:rPr>
              <m:nor/>
              <m:sty m:val="p"/>
            </m:rPr>
            <m:t>mod</m:t>
          </m:r>
          <m:r>
            <m:t>N</m:t>
          </m:r>
        </m:oMath>
      </m:oMathPara>
    </w:p>
    <w:p>
      <w:pPr>
        <w:pStyle w:val="Heading4"/>
      </w:pPr>
      <w:bookmarkStart w:id="26" w:name="генератор-псевдослучайных-чисел"/>
      <w:r>
        <w:t xml:space="preserve">Генератор псевдослучайных чисел</w:t>
      </w:r>
      <w:bookmarkEnd w:id="26"/>
    </w:p>
    <w:p>
      <w:pPr>
        <w:pStyle w:val="FirstParagraph"/>
      </w:pPr>
      <w:r>
        <w:t xml:space="preserve">Линейный конгруэнтный генератор: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i</m:t>
              </m:r>
            </m:sub>
          </m:sSub>
          <m:r>
            <m:t>=</m:t>
          </m:r>
          <m:r>
            <m:t>a</m:t>
          </m:r>
          <m:r>
            <m:t>⋅</m:t>
          </m:r>
          <m:sSub>
            <m:e>
              <m:r>
                <m:t>γ</m:t>
              </m:r>
            </m:e>
            <m:sub>
              <m:r>
                <m:t>i</m:t>
              </m:r>
              <m:r>
                <m:t>−</m:t>
              </m:r>
              <m:r>
                <m:t>1</m:t>
              </m:r>
            </m:sub>
          </m:sSub>
          <m:r>
            <m:t>+</m:t>
          </m:r>
          <m:r>
            <m:t>b</m:t>
          </m:r>
          <m:r>
            <m:rPr>
              <m:nor/>
              <m:sty m:val="p"/>
            </m:rPr>
            <m:t>mod</m:t>
          </m:r>
          <m:r>
            <m:t>m</m:t>
          </m:r>
        </m:oMath>
      </m:oMathPara>
    </w:p>
    <w:p>
      <w:pPr>
        <w:pStyle w:val="FirstParagraph"/>
      </w:pPr>
      <w:r>
        <w:t xml:space="preserve">где (a,</w:t>
      </w:r>
      <w:r>
        <w:t xml:space="preserve"> </w:t>
      </w:r>
      <m:oMath>
        <m:r>
          <m:t>g</m:t>
        </m:r>
        <m:r>
          <m:t>a</m:t>
        </m:r>
        <m:r>
          <m:t>m</m:t>
        </m:r>
        <m:r>
          <m:t>m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b) — ключевые параметры.</w:t>
      </w:r>
    </w:p>
    <w:p>
      <w:pPr>
        <w:pStyle w:val="Heading3"/>
      </w:pPr>
      <w:bookmarkStart w:id="27" w:name="типы-гаммирования"/>
      <w:r>
        <w:t xml:space="preserve">Типы гаммирования</w:t>
      </w:r>
      <w:bookmarkEnd w:id="27"/>
    </w:p>
    <w:p>
      <w:pPr>
        <w:pStyle w:val="FirstParagraph"/>
      </w:pPr>
      <w:r>
        <w:rPr>
          <w:b/>
        </w:rPr>
        <w:t xml:space="preserve">С конечной гаммой</w:t>
      </w:r>
      <w:r>
        <w:t xml:space="preserve"> </w:t>
      </w:r>
      <w:r>
        <w:t xml:space="preserve">— используется повторяющаяся последовательность (фраза, слово)</w:t>
      </w:r>
    </w:p>
    <w:p>
      <w:pPr>
        <w:pStyle w:val="BodyText"/>
      </w:pPr>
      <w:r>
        <w:rPr>
          <w:b/>
        </w:rPr>
        <w:t xml:space="preserve">С бесконечной гаммой</w:t>
      </w:r>
      <w:r>
        <w:t xml:space="preserve"> </w:t>
      </w:r>
      <w:r>
        <w:t xml:space="preserve">— используется генератор ПСП</w:t>
      </w:r>
    </w:p>
    <w:p>
      <w:pPr>
        <w:pStyle w:val="BodyText"/>
      </w:pPr>
      <w:r>
        <w:rPr>
          <w:b/>
        </w:rPr>
        <w:t xml:space="preserve">Однократное использование</w:t>
      </w:r>
      <w:r>
        <w:t xml:space="preserve"> </w:t>
      </w:r>
      <w:r>
        <w:t xml:space="preserve">— истинно случайная гамма длиной, равной сообщению</w:t>
      </w:r>
    </w:p>
    <w:p>
      <w:pPr>
        <w:pStyle w:val="Heading2"/>
      </w:pPr>
      <w:bookmarkStart w:id="28" w:name="практическая-реализация"/>
      <w:r>
        <w:t xml:space="preserve">Практическая реализация</w:t>
      </w:r>
      <w:bookmarkEnd w:id="28"/>
    </w:p>
    <w:p>
      <w:pPr>
        <w:pStyle w:val="Heading3"/>
      </w:pPr>
      <w:bookmarkStart w:id="29" w:name="реализация-шифрования-конечной-гаммой"/>
      <w:r>
        <w:t xml:space="preserve">Реализация шифрования конечной гаммой</w:t>
      </w:r>
      <w:bookmarkEnd w:id="29"/>
    </w:p>
    <w:p>
      <w:pPr>
        <w:pStyle w:val="FirstParagraph"/>
      </w:pPr>
      <w:r>
        <w:drawing>
          <wp:inline>
            <wp:extent cx="5334000" cy="41450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3/pic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5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63598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3/pic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5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2" w:name="X4cb6f58c7bc047f2cd35460dbbb4c1885cf428e"/>
      <w:r>
        <w:t xml:space="preserve">Реализация линейного конгруэнтного генератора</w:t>
      </w:r>
      <w:bookmarkEnd w:id="32"/>
    </w:p>
    <w:p>
      <w:pPr>
        <w:pStyle w:val="FirstParagraph"/>
      </w:pPr>
      <w:r>
        <w:drawing>
          <wp:inline>
            <wp:extent cx="5334000" cy="414150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3/pic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1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4" w:name="функциональное-тестирование"/>
      <w:r>
        <w:t xml:space="preserve">Функциональное тестирование</w:t>
      </w:r>
      <w:bookmarkEnd w:id="34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Исходный текст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Гамма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Результат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ПРИКАЗ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ГАММА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Конечная гамма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УСХЧБЛ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КРИПТОГРАФИЯ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КЛЮЧ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Конечная гамма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ШЭЬПЫИЦФДЧЛ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СЕКРЕТ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seed=5, a=7, b=3, m=32</w:t>
            </w:r>
          </w:p>
        </w:tc>
        <w:tc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ФЙМСЧО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</w:tr>
    </w:tbl>
    <w:p>
      <w:pPr>
        <w:pStyle w:val="Heading2"/>
      </w:pPr>
      <w:bookmarkStart w:id="35" w:name="анализ-криптостойкости"/>
      <w:r>
        <w:t xml:space="preserve">Анализ криптостойкости</w:t>
      </w:r>
      <w:bookmarkEnd w:id="35"/>
    </w:p>
    <w:p>
      <w:pPr>
        <w:pStyle w:val="Heading3"/>
      </w:pPr>
      <w:bookmarkStart w:id="36" w:name="преимущества-гаммирования"/>
      <w:r>
        <w:t xml:space="preserve">Преимущества гаммирования</w:t>
      </w:r>
      <w:bookmarkEnd w:id="36"/>
    </w:p>
    <w:p>
      <w:pPr>
        <w:numPr>
          <w:ilvl w:val="0"/>
          <w:numId w:val="1003"/>
        </w:numPr>
      </w:pPr>
      <w:r>
        <w:rPr>
          <w:b/>
        </w:rPr>
        <w:t xml:space="preserve">Теоретическая стойкость</w:t>
      </w:r>
      <w:r>
        <w:t xml:space="preserve"> </w:t>
      </w:r>
      <w:r>
        <w:t xml:space="preserve">— при использовании одноразового ключа</w:t>
      </w:r>
    </w:p>
    <w:p>
      <w:pPr>
        <w:numPr>
          <w:ilvl w:val="0"/>
          <w:numId w:val="1003"/>
        </w:numPr>
      </w:pPr>
      <w:r>
        <w:rPr>
          <w:b/>
        </w:rPr>
        <w:t xml:space="preserve">Высокая скорость</w:t>
      </w:r>
      <w:r>
        <w:t xml:space="preserve"> </w:t>
      </w:r>
      <w:r>
        <w:t xml:space="preserve">— побитовые операции выполняются быстро</w:t>
      </w:r>
    </w:p>
    <w:p>
      <w:pPr>
        <w:numPr>
          <w:ilvl w:val="0"/>
          <w:numId w:val="1003"/>
        </w:numPr>
      </w:pPr>
      <w:r>
        <w:rPr>
          <w:b/>
        </w:rPr>
        <w:t xml:space="preserve">Простота реализации</w:t>
      </w:r>
      <w:r>
        <w:t xml:space="preserve"> </w:t>
      </w:r>
      <w:r>
        <w:t xml:space="preserve">— минимальные вычислительные ресурсы</w:t>
      </w:r>
    </w:p>
    <w:p>
      <w:pPr>
        <w:numPr>
          <w:ilvl w:val="0"/>
          <w:numId w:val="1003"/>
        </w:numPr>
      </w:pPr>
      <w:r>
        <w:rPr>
          <w:b/>
        </w:rPr>
        <w:t xml:space="preserve">Отсутствие распространения ошибок</w:t>
      </w:r>
      <w:r>
        <w:t xml:space="preserve"> </w:t>
      </w:r>
      <w:r>
        <w:t xml:space="preserve">— ошибка в одном бите не влияет на другие</w:t>
      </w:r>
    </w:p>
    <w:p>
      <w:pPr>
        <w:pStyle w:val="Heading3"/>
      </w:pPr>
      <w:bookmarkStart w:id="37" w:name="недостатки-и-уязвимости"/>
      <w:r>
        <w:t xml:space="preserve">Недостатки и уязвимости</w:t>
      </w:r>
      <w:bookmarkEnd w:id="37"/>
    </w:p>
    <w:p>
      <w:pPr>
        <w:numPr>
          <w:ilvl w:val="0"/>
          <w:numId w:val="1004"/>
        </w:numPr>
      </w:pPr>
      <w:r>
        <w:rPr>
          <w:b/>
        </w:rPr>
        <w:t xml:space="preserve">Проблема распределения ключей</w:t>
      </w:r>
      <w:r>
        <w:t xml:space="preserve"> </w:t>
      </w:r>
      <w:r>
        <w:t xml:space="preserve">— необходимо безопасно передать длинный ключ</w:t>
      </w:r>
    </w:p>
    <w:p>
      <w:pPr>
        <w:numPr>
          <w:ilvl w:val="0"/>
          <w:numId w:val="1004"/>
        </w:numPr>
      </w:pPr>
      <w:r>
        <w:rPr>
          <w:b/>
        </w:rPr>
        <w:t xml:space="preserve">Периодичность гаммы</w:t>
      </w:r>
      <w:r>
        <w:t xml:space="preserve"> </w:t>
      </w:r>
      <w:r>
        <w:t xml:space="preserve">— при использовании конечной гаммы</w:t>
      </w:r>
    </w:p>
    <w:p>
      <w:pPr>
        <w:numPr>
          <w:ilvl w:val="0"/>
          <w:numId w:val="1004"/>
        </w:numPr>
      </w:pPr>
      <w:r>
        <w:rPr>
          <w:b/>
        </w:rPr>
        <w:t xml:space="preserve">Уязвимость к известному открытому тексту</w:t>
      </w:r>
      <w:r>
        <w:t xml:space="preserve"> </w:t>
      </w:r>
      <w:r>
        <w:t xml:space="preserve">— если известна пара (открытый текст, шифртекст)</w:t>
      </w:r>
    </w:p>
    <w:p>
      <w:pPr>
        <w:numPr>
          <w:ilvl w:val="0"/>
          <w:numId w:val="1004"/>
        </w:numPr>
      </w:pPr>
      <w:r>
        <w:rPr>
          <w:b/>
        </w:rPr>
        <w:t xml:space="preserve">Статистические атаки</w:t>
      </w:r>
      <w:r>
        <w:t xml:space="preserve"> </w:t>
      </w:r>
      <w:r>
        <w:t xml:space="preserve">— при недостаточной случайности гаммы</w:t>
      </w:r>
    </w:p>
    <w:p>
      <w:pPr>
        <w:pStyle w:val="Heading1"/>
      </w:pPr>
      <w:bookmarkStart w:id="38" w:name="выводы"/>
      <w:r>
        <w:t xml:space="preserve">Выводы</w:t>
      </w:r>
      <w:bookmarkEnd w:id="38"/>
    </w:p>
    <w:p>
      <w:pPr>
        <w:numPr>
          <w:ilvl w:val="0"/>
          <w:numId w:val="1005"/>
        </w:numPr>
      </w:pPr>
      <w:r>
        <w:rPr>
          <w:b/>
        </w:rPr>
        <w:t xml:space="preserve">Теоретические знания:</w:t>
      </w:r>
      <w:r>
        <w:t xml:space="preserve"> </w:t>
      </w:r>
      <w:r>
        <w:t xml:space="preserve">Изучены математические основы гаммирования, различные подходы к генерации псевдослучайных последовательностей и их криптографические свойства.</w:t>
      </w:r>
    </w:p>
    <w:p>
      <w:pPr>
        <w:numPr>
          <w:ilvl w:val="0"/>
          <w:numId w:val="1005"/>
        </w:numPr>
      </w:pPr>
      <w:r>
        <w:rPr>
          <w:b/>
        </w:rPr>
        <w:t xml:space="preserve">Практические навыки:</w:t>
      </w:r>
      <w:r>
        <w:t xml:space="preserve"> </w:t>
      </w:r>
      <w:r>
        <w:t xml:space="preserve">Реализованы алгоритмы шифрования как с конечной гаммой, так и с использованием генераторов псевдослучайных чисел.</w:t>
      </w:r>
    </w:p>
    <w:p>
      <w:pPr>
        <w:numPr>
          <w:ilvl w:val="0"/>
          <w:numId w:val="1005"/>
        </w:numPr>
      </w:pPr>
      <w:r>
        <w:rPr>
          <w:b/>
        </w:rPr>
        <w:t xml:space="preserve">Аналитические способности:</w:t>
      </w:r>
      <w:r>
        <w:t xml:space="preserve"> </w:t>
      </w:r>
      <w:r>
        <w:t xml:space="preserve">Проанализированы преимущества и недостатки различных схем гаммирования, выявлены основные уязвимости метода.</w:t>
      </w:r>
    </w:p>
    <w:p>
      <w:pPr>
        <w:numPr>
          <w:ilvl w:val="0"/>
          <w:numId w:val="1005"/>
        </w:numPr>
      </w:pPr>
      <w:r>
        <w:rPr>
          <w:b/>
        </w:rPr>
        <w:t xml:space="preserve">Сравнительный анализ:</w:t>
      </w:r>
      <w:r>
        <w:t xml:space="preserve"> </w:t>
      </w:r>
      <w:r>
        <w:t xml:space="preserve">Показано, что безопасность гаммирования полностью зависит от свойств гаммы: ее случайности, длины и периодичности.</w:t>
      </w:r>
    </w:p>
    <w:p>
      <w:pPr>
        <w:numPr>
          <w:ilvl w:val="0"/>
          <w:numId w:val="1005"/>
        </w:numPr>
      </w:pPr>
      <w:r>
        <w:rPr>
          <w:b/>
        </w:rPr>
        <w:t xml:space="preserve">Рекомендации:</w:t>
      </w:r>
      <w:r>
        <w:t xml:space="preserve"> </w:t>
      </w:r>
      <w:r>
        <w:t xml:space="preserve">Для обеспечения высокой безопасности следует использовать криптографически стойкие генераторы псевдослучайных чисел или, в идеале, схему однократного использования с истинно случайными ключами.</w:t>
      </w:r>
    </w:p>
    <w:p>
      <w:pPr>
        <w:pStyle w:val="Heading1"/>
      </w:pPr>
      <w:bookmarkStart w:id="39" w:name="литература"/>
      <w:r>
        <w:t xml:space="preserve">Литература</w:t>
      </w:r>
      <w:bookmarkEnd w:id="39"/>
    </w:p>
    <w:p>
      <w:pPr>
        <w:pStyle w:val="FirstParagraph"/>
      </w:pPr>
      <w:r>
        <w:t xml:space="preserve">Алферов А.П., Зубов А.Ю., Кузьмин А.С., Черемушкин А.В. Основы криптографии. М.: Гелиос АРВ, 2005.</w:t>
      </w:r>
    </w:p>
    <w:p>
      <w:pPr>
        <w:pStyle w:val="Heading1"/>
      </w:pPr>
      <w:bookmarkStart w:id="40" w:name="приложения"/>
      <w:r>
        <w:t xml:space="preserve">Приложения</w:t>
      </w:r>
      <w:bookmarkEnd w:id="40"/>
    </w:p>
    <w:p>
      <w:pPr>
        <w:pStyle w:val="FirstParagraph"/>
      </w:pPr>
      <w:r>
        <w:t xml:space="preserve">Полный исходный код программ доступен в репозитории GitHub:</w:t>
      </w:r>
      <w:r>
        <w:br/>
      </w:r>
      <w:r>
        <w:t xml:space="preserve">https://github.com/wangyao200036/cryptography-labs/tree/main/lab3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33" Target="media/rId33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Ван Яо</dc:creator>
  <dc:language>ru-RU</dc:language>
  <cp:keywords/>
  <dcterms:created xsi:type="dcterms:W3CDTF">2026-01-13T15:33:52Z</dcterms:created>
  <dcterms:modified xsi:type="dcterms:W3CDTF">2026-01-13T15:33:52Z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Ligatures=TeX</vt:lpwstr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Ligatures=TeX</vt:lpwstr>
  </property>
  <property fmtid="{D5CDD505-2E9C-101B-9397-08002B2CF9AE}" pid="30" name="sansfont">
    <vt:lpwstr>Arial</vt:lpwstr>
  </property>
  <property fmtid="{D5CDD505-2E9C-101B-9397-08002B2CF9AE}" pid="31" name="sansfontoptions">
    <vt:lpwstr>Ligatures=TeX,Scale=MatchLowercase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