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Этап 5. Использование Burp Suite</w:t>
      </w:r>
    </w:p>
    <w:p>
      <w:pPr>
        <w:pStyle w:val="Author"/>
      </w:pPr>
      <w:r>
        <w:t xml:space="preserve">ван яо"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3" w:name="отчет-о-использовании-burp-suite"/>
    <w:p>
      <w:pPr>
        <w:pStyle w:val="Heading1"/>
      </w:pPr>
      <w:r>
        <w:t xml:space="preserve">Отчет о использовании Burp Suite</w:t>
      </w:r>
    </w:p>
    <w:bookmarkStart w:id="20" w:name="X49e9b33b3839bfdc488554c14e8d4bd2e02db2a"/>
    <w:p>
      <w:pPr>
        <w:pStyle w:val="Heading2"/>
      </w:pPr>
      <w:r>
        <w:t xml:space="preserve">1. Введение</w:t>
      </w:r>
    </w:p>
    <w:p>
      <w:pPr>
        <w:pStyle w:val="FirstParagraph"/>
      </w:pPr>
      <w:r>
        <w:t xml:space="preserve">Burp Suite — это популярный набор инструментов для проведения тестирования на проникновение, в основном используемый для оценки безопасности веб-приложений. Он предоставляет множество функций, которые помогают исследователям по безопасности находить и использовать уязвимости веб-приложений.</w:t>
      </w:r>
    </w:p>
    <w:bookmarkEnd w:id="20"/>
    <w:bookmarkStart w:id="21" w:name="X6f366e3864798b2f571c1cc3ae8656fde889c98"/>
    <w:p>
      <w:pPr>
        <w:pStyle w:val="Heading2"/>
      </w:pPr>
      <w:r>
        <w:t xml:space="preserve">2. Основные компоненты Burp Suite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Proxy</w:t>
      </w:r>
      <w:r>
        <w:t xml:space="preserve">: Действует как прокси-сервер между браузером и целевым приложением, позволяя перехватывать, просматривать и изменять данные.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Spider</w:t>
      </w:r>
      <w:r>
        <w:t xml:space="preserve">: Автоматически сканирует веб-сайт, создавая карту сайта и выявляя потенциальные цели для тестирования.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Scanner</w:t>
      </w:r>
      <w:r>
        <w:t xml:space="preserve">: Автоматически сканирует веб-приложения на наличие распространённых уязвимостей.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Intruder</w:t>
      </w:r>
      <w:r>
        <w:t xml:space="preserve">: Проводит массовые запросы с различными вариантами входных данных для проверки реакции веб-приложения.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Repeater</w:t>
      </w:r>
      <w:r>
        <w:t xml:space="preserve">: Позволяет отправлять и получать HTTP/HTTPS-запросы вручную для тестирования конкретных векторов атаки.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Sequencer</w:t>
      </w:r>
      <w:r>
        <w:t xml:space="preserve">: Анализирует силу токенов сессии.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Decoder</w:t>
      </w:r>
      <w:r>
        <w:t xml:space="preserve">: Предоставляет различные инструменты для кодирования и декодирования.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Comparer</w:t>
      </w:r>
      <w:r>
        <w:t xml:space="preserve">: Сравнивает два ответа, показывая их различия.</w:t>
      </w:r>
    </w:p>
    <w:bookmarkEnd w:id="21"/>
    <w:bookmarkStart w:id="24" w:name="X02504c738cf6b357eb7152f48edd4b3301ec358"/>
    <w:p>
      <w:pPr>
        <w:pStyle w:val="Heading2"/>
      </w:pPr>
      <w:r>
        <w:t xml:space="preserve">3. Сценарии использования</w:t>
      </w:r>
    </w:p>
    <w:bookmarkStart w:id="22" w:name="Xbb822c708125f2374f9a8d166935d748434047a"/>
    <w:p>
      <w:pPr>
        <w:pStyle w:val="Heading3"/>
      </w:pPr>
      <w:r>
        <w:t xml:space="preserve">3.1 Аудит безопасности</w:t>
      </w:r>
    </w:p>
    <w:p>
      <w:pPr>
        <w:numPr>
          <w:ilvl w:val="0"/>
          <w:numId w:val="1002"/>
        </w:numPr>
      </w:pPr>
      <w:r>
        <w:t xml:space="preserve">Проверка уязвимости приложения к SQL-инъекциям, XSS и другим распространённым атакам.</w:t>
      </w:r>
    </w:p>
    <w:p>
      <w:pPr>
        <w:numPr>
          <w:ilvl w:val="0"/>
          <w:numId w:val="1002"/>
        </w:numPr>
      </w:pPr>
      <w:r>
        <w:t xml:space="preserve">Анализ механизмов управления сессиями.</w:t>
      </w:r>
    </w:p>
    <w:p>
      <w:pPr>
        <w:numPr>
          <w:ilvl w:val="0"/>
          <w:numId w:val="1002"/>
        </w:numPr>
      </w:pPr>
      <w:r>
        <w:t xml:space="preserve">Тестирование входных и выходных данных на достаточность защиты.</w:t>
      </w:r>
    </w:p>
    <w:bookmarkEnd w:id="22"/>
    <w:bookmarkStart w:id="23" w:name="X1f68878ec32ea6bc7453c636bd031211b71cc84"/>
    <w:p>
      <w:pPr>
        <w:pStyle w:val="Heading3"/>
      </w:pPr>
      <w:r>
        <w:t xml:space="preserve">3.2 Пенетрейшн-тестирование</w:t>
      </w:r>
    </w:p>
    <w:p>
      <w:pPr>
        <w:numPr>
          <w:ilvl w:val="0"/>
          <w:numId w:val="1003"/>
        </w:numPr>
      </w:pPr>
      <w:r>
        <w:t xml:space="preserve">Использование известных уязвимостей для проведения атак.</w:t>
      </w:r>
    </w:p>
    <w:p>
      <w:pPr>
        <w:numPr>
          <w:ilvl w:val="0"/>
          <w:numId w:val="1003"/>
        </w:numPr>
      </w:pPr>
      <w:r>
        <w:t xml:space="preserve">Тестирование способности приложения противостоять автоматизированным атакам.</w:t>
      </w:r>
    </w:p>
    <w:p>
      <w:pPr>
        <w:numPr>
          <w:ilvl w:val="0"/>
          <w:numId w:val="1003"/>
        </w:numPr>
      </w:pPr>
      <w:r>
        <w:t xml:space="preserve">Ручное составление злонамеренных запросов для обнаружения неизвестных уязвимостей.</w:t>
      </w:r>
    </w:p>
    <w:bookmarkEnd w:id="23"/>
    <w:bookmarkEnd w:id="24"/>
    <w:bookmarkStart w:id="25" w:name="X4e48abaced500943efcd8bf27f5bf56615f5968"/>
    <w:p>
      <w:pPr>
        <w:pStyle w:val="Heading2"/>
      </w:pPr>
      <w:r>
        <w:t xml:space="preserve">4. Примеры применения</w:t>
      </w:r>
    </w:p>
    <w:p>
      <w:pPr>
        <w:numPr>
          <w:ilvl w:val="0"/>
          <w:numId w:val="1004"/>
        </w:numPr>
      </w:pPr>
      <w:r>
        <w:rPr>
          <w:b/>
          <w:bCs/>
        </w:rPr>
        <w:t xml:space="preserve">Пример 1</w:t>
      </w:r>
      <w:r>
        <w:t xml:space="preserve">: Использование модуля Spider для быстрого получения структуры целевого сайта и маркировки всех интерактивных элементов.</w:t>
      </w:r>
    </w:p>
    <w:p>
      <w:pPr>
        <w:numPr>
          <w:ilvl w:val="0"/>
          <w:numId w:val="1004"/>
        </w:numPr>
      </w:pPr>
      <w:r>
        <w:rPr>
          <w:b/>
          <w:bCs/>
        </w:rPr>
        <w:t xml:space="preserve">Пример 2</w:t>
      </w:r>
      <w:r>
        <w:t xml:space="preserve">: Применение модуля Intruder для попытки брутфорса на интерфейсе авторизации.</w:t>
      </w:r>
    </w:p>
    <w:p>
      <w:pPr>
        <w:numPr>
          <w:ilvl w:val="0"/>
          <w:numId w:val="1004"/>
        </w:numPr>
      </w:pPr>
      <w:r>
        <w:rPr>
          <w:b/>
          <w:bCs/>
        </w:rPr>
        <w:t xml:space="preserve">Пример 3</w:t>
      </w:r>
      <w:r>
        <w:t xml:space="preserve">: Использование Scanner для автоматического обнаружения известных уязвимостей в целевой системе.</w:t>
      </w:r>
    </w:p>
    <w:bookmarkEnd w:id="25"/>
    <w:bookmarkStart w:id="26" w:name="X4a7217949b24c80d36e6c6d3a44037c0fc5ddd1"/>
    <w:p>
      <w:pPr>
        <w:pStyle w:val="Heading2"/>
      </w:pPr>
      <w:r>
        <w:t xml:space="preserve">5. Примечания</w:t>
      </w:r>
    </w:p>
    <w:p>
      <w:pPr>
        <w:numPr>
          <w:ilvl w:val="0"/>
          <w:numId w:val="1005"/>
        </w:numPr>
      </w:pPr>
      <w:r>
        <w:t xml:space="preserve">Перед началом любого тестирования убедитесь, что у вас есть законное разрешение от владельца системы.</w:t>
      </w:r>
    </w:p>
    <w:p>
      <w:pPr>
        <w:numPr>
          <w:ilvl w:val="0"/>
          <w:numId w:val="1005"/>
        </w:numPr>
      </w:pPr>
      <w:r>
        <w:t xml:space="preserve">Во время тестирования старайтесь избегать воздействия на рабочую среду.</w:t>
      </w:r>
    </w:p>
    <w:p>
      <w:pPr>
        <w:numPr>
          <w:ilvl w:val="0"/>
          <w:numId w:val="1005"/>
        </w:numPr>
      </w:pPr>
      <w:r>
        <w:t xml:space="preserve">Найденные проблемы безопасности следует своевременно сообщать ответственным лицам и помогать в их устранении.</w:t>
      </w:r>
    </w:p>
    <w:bookmarkEnd w:id="26"/>
    <w:bookmarkStart w:id="42" w:name="X1dffc54f4d96d18f0b768a226b5bc08bf7bbe4a"/>
    <w:p>
      <w:pPr>
        <w:pStyle w:val="Heading2"/>
      </w:pPr>
      <w:r>
        <w:t xml:space="preserve">6. Заключение</w:t>
      </w:r>
    </w:p>
    <w:p>
      <w:pPr>
        <w:pStyle w:val="FirstParagraph"/>
      </w:pPr>
      <w:r>
        <w:t xml:space="preserve">Burp Suite — мощный и гибкий инструмент, подходящий для проведения оценки безопасности веб-приложений различных размеров. Его правильное использование может значительно повысить эффективность тестирования и помочь разработчикам своевременно обнаруживать и исправлять потенциальные риски безопасности.</w:t>
      </w:r>
    </w:p>
    <w:p>
      <w:pPr>
        <w:pStyle w:val="BodyText"/>
      </w:pPr>
      <w:r>
        <w:drawing>
          <wp:inline>
            <wp:extent cx="5334000" cy="3751178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work5_pic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2875043" cy="3449201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work5_pic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043" cy="3449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4378518"/>
            <wp:effectExtent b="0" l="0" r="0" t="0"/>
            <wp:docPr descr="" title="fig:" id="34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work5_pic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8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4453201"/>
            <wp:effectExtent b="0" l="0" r="0" t="0"/>
            <wp:docPr descr="" title="fig:" id="37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work5_pic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3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343069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work5_pic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3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Этап 5. Использование Burp Suite</dc:title>
  <dc:creator>ван яо" </dc:creator>
  <dc:language>ru-RU</dc:language>
  <cp:keywords/>
  <dcterms:created xsi:type="dcterms:W3CDTF">2024-10-03T13:11:15Z</dcterms:created>
  <dcterms:modified xsi:type="dcterms:W3CDTF">2024-10-03T13:11:15Z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ndoc-crossref">
    <vt:lpwstr/>
  </property>
  <property fmtid="{D5CDD505-2E9C-101B-9397-08002B2CF9AE}" pid="19" name="papersize">
    <vt:lpwstr>a4</vt:lpwstr>
  </property>
  <property fmtid="{D5CDD505-2E9C-101B-9397-08002B2CF9AE}" pid="20" name="polyglossia-lang">
    <vt:lpwstr/>
  </property>
  <property fmtid="{D5CDD505-2E9C-101B-9397-08002B2CF9AE}" pid="21" name="polyglossia-otherlangs">
    <vt:lpwstr/>
  </property>
  <property fmtid="{D5CDD505-2E9C-101B-9397-08002B2CF9AE}" pid="22" name="romanfont">
    <vt:lpwstr>PT Serif</vt:lpwstr>
  </property>
  <property fmtid="{D5CDD505-2E9C-101B-9397-08002B2CF9AE}" pid="23" name="romanfontoptions">
    <vt:lpwstr>Ligatures=TeX</vt:lpwstr>
  </property>
  <property fmtid="{D5CDD505-2E9C-101B-9397-08002B2CF9AE}" pid="24" name="sansfont">
    <vt:lpwstr>PT Sans</vt:lpwstr>
  </property>
  <property fmtid="{D5CDD505-2E9C-101B-9397-08002B2CF9AE}" pid="25" name="sansfontoptions">
    <vt:lpwstr>Ligatures=TeX,Scale=MatchLowercase</vt:lpwstr>
  </property>
  <property fmtid="{D5CDD505-2E9C-101B-9397-08002B2CF9AE}" pid="26" name="toc">
    <vt:lpwstr>true</vt:lpwstr>
  </property>
  <property fmtid="{D5CDD505-2E9C-101B-9397-08002B2CF9AE}" pid="27" name="toc-depth">
    <vt:lpwstr>2</vt:lpwstr>
  </property>
  <property fmtid="{D5CDD505-2E9C-101B-9397-08002B2CF9AE}" pid="28" name="toc-title">
    <vt:lpwstr>Содержание</vt:lpwstr>
  </property>
</Properties>
</file>