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sz w:val="44"/>
          <w:szCs w:val="44"/>
        </w:rPr>
      </w:pPr>
      <w:r>
        <w:rPr>
          <w:rFonts w:hint="eastAsia"/>
          <w:sz w:val="44"/>
          <w:szCs w:val="44"/>
        </w:rPr>
        <w:t>基于低分辨率视频的手势运</w:t>
      </w:r>
    </w:p>
    <w:p>
      <w:pPr>
        <w:spacing w:line="300" w:lineRule="auto"/>
        <w:jc w:val="center"/>
        <w:rPr>
          <w:rFonts w:hint="eastAsia"/>
          <w:sz w:val="44"/>
          <w:szCs w:val="44"/>
        </w:rPr>
      </w:pPr>
      <w:r>
        <w:rPr>
          <w:rFonts w:hint="eastAsia"/>
          <w:sz w:val="44"/>
          <w:szCs w:val="44"/>
        </w:rPr>
        <w:t>动方向检测</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bookmarkStart w:id="67" w:name="_GoBack"/>
      <w:bookmarkEnd w:id="67"/>
    </w:p>
    <w:p>
      <w:pPr>
        <w:spacing w:line="300" w:lineRule="auto"/>
        <w:ind w:firstLine="480" w:firstLineChars="200"/>
        <w:rPr>
          <w:sz w:val="24"/>
        </w:rPr>
      </w:pPr>
      <w:r>
        <w:rPr>
          <w:rFonts w:hint="eastAsia"/>
          <w:sz w:val="24"/>
        </w:rPr>
        <w:t>首先，获取视频图像序列，即从视频文件中获取每一帧图像作为待检测的视频图像序列；其次，对获取的视频图像序列中的每一帧图像进行颜色模型转换、背景去除、图像二值化、形态学处理等预处理；然后,利用区域增长方法来检测视频图像序列中的手部连通区域，并计算每帧图像中手部区域的中心；最后根据图像序列中手部区域中心位置的变化来判断手部运动方向。</w:t>
      </w:r>
    </w:p>
    <w:p>
      <w:pPr>
        <w:spacing w:line="300" w:lineRule="auto"/>
        <w:ind w:firstLine="480" w:firstLineChars="200"/>
        <w:rPr>
          <w:sz w:val="24"/>
        </w:rPr>
      </w:pPr>
      <w:r>
        <w:rPr>
          <w:rFonts w:hint="eastAsia"/>
          <w:sz w:val="24"/>
        </w:rPr>
        <w:t>本文在Visual c++6.0开发环境下，借助于OpenCV开放平台，设计并实现了基于低端摄像头视频手势运动检测系统，得到了较好的检测效果。</w:t>
      </w:r>
    </w:p>
    <w:p>
      <w:pPr>
        <w:spacing w:line="300" w:lineRule="auto"/>
        <w:ind w:firstLine="480" w:firstLineChars="200"/>
        <w:rPr>
          <w:sz w:val="24"/>
        </w:rPr>
      </w:pPr>
    </w:p>
    <w:p>
      <w:pPr>
        <w:spacing w:line="300" w:lineRule="auto"/>
        <w:rPr>
          <w:b/>
          <w:sz w:val="24"/>
        </w:rPr>
      </w:pPr>
      <w:r>
        <w:rPr>
          <w:rFonts w:hint="eastAsia"/>
          <w:b/>
          <w:sz w:val="24"/>
        </w:rPr>
        <w:t>关键词：运动目标检测；颜色模型；区域增长</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the moving target. With the popularization of camera functions in mobile phones and other electronic products ,it is increasingly become a kind of application needs to use gestures to control the mobile phones, so the problems of moving target detection based on the cameras of mobile phones are drawing more and more attention. However, the cameras that are widespread used in mobile phones are mostly low-end cameras, as the video files gained from the low-end cameras have some shortcomings such as big noise and low-resolution, thus there is a certain degree of difficulty in the detection of </w:t>
      </w:r>
      <w:r>
        <w:rPr>
          <w:rFonts w:hint="eastAsia"/>
          <w:sz w:val="24"/>
        </w:rPr>
        <w:t xml:space="preserve">the </w:t>
      </w:r>
      <w:r>
        <w:rPr>
          <w:sz w:val="24"/>
        </w:rPr>
        <w:t>moving targets.</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"_Toc307862865"</w:instrText>
      </w:r>
      <w:r>
        <w:rPr>
          <w:sz w:val="24"/>
        </w:rPr>
        <w:fldChar w:fldCharType="separate"/>
      </w:r>
      <w:r>
        <w:rPr>
          <w:sz w:val="24"/>
        </w:rPr>
        <w:t xml:space="preserve">1.1.1 </w:t>
      </w:r>
      <w:r>
        <w:rPr>
          <w:rFonts w:hint="eastAsia"/>
          <w:sz w:val="24"/>
        </w:rPr>
        <w:t>视频运动目标检测的研究现状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t xml:space="preserve">1.1.2 </w:t>
      </w:r>
      <w:r>
        <w:rPr>
          <w:rFonts w:hint="eastAsia"/>
          <w:sz w:val="24"/>
        </w:rPr>
        <w:t>运动目标检测技术</w:t>
      </w:r>
      <w:r>
        <w:rPr>
          <w:sz w:val="24"/>
        </w:rPr>
        <w:tab/>
      </w:r>
      <w:r>
        <w:rPr>
          <w:sz w:val="24"/>
        </w:rPr>
        <w:fldChar w:fldCharType="begin"/>
      </w:r>
      <w:r>
        <w:rPr>
          <w:sz w:val="24"/>
        </w:rPr>
        <w:instrText xml:space="preserve"> PAGEREF _Toc307862866 \h </w:instrText>
      </w:r>
      <w:r>
        <w:rPr>
          <w:sz w:val="24"/>
        </w:rPr>
        <w:fldChar w:fldCharType="separate"/>
      </w:r>
      <w:r>
        <w:rPr>
          <w:sz w:val="24"/>
        </w:rPr>
        <w:t>2</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1.2 </w:t>
      </w:r>
      <w:r>
        <w:rPr>
          <w:rFonts w:hint="eastAsia"/>
          <w:sz w:val="24"/>
        </w:rPr>
        <w:t>本章小结</w:t>
      </w:r>
      <w:r>
        <w:rPr>
          <w:sz w:val="24"/>
        </w:rPr>
        <w:tab/>
      </w:r>
      <w:r>
        <w:rPr>
          <w:sz w:val="24"/>
        </w:rPr>
        <w:fldChar w:fldCharType="begin"/>
      </w:r>
      <w:r>
        <w:rPr>
          <w:sz w:val="24"/>
        </w:rPr>
        <w:instrText xml:space="preserve"> PAGEREF _Toc307862867 \h </w:instrText>
      </w:r>
      <w:r>
        <w:rPr>
          <w:sz w:val="24"/>
        </w:rPr>
        <w:fldChar w:fldCharType="separate"/>
      </w:r>
      <w:r>
        <w:rPr>
          <w:sz w:val="24"/>
        </w:rPr>
        <w:t>3</w:t>
      </w:r>
      <w:r>
        <w:rPr>
          <w:sz w:val="24"/>
        </w:rPr>
        <w:fldChar w:fldCharType="end"/>
      </w:r>
    </w:p>
    <w:p>
      <w:pPr>
        <w:tabs>
          <w:tab w:val="right" w:leader="dot" w:pos="6375"/>
        </w:tabs>
        <w:spacing w:line="300" w:lineRule="auto"/>
        <w:ind w:firstLine="480" w:firstLine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bookmarkStart w:id="0" w:name="_Toc231651032"/>
      <w:r>
        <w:rPr>
          <w:rFonts w:hint="eastAsia"/>
          <w:b/>
          <w:sz w:val="32"/>
        </w:rPr>
        <w:t>基于低分辨率视频的手势运动方向检测</w:t>
      </w:r>
    </w:p>
    <w:p>
      <w:pPr>
        <w:keepNext/>
        <w:keepLines/>
        <w:spacing w:before="400" w:after="200" w:line="300" w:lineRule="auto"/>
        <w:outlineLvl w:val="0"/>
        <w:rPr>
          <w:b/>
          <w:bCs/>
          <w:kern w:val="44"/>
          <w:sz w:val="32"/>
          <w:szCs w:val="44"/>
        </w:rPr>
      </w:pPr>
      <w:bookmarkStart w:id="1" w:name="_Toc277841996"/>
      <w:bookmarkStart w:id="2" w:name="_Toc307166501"/>
      <w:bookmarkStart w:id="3" w:name="_Toc307165631"/>
      <w:bookmarkStart w:id="4" w:name="_Toc307166530"/>
      <w:bookmarkStart w:id="5" w:name="_Toc307862863"/>
      <w:r>
        <w:rPr>
          <w:rFonts w:hint="eastAsia"/>
          <w:b/>
          <w:bCs/>
          <w:kern w:val="44"/>
          <w:sz w:val="32"/>
          <w:szCs w:val="44"/>
        </w:rPr>
        <w:t>第1章 绪论</w:t>
      </w:r>
      <w:bookmarkEnd w:id="0"/>
      <w:bookmarkEnd w:id="1"/>
      <w:bookmarkEnd w:id="2"/>
      <w:bookmarkEnd w:id="3"/>
      <w:bookmarkEnd w:id="4"/>
      <w:bookmarkEnd w:id="5"/>
    </w:p>
    <w:p>
      <w:pPr>
        <w:spacing w:line="300" w:lineRule="auto"/>
        <w:ind w:firstLine="480" w:firstLineChars="200"/>
        <w:rPr>
          <w:sz w:val="24"/>
        </w:rPr>
      </w:pPr>
      <w:r>
        <w:rPr>
          <w:rFonts w:hint="eastAsia"/>
          <w:sz w:val="24"/>
        </w:rPr>
        <w:t>本模板只是作为本科论文格式示例作用，为尽可能涵盖《毕业论文撰写规范》规定的内容，部分图片或表格与论文内容无关，该模板论文无研究意义，师生只做格式参考。</w:t>
      </w:r>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5632"/>
      <w:bookmarkStart w:id="8" w:name="_Toc307862864"/>
      <w:bookmarkStart w:id="9" w:name="_Toc277841997"/>
      <w:bookmarkStart w:id="10" w:name="_Toc307166531"/>
      <w:bookmarkStart w:id="11" w:name="_Toc30716650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sz w:val="24"/>
        </w:rPr>
      </w:pPr>
      <w:r>
        <w:rPr>
          <w:sz w:val="24"/>
        </w:rPr>
        <w:t>摄像头</w:t>
      </w:r>
      <w:r>
        <w:rPr>
          <w:rFonts w:hint="eastAsia"/>
          <w:sz w:val="24"/>
        </w:rPr>
        <w:t>（camera）</w:t>
      </w:r>
      <w:r>
        <w:rPr>
          <w:sz w:val="24"/>
        </w:rPr>
        <w:t>又称为电脑相机、电脑眼等，它作为一种视频输入设备，在过去被广泛的运用于视频会议、远程医疗及实时监控等方面。</w:t>
      </w:r>
      <w:r>
        <w:rPr>
          <w:rFonts w:hint="eastAsia"/>
          <w:sz w:val="24"/>
        </w:rPr>
        <w:t>近些年来，随着互联网技术的发展，网络速度的不断提高，再加上感光成像器件技术的成熟，使得摄像头得到了越来越广泛的应用。</w:t>
      </w:r>
    </w:p>
    <w:p>
      <w:pPr>
        <w:keepNext/>
        <w:keepLines/>
        <w:spacing w:before="163" w:beforeLines="50" w:after="163" w:afterLines="50" w:line="300" w:lineRule="auto"/>
        <w:outlineLvl w:val="2"/>
        <w:rPr>
          <w:b/>
          <w:bCs/>
          <w:sz w:val="24"/>
          <w:szCs w:val="32"/>
        </w:rPr>
      </w:pPr>
      <w:bookmarkStart w:id="12" w:name="_Toc307166503"/>
      <w:bookmarkStart w:id="13" w:name="_Toc307166532"/>
      <w:bookmarkStart w:id="14" w:name="_Toc277841998"/>
      <w:bookmarkStart w:id="15" w:name="_Toc307862865"/>
      <w:r>
        <w:rPr>
          <w:rFonts w:hint="eastAsia"/>
          <w:b/>
          <w:bCs/>
          <w:sz w:val="24"/>
          <w:szCs w:val="32"/>
        </w:rPr>
        <w:t>1.1.1 视频运动目标检测的研究现状</w:t>
      </w:r>
      <w:bookmarkEnd w:id="12"/>
      <w:bookmarkEnd w:id="13"/>
      <w:bookmarkEnd w:id="14"/>
      <w:bookmarkEnd w:id="15"/>
    </w:p>
    <w:p>
      <w:pPr>
        <w:spacing w:line="300" w:lineRule="auto"/>
        <w:ind w:firstLine="480" w:firstLineChars="200"/>
        <w:rPr>
          <w:sz w:val="24"/>
        </w:rPr>
      </w:pPr>
      <w:r>
        <w:rPr>
          <w:rFonts w:hint="eastAsia"/>
          <w:sz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运动目标的提取主要包括运动检测以及目标提取两个步骤，其中运动检测处于整个视觉监视系统的最底层，是各种后续高级处理如目标分类，行为理解等的基础。</w:t>
      </w:r>
    </w:p>
    <w:p>
      <w:pPr>
        <w:keepNext/>
        <w:keepLines/>
        <w:spacing w:before="163" w:beforeLines="50" w:after="163" w:afterLines="50" w:line="300" w:lineRule="auto"/>
        <w:outlineLvl w:val="2"/>
        <w:rPr>
          <w:b/>
          <w:bCs/>
          <w:sz w:val="24"/>
          <w:szCs w:val="32"/>
        </w:rPr>
      </w:pPr>
      <w:bookmarkStart w:id="16" w:name="_Toc307862866"/>
      <w:bookmarkStart w:id="17" w:name="_Toc277841999"/>
      <w:bookmarkStart w:id="18" w:name="_Toc307166533"/>
      <w:bookmarkStart w:id="19" w:name="_Toc307166504"/>
      <w:bookmarkStart w:id="20" w:name="_Toc233258926"/>
      <w:r>
        <w:rPr>
          <w:rFonts w:hint="eastAsia"/>
          <w:b/>
          <w:bCs/>
          <w:sz w:val="24"/>
          <w:szCs w:val="32"/>
        </w:rPr>
        <w:t>1.1.2 运动目标检测技术</w:t>
      </w:r>
      <w:bookmarkEnd w:id="16"/>
      <w:bookmarkEnd w:id="17"/>
      <w:bookmarkEnd w:id="18"/>
      <w:bookmarkEnd w:id="19"/>
      <w:bookmarkEnd w:id="20"/>
    </w:p>
    <w:p>
      <w:pPr>
        <w:spacing w:line="300" w:lineRule="auto"/>
        <w:ind w:firstLine="480" w:firstLineChars="200"/>
        <w:rPr>
          <w:sz w:val="24"/>
        </w:rPr>
      </w:pPr>
      <w:r>
        <w:rPr>
          <w:rFonts w:hint="eastAsia"/>
          <w:sz w:val="24"/>
        </w:rPr>
        <w:t>运动目标检测技术研究如何完成研究对象（图像序列）中感兴趣的目标区域的“准确定位”问题。</w:t>
      </w:r>
    </w:p>
    <w:p>
      <w:pPr>
        <w:keepNext/>
        <w:keepLines/>
        <w:spacing w:line="300" w:lineRule="auto"/>
        <w:outlineLvl w:val="3"/>
        <w:rPr>
          <w:b/>
          <w:bCs/>
          <w:sz w:val="24"/>
          <w:szCs w:val="28"/>
        </w:rPr>
      </w:pPr>
      <w:r>
        <w:rPr>
          <w:rFonts w:hint="eastAsia"/>
          <w:b/>
          <w:bCs/>
          <w:sz w:val="24"/>
          <w:szCs w:val="28"/>
        </w:rPr>
        <w:t>1.1.2.1 光流法</w:t>
      </w:r>
    </w:p>
    <w:p>
      <w:pPr>
        <w:spacing w:line="300" w:lineRule="auto"/>
        <w:ind w:firstLine="480" w:firstLineChars="200"/>
        <w:rPr>
          <w:sz w:val="24"/>
        </w:rPr>
      </w:pPr>
      <w:r>
        <w:rPr>
          <w:rFonts w:hint="eastAsia"/>
          <w:sz w:val="24"/>
        </w:rPr>
        <w:t>三种传统的运动目标检测算法之一。当物体运动时，在图像上对应物体的亮度模式也在运动，从而称光流是图像亮度模式的视在运动。光流法检测采用了目标随时间变化的光流特性。</w:t>
      </w:r>
    </w:p>
    <w:p>
      <w:pPr>
        <w:keepNext/>
        <w:keepLines/>
        <w:spacing w:line="300" w:lineRule="auto"/>
        <w:outlineLvl w:val="3"/>
        <w:rPr>
          <w:b/>
          <w:bCs/>
          <w:sz w:val="24"/>
          <w:szCs w:val="28"/>
        </w:rPr>
      </w:pPr>
      <w:r>
        <w:rPr>
          <w:rFonts w:hint="eastAsia"/>
          <w:b/>
          <w:bCs/>
          <w:sz w:val="24"/>
          <w:szCs w:val="28"/>
        </w:rPr>
        <w:t>1.1.2.2 帧间差分法</w:t>
      </w:r>
    </w:p>
    <w:p>
      <w:pPr>
        <w:spacing w:line="300" w:lineRule="auto"/>
        <w:ind w:firstLine="480" w:firstLineChars="200"/>
        <w:rPr>
          <w:sz w:val="24"/>
        </w:rPr>
      </w:pPr>
      <w:r>
        <w:rPr>
          <w:rFonts w:hint="eastAsia"/>
          <w:sz w:val="24"/>
        </w:rPr>
        <w:t>三种传统的运动目标检测算法之一。帧间差分式检测相邻两帧图像之间变化的最简单、最直接的方法，它是直接比较了两帧图像对应像素点的灰度值的不同，然后通过阈值来提取序列图像中的运动区域。二值图像中为“0”的像素对应在前后两帧图像之间没有发生（由于运动而产生的）变化的地方，为“1”的像素对应两帧图像间发生变化的地方，这常是由目标运动而产生的。</w:t>
      </w:r>
    </w:p>
    <w:p>
      <w:pPr>
        <w:spacing w:line="300" w:lineRule="auto"/>
        <w:ind w:firstLine="480" w:firstLineChars="200"/>
        <w:rPr>
          <w:sz w:val="24"/>
        </w:rPr>
      </w:pPr>
      <w:r>
        <w:rPr>
          <w:rFonts w:hint="eastAsia"/>
          <w:sz w:val="24"/>
        </w:rPr>
        <w:t>计算得到如式（1.1）。</w:t>
      </w:r>
    </w:p>
    <w:p>
      <w:pPr>
        <w:spacing w:before="60" w:after="60" w:line="300" w:lineRule="auto"/>
        <w:jc w:val="right"/>
        <w:rPr>
          <w:position w:val="-10"/>
          <w:sz w:val="24"/>
        </w:rPr>
      </w:pPr>
      <w:r>
        <w:rPr>
          <w:sz w:val="24"/>
        </w:rPr>
        <w:drawing>
          <wp:inline distT="0" distB="0" distL="114300" distR="114300">
            <wp:extent cx="1343660" cy="238760"/>
            <wp:effectExtent l="0" t="0" r="889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1343660" cy="238760"/>
                    </a:xfrm>
                    <a:prstGeom prst="rect">
                      <a:avLst/>
                    </a:prstGeom>
                    <a:noFill/>
                    <a:ln>
                      <a:noFill/>
                    </a:ln>
                  </pic:spPr>
                </pic:pic>
              </a:graphicData>
            </a:graphic>
          </wp:inline>
        </w:drawing>
      </w:r>
      <w:r>
        <w:rPr>
          <w:sz w:val="24"/>
        </w:rPr>
        <w:t xml:space="preserve">          </w:t>
      </w:r>
      <w:r>
        <w:rPr>
          <w:rFonts w:hint="eastAsia"/>
          <w:position w:val="-10"/>
          <w:sz w:val="24"/>
        </w:rPr>
        <w:t>（1.</w:t>
      </w:r>
      <w:r>
        <w:rPr>
          <w:position w:val="-10"/>
          <w:sz w:val="24"/>
        </w:rPr>
        <w:t>1</w:t>
      </w:r>
      <w:r>
        <w:rPr>
          <w:rFonts w:hint="eastAsia"/>
          <w:position w:val="-10"/>
          <w:sz w:val="24"/>
        </w:rPr>
        <w:t>）</w:t>
      </w:r>
    </w:p>
    <w:p>
      <w:pPr>
        <w:spacing w:line="300" w:lineRule="auto"/>
        <w:ind w:firstLine="480" w:firstLineChars="200"/>
        <w:rPr>
          <w:sz w:val="24"/>
        </w:rPr>
      </w:pPr>
      <w:r>
        <w:rPr>
          <w:rFonts w:hint="eastAsia"/>
          <w:sz w:val="24"/>
        </w:rPr>
        <w:t>其中，Es、Ec——基体和涂层的平均弹性模量；</w:t>
      </w:r>
    </w:p>
    <w:p>
      <w:pPr>
        <w:spacing w:line="300" w:lineRule="auto"/>
        <w:ind w:firstLine="991" w:firstLineChars="413"/>
        <w:rPr>
          <w:sz w:val="24"/>
        </w:rPr>
      </w:pPr>
      <w:r>
        <w:rPr>
          <w:rFonts w:hint="eastAsia"/>
          <w:sz w:val="24"/>
        </w:rPr>
        <w:t>αs、αc——基体和涂层的热膨胀系数；</w:t>
      </w:r>
    </w:p>
    <w:p>
      <w:pPr>
        <w:spacing w:line="300" w:lineRule="auto"/>
        <w:ind w:firstLine="1560" w:firstLineChars="650"/>
        <w:rPr>
          <w:sz w:val="24"/>
        </w:rPr>
      </w:pPr>
      <w:r>
        <w:rPr>
          <w:rFonts w:hint="eastAsia"/>
          <w:sz w:val="24"/>
        </w:rPr>
        <w:t>ΔT——喷涂前后温差；</w:t>
      </w:r>
    </w:p>
    <w:p>
      <w:pPr>
        <w:spacing w:line="300" w:lineRule="auto"/>
        <w:ind w:firstLine="1440" w:firstLineChars="600"/>
        <w:rPr>
          <w:sz w:val="24"/>
        </w:rPr>
      </w:pPr>
      <w:r>
        <w:rPr>
          <w:rFonts w:hint="eastAsia"/>
          <w:sz w:val="24"/>
        </w:rPr>
        <w:t>D、d——基体和涂层的厚度。</w:t>
      </w:r>
    </w:p>
    <w:p>
      <w:pPr>
        <w:adjustRightInd w:val="0"/>
        <w:snapToGrid w:val="0"/>
        <w:spacing w:line="300" w:lineRule="auto"/>
        <w:ind w:firstLine="480" w:firstLineChars="200"/>
        <w:rPr>
          <w:color w:val="000000"/>
          <w:sz w:val="24"/>
          <w:szCs w:val="21"/>
        </w:rPr>
      </w:pPr>
      <w:r>
        <w:rPr>
          <w:color w:val="000000"/>
          <w:sz w:val="24"/>
          <w:szCs w:val="21"/>
        </w:rPr>
        <w:t>将查得各值代入公式得：</w:t>
      </w:r>
    </w:p>
    <w:p>
      <w:pPr>
        <w:spacing w:before="60" w:after="60" w:line="300" w:lineRule="auto"/>
        <w:jc w:val="center"/>
        <w:rPr>
          <w:sz w:val="24"/>
        </w:rPr>
      </w:pPr>
      <w:r>
        <w:rPr>
          <w:position w:val="-38"/>
          <w:sz w:val="24"/>
        </w:rPr>
        <w:drawing>
          <wp:inline distT="0" distB="0" distL="114300" distR="114300">
            <wp:extent cx="1368425" cy="397510"/>
            <wp:effectExtent l="0" t="0" r="3175"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1368425" cy="397510"/>
                    </a:xfrm>
                    <a:prstGeom prst="rect">
                      <a:avLst/>
                    </a:prstGeom>
                    <a:noFill/>
                    <a:ln>
                      <a:noFill/>
                    </a:ln>
                  </pic:spPr>
                </pic:pic>
              </a:graphicData>
            </a:graphic>
          </wp:inline>
        </w:drawing>
      </w:r>
    </w:p>
    <w:p>
      <w:pPr>
        <w:spacing w:before="60" w:after="60" w:line="300" w:lineRule="auto"/>
        <w:ind w:right="1080"/>
        <w:jc w:val="center"/>
        <w:rPr>
          <w:sz w:val="24"/>
        </w:rPr>
      </w:pPr>
      <w:r>
        <w:rPr>
          <w:rFonts w:hint="eastAsia"/>
          <w:sz w:val="24"/>
        </w:rPr>
        <w:t xml:space="preserve">                  </w:t>
      </w:r>
      <w:r>
        <w:rPr>
          <w:position w:val="-38"/>
          <w:sz w:val="24"/>
        </w:rPr>
        <w:drawing>
          <wp:inline distT="0" distB="0" distL="114300" distR="114300">
            <wp:extent cx="1757045" cy="397510"/>
            <wp:effectExtent l="0" t="0" r="1460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1757045" cy="397510"/>
                    </a:xfrm>
                    <a:prstGeom prst="rect">
                      <a:avLst/>
                    </a:prstGeom>
                    <a:noFill/>
                    <a:ln>
                      <a:noFill/>
                    </a:ln>
                  </pic:spPr>
                </pic:pic>
              </a:graphicData>
            </a:graphic>
          </wp:inline>
        </w:drawing>
      </w:r>
    </w:p>
    <w:p>
      <w:pPr>
        <w:wordWrap w:val="0"/>
        <w:spacing w:before="60" w:after="60" w:line="300" w:lineRule="auto"/>
        <w:jc w:val="right"/>
        <w:rPr>
          <w:sz w:val="24"/>
          <w:szCs w:val="21"/>
        </w:rPr>
      </w:pPr>
      <w:r>
        <w:rPr>
          <w:sz w:val="24"/>
        </w:rPr>
        <w:drawing>
          <wp:inline distT="0" distB="0" distL="114300" distR="114300">
            <wp:extent cx="699770" cy="198755"/>
            <wp:effectExtent l="0" t="0" r="508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699770" cy="198755"/>
                    </a:xfrm>
                    <a:prstGeom prst="rect">
                      <a:avLst/>
                    </a:prstGeom>
                    <a:noFill/>
                    <a:ln>
                      <a:noFill/>
                    </a:ln>
                  </pic:spPr>
                </pic:pic>
              </a:graphicData>
            </a:graphic>
          </wp:inline>
        </w:drawing>
      </w:r>
      <w:r>
        <w:rPr>
          <w:rFonts w:hint="eastAsia"/>
          <w:sz w:val="24"/>
        </w:rPr>
        <w:t xml:space="preserve">                 （1.2）</w:t>
      </w:r>
    </w:p>
    <w:p>
      <w:pPr>
        <w:spacing w:line="300" w:lineRule="auto"/>
        <w:ind w:firstLine="480" w:firstLineChars="200"/>
        <w:rPr>
          <w:sz w:val="24"/>
        </w:rPr>
      </w:pPr>
      <w:r>
        <w:rPr>
          <w:rFonts w:hint="eastAsia"/>
          <w:sz w:val="24"/>
        </w:rPr>
        <w:t>处理过程如图1.1所示。</w:t>
      </w:r>
    </w:p>
    <w:p>
      <w:pPr>
        <w:spacing w:line="300" w:lineRule="auto"/>
        <w:rPr>
          <w:sz w:val="24"/>
        </w:rPr>
      </w:pPr>
    </w:p>
    <w:p>
      <w:pPr>
        <w:spacing w:line="300" w:lineRule="auto"/>
        <w:jc w:val="center"/>
        <w:rPr>
          <w:sz w:val="24"/>
        </w:rPr>
      </w:pPr>
      <w:r>
        <w:rPr>
          <w:sz w:val="24"/>
        </w:rPr>
        <w:drawing>
          <wp:inline distT="0" distB="0" distL="114300" distR="114300">
            <wp:extent cx="3668395" cy="1109980"/>
            <wp:effectExtent l="0" t="0" r="8255" b="13970"/>
            <wp:docPr id="1" name="图片 5" descr="绘图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绘图6.bmp"/>
                    <pic:cNvPicPr>
                      <a:picLocks noChangeAspect="1"/>
                    </pic:cNvPicPr>
                  </pic:nvPicPr>
                  <pic:blipFill>
                    <a:blip r:embed="rId15"/>
                    <a:stretch>
                      <a:fillRect/>
                    </a:stretch>
                  </pic:blipFill>
                  <pic:spPr>
                    <a:xfrm>
                      <a:off x="0" y="0"/>
                      <a:ext cx="3668395" cy="1109980"/>
                    </a:xfrm>
                    <a:prstGeom prst="rect">
                      <a:avLst/>
                    </a:prstGeom>
                    <a:noFill/>
                    <a:ln>
                      <a:noFill/>
                    </a:ln>
                  </pic:spPr>
                </pic:pic>
              </a:graphicData>
            </a:graphic>
          </wp:inline>
        </w:drawing>
      </w:r>
    </w:p>
    <w:p>
      <w:pPr>
        <w:spacing w:line="300" w:lineRule="auto"/>
        <w:jc w:val="center"/>
        <w:rPr>
          <w:b/>
          <w:szCs w:val="21"/>
        </w:rPr>
      </w:pPr>
      <w:bookmarkStart w:id="21" w:name="手部运动方向检测结构图"/>
      <w:r>
        <w:rPr>
          <w:rFonts w:hint="eastAsia"/>
          <w:b/>
          <w:szCs w:val="21"/>
        </w:rPr>
        <w:t>图</w:t>
      </w:r>
      <w:bookmarkEnd w:id="21"/>
      <w:r>
        <w:rPr>
          <w:rFonts w:hint="eastAsia"/>
          <w:b/>
          <w:szCs w:val="21"/>
        </w:rPr>
        <w:t>1.1 手部运动方向检测结构图</w:t>
      </w:r>
    </w:p>
    <w:p>
      <w:pPr>
        <w:spacing w:line="300" w:lineRule="auto"/>
        <w:rPr>
          <w:sz w:val="24"/>
        </w:rPr>
      </w:pPr>
    </w:p>
    <w:p>
      <w:pPr>
        <w:spacing w:line="300" w:lineRule="auto"/>
        <w:ind w:firstLine="480" w:firstLineChars="200"/>
        <w:rPr>
          <w:sz w:val="24"/>
        </w:rPr>
      </w:pPr>
      <w:r>
        <w:rPr>
          <w:rFonts w:hint="eastAsia"/>
          <w:sz w:val="24"/>
        </w:rPr>
        <w:t>由图1.1可以知道，当得到一个变量的概率密度函数pdf时，熵就可以用来度量其状态的连贯性，同时，熵也是能量的一种表示。</w:t>
      </w:r>
    </w:p>
    <w:p>
      <w:pPr>
        <w:keepNext/>
        <w:keepLines/>
        <w:spacing w:before="163" w:beforeLines="50" w:after="163" w:afterLines="50" w:line="300" w:lineRule="auto"/>
        <w:outlineLvl w:val="1"/>
        <w:rPr>
          <w:rFonts w:ascii="Cambria" w:hAnsi="Cambria"/>
          <w:b/>
          <w:bCs/>
          <w:sz w:val="28"/>
          <w:szCs w:val="32"/>
        </w:rPr>
      </w:pPr>
      <w:bookmarkStart w:id="22" w:name="_Toc307165633"/>
      <w:bookmarkStart w:id="23" w:name="_Toc307166505"/>
      <w:bookmarkStart w:id="24" w:name="_Toc307166534"/>
      <w:bookmarkStart w:id="25" w:name="_Toc307862867"/>
      <w:r>
        <w:rPr>
          <w:rFonts w:hint="eastAsia" w:ascii="Cambria" w:hAnsi="Cambria"/>
          <w:b/>
          <w:bCs/>
          <w:sz w:val="28"/>
          <w:szCs w:val="32"/>
        </w:rPr>
        <w:t>1.2 本章小结</w:t>
      </w:r>
      <w:bookmarkEnd w:id="22"/>
      <w:bookmarkEnd w:id="23"/>
      <w:bookmarkEnd w:id="24"/>
      <w:bookmarkEnd w:id="25"/>
    </w:p>
    <w:p>
      <w:pPr>
        <w:spacing w:line="300" w:lineRule="auto"/>
        <w:ind w:firstLine="480" w:firstLineChars="200"/>
        <w:rPr>
          <w:sz w:val="24"/>
        </w:rPr>
      </w:pPr>
      <w:r>
        <w:rPr>
          <w:rFonts w:hint="eastAsia"/>
          <w:sz w:val="24"/>
        </w:rPr>
        <w:t>视频序列中运动目标的检测与跟踪是计算机视觉和图像编码研究领域的一个重要课题，在机器人导航、智能监视系统、交通检测、医学图像处理以及视频图像压缩和传输等领域都有广泛的应用。运动目标检测就是判断视频序列中是否存在运动目标，并确定运动目标的位置。</w:t>
      </w:r>
    </w:p>
    <w:p>
      <w:pPr>
        <w:spacing w:line="300" w:lineRule="auto"/>
        <w:ind w:firstLine="480" w:firstLineChars="200"/>
        <w:rPr>
          <w:sz w:val="24"/>
        </w:rPr>
        <w:sectPr>
          <w:headerReference r:id="rId7" w:type="default"/>
          <w:footerReference r:id="rId8" w:type="default"/>
          <w:pgSz w:w="9979" w:h="14181"/>
          <w:pgMar w:top="1440" w:right="1797" w:bottom="1440" w:left="1797" w:header="851" w:footer="992" w:gutter="0"/>
          <w:pgNumType w:start="1"/>
          <w:cols w:space="425" w:num="1"/>
          <w:docGrid w:type="linesAndChars" w:linePitch="326" w:charSpace="0"/>
        </w:sectPr>
      </w:pPr>
    </w:p>
    <w:p>
      <w:pPr>
        <w:keepNext/>
        <w:keepLines/>
        <w:spacing w:before="400" w:after="200" w:line="300" w:lineRule="auto"/>
        <w:outlineLvl w:val="0"/>
        <w:rPr>
          <w:b/>
          <w:bCs/>
          <w:kern w:val="44"/>
          <w:sz w:val="32"/>
          <w:szCs w:val="44"/>
        </w:rPr>
      </w:pPr>
      <w:bookmarkStart w:id="26" w:name="_Toc277842000"/>
      <w:bookmarkStart w:id="27" w:name="_Toc307165634"/>
      <w:bookmarkStart w:id="28" w:name="_Toc307166506"/>
      <w:bookmarkStart w:id="29" w:name="_Toc307166535"/>
      <w:bookmarkStart w:id="30" w:name="_Toc307862868"/>
      <w:r>
        <w:rPr>
          <w:rFonts w:hint="eastAsia"/>
          <w:b/>
          <w:bCs/>
          <w:kern w:val="44"/>
          <w:sz w:val="32"/>
          <w:szCs w:val="44"/>
        </w:rPr>
        <w:t>第2章 基础知识</w:t>
      </w:r>
      <w:bookmarkEnd w:id="26"/>
      <w:bookmarkEnd w:id="27"/>
      <w:bookmarkEnd w:id="28"/>
      <w:bookmarkEnd w:id="29"/>
      <w:bookmarkEnd w:id="30"/>
    </w:p>
    <w:p>
      <w:pPr>
        <w:spacing w:line="300" w:lineRule="auto"/>
        <w:ind w:firstLine="480" w:firstLineChars="200"/>
        <w:rPr>
          <w:sz w:val="24"/>
        </w:rPr>
      </w:pPr>
      <w:r>
        <w:rPr>
          <w:rFonts w:hint="eastAsia"/>
          <w:sz w:val="24"/>
        </w:rPr>
        <w:t>基于视频序列的运动目标检测与跟踪涉及到很多研究领域，如数字图像处理、计算机视觉、信息融合、模式识别与人工智能等。</w:t>
      </w:r>
    </w:p>
    <w:p>
      <w:pPr>
        <w:keepNext/>
        <w:keepLines/>
        <w:spacing w:before="163" w:beforeLines="50" w:after="163" w:afterLines="50" w:line="300" w:lineRule="auto"/>
        <w:outlineLvl w:val="1"/>
        <w:rPr>
          <w:rFonts w:ascii="Cambria" w:hAnsi="Cambria"/>
          <w:b/>
          <w:bCs/>
          <w:sz w:val="28"/>
          <w:szCs w:val="32"/>
        </w:rPr>
      </w:pPr>
      <w:bookmarkStart w:id="31" w:name="_Toc307166536"/>
      <w:bookmarkStart w:id="32" w:name="_Toc307165635"/>
      <w:bookmarkStart w:id="33" w:name="_Toc307166507"/>
      <w:bookmarkStart w:id="34" w:name="_Toc307862869"/>
      <w:bookmarkStart w:id="35" w:name="_Toc277842001"/>
      <w:r>
        <w:rPr>
          <w:rFonts w:hint="eastAsia" w:ascii="Cambria" w:hAnsi="Cambria"/>
          <w:b/>
          <w:bCs/>
          <w:sz w:val="28"/>
          <w:szCs w:val="32"/>
        </w:rPr>
        <w:t>2.1 视频图像预处理</w:t>
      </w:r>
      <w:bookmarkEnd w:id="31"/>
      <w:bookmarkEnd w:id="32"/>
      <w:bookmarkEnd w:id="33"/>
      <w:bookmarkEnd w:id="34"/>
      <w:bookmarkEnd w:id="35"/>
    </w:p>
    <w:p>
      <w:pPr>
        <w:keepNext/>
        <w:keepLines/>
        <w:spacing w:before="163" w:beforeLines="50" w:after="163" w:afterLines="50" w:line="300" w:lineRule="auto"/>
        <w:outlineLvl w:val="2"/>
        <w:rPr>
          <w:b/>
          <w:bCs/>
          <w:sz w:val="24"/>
          <w:szCs w:val="32"/>
        </w:rPr>
      </w:pPr>
      <w:bookmarkStart w:id="36" w:name="_Toc233258933"/>
      <w:bookmarkStart w:id="37" w:name="_Toc277842002"/>
      <w:bookmarkStart w:id="38" w:name="_Toc307862870"/>
      <w:bookmarkStart w:id="39" w:name="_Toc307166537"/>
      <w:bookmarkStart w:id="40" w:name="_Toc307166508"/>
      <w:r>
        <w:rPr>
          <w:rFonts w:hint="eastAsia"/>
          <w:b/>
          <w:bCs/>
          <w:sz w:val="24"/>
          <w:szCs w:val="32"/>
        </w:rPr>
        <w:t>2.1.1 常用颜色模型</w:t>
      </w:r>
      <w:bookmarkEnd w:id="36"/>
      <w:bookmarkEnd w:id="37"/>
      <w:bookmarkEnd w:id="38"/>
      <w:bookmarkEnd w:id="39"/>
      <w:bookmarkEnd w:id="40"/>
    </w:p>
    <w:p>
      <w:pPr>
        <w:spacing w:line="300" w:lineRule="auto"/>
        <w:ind w:firstLine="480" w:firstLineChars="200"/>
        <w:rPr>
          <w:sz w:val="24"/>
        </w:rPr>
      </w:pPr>
      <w:r>
        <w:rPr>
          <w:rFonts w:hint="eastAsia"/>
          <w:sz w:val="24"/>
        </w:rPr>
        <w:t>颜色模型的用语是在某些标准下用通常可接受的方式简化彩色规范。本质上颜色模型是坐标系统和子空间的规范。位于系统中的每种颜色都由单个点来表示。</w:t>
      </w:r>
    </w:p>
    <w:p>
      <w:pPr>
        <w:spacing w:line="300" w:lineRule="auto"/>
        <w:ind w:firstLine="480" w:firstLineChars="200"/>
        <w:rPr>
          <w:sz w:val="24"/>
        </w:rPr>
      </w:pPr>
      <w:r>
        <w:rPr>
          <w:rFonts w:hint="eastAsia"/>
          <w:sz w:val="24"/>
        </w:rPr>
        <w:t>（1）RGB彩色模型</w:t>
      </w:r>
    </w:p>
    <w:p>
      <w:pPr>
        <w:spacing w:line="300" w:lineRule="auto"/>
        <w:ind w:firstLine="480" w:firstLineChars="200"/>
        <w:rPr>
          <w:sz w:val="24"/>
        </w:rPr>
      </w:pPr>
      <w:r>
        <w:rPr>
          <w:rFonts w:hint="eastAsia"/>
          <w:sz w:val="24"/>
        </w:rPr>
        <w:t>在RGB模型中，每种颜色出现在红、绿、蓝的原色光谱分量中，这个模型基于笛卡尔坐标系。</w:t>
      </w:r>
      <w:r>
        <w:rPr>
          <w:sz w:val="24"/>
        </w:rPr>
        <w:fldChar w:fldCharType="begin"/>
      </w:r>
      <w:r>
        <w:rPr>
          <w:sz w:val="24"/>
        </w:rPr>
        <w:instrText xml:space="preserve"> </w:instrText>
      </w:r>
      <w:r>
        <w:rPr>
          <w:rFonts w:hint="eastAsia"/>
          <w:sz w:val="24"/>
        </w:rPr>
        <w:instrText xml:space="preserve">REF RGB彩色立方体示意图 \h</w:instrText>
      </w:r>
      <w:r>
        <w:rPr>
          <w:sz w:val="24"/>
        </w:rPr>
        <w:instrText xml:space="preserve">  \* MERGEFORMAT </w:instrText>
      </w:r>
      <w:r>
        <w:rPr>
          <w:sz w:val="24"/>
        </w:rPr>
        <w:fldChar w:fldCharType="separate"/>
      </w:r>
    </w:p>
    <w:p>
      <w:pPr>
        <w:spacing w:line="300" w:lineRule="auto"/>
        <w:ind w:firstLine="480" w:firstLineChars="200"/>
        <w:rPr>
          <w:sz w:val="24"/>
        </w:rPr>
      </w:pPr>
      <w:r>
        <w:rPr>
          <w:rFonts w:hint="eastAsia"/>
          <w:sz w:val="24"/>
        </w:rPr>
        <w:t>图2.</w:t>
      </w:r>
      <w:r>
        <w:rPr>
          <w:sz w:val="24"/>
        </w:rPr>
        <w:t>1</w:t>
      </w:r>
      <w:r>
        <w:rPr>
          <w:rFonts w:hint="eastAsia"/>
          <w:sz w:val="24"/>
        </w:rPr>
        <w:t xml:space="preserve"> </w:t>
      </w:r>
      <w:r>
        <w:rPr>
          <w:sz w:val="24"/>
        </w:rPr>
        <w:fldChar w:fldCharType="end"/>
      </w:r>
      <w:r>
        <w:rPr>
          <w:rFonts w:hint="eastAsia"/>
          <w:sz w:val="24"/>
        </w:rPr>
        <w:t>所示的立方体。图中R、G、B位于3个角上。在该模型中，灰度等级沿着主对角线从原点的黑色到点（1，1，1）的白色分布。</w:t>
      </w:r>
    </w:p>
    <w:p>
      <w:pPr>
        <w:spacing w:line="300" w:lineRule="auto"/>
        <w:rPr>
          <w:sz w:val="24"/>
        </w:rPr>
      </w:pPr>
    </w:p>
    <w:p>
      <w:pPr>
        <w:spacing w:line="300" w:lineRule="auto"/>
        <w:jc w:val="center"/>
        <w:rPr>
          <w:sz w:val="24"/>
        </w:rPr>
      </w:pPr>
      <w:r>
        <w:rPr>
          <w:sz w:val="24"/>
        </w:rPr>
        <w:drawing>
          <wp:inline distT="0" distB="0" distL="114300" distR="114300">
            <wp:extent cx="1537335" cy="1432560"/>
            <wp:effectExtent l="0" t="0" r="571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1537335" cy="1432560"/>
                    </a:xfrm>
                    <a:prstGeom prst="rect">
                      <a:avLst/>
                    </a:prstGeom>
                    <a:noFill/>
                    <a:ln>
                      <a:noFill/>
                    </a:ln>
                  </pic:spPr>
                </pic:pic>
              </a:graphicData>
            </a:graphic>
          </wp:inline>
        </w:drawing>
      </w:r>
      <w:bookmarkStart w:id="41" w:name="RGB彩色立方体示意图"/>
    </w:p>
    <w:p>
      <w:pPr>
        <w:spacing w:line="300" w:lineRule="auto"/>
        <w:jc w:val="center"/>
        <w:rPr>
          <w:b/>
        </w:rPr>
      </w:pPr>
      <w:r>
        <w:rPr>
          <w:rFonts w:hint="eastAsia"/>
          <w:b/>
        </w:rPr>
        <w:t>图2.</w:t>
      </w:r>
      <w:r>
        <w:rPr>
          <w:b/>
        </w:rPr>
        <w:fldChar w:fldCharType="begin"/>
      </w:r>
      <w:r>
        <w:rPr>
          <w:b/>
        </w:rPr>
        <w:instrText xml:space="preserve"> </w:instrText>
      </w:r>
      <w:r>
        <w:rPr>
          <w:rFonts w:hint="eastAsia"/>
          <w:b/>
        </w:rPr>
        <w:instrText xml:space="preserve">SEQ 图2- \* ARABIC</w:instrText>
      </w:r>
      <w:r>
        <w:rPr>
          <w:b/>
        </w:rPr>
        <w:instrText xml:space="preserve"> </w:instrText>
      </w:r>
      <w:r>
        <w:rPr>
          <w:b/>
        </w:rPr>
        <w:fldChar w:fldCharType="separate"/>
      </w:r>
      <w:r>
        <w:rPr>
          <w:b/>
        </w:rPr>
        <w:t>1</w:t>
      </w:r>
      <w:r>
        <w:rPr>
          <w:b/>
        </w:rPr>
        <w:fldChar w:fldCharType="end"/>
      </w:r>
      <w:r>
        <w:rPr>
          <w:rFonts w:hint="eastAsia"/>
          <w:b/>
        </w:rPr>
        <w:t xml:space="preserve"> </w:t>
      </w:r>
      <w:bookmarkEnd w:id="41"/>
      <w:r>
        <w:rPr>
          <w:rFonts w:hint="eastAsia"/>
          <w:b/>
        </w:rPr>
        <w:t>RGB彩色立方体示意图</w:t>
      </w:r>
    </w:p>
    <w:p>
      <w:pPr>
        <w:spacing w:line="300" w:lineRule="auto"/>
        <w:jc w:val="center"/>
        <w:rPr>
          <w:b/>
        </w:rPr>
      </w:pPr>
    </w:p>
    <w:p>
      <w:pPr>
        <w:spacing w:line="300" w:lineRule="auto"/>
        <w:ind w:firstLine="480" w:firstLineChars="200"/>
        <w:rPr>
          <w:sz w:val="24"/>
        </w:rPr>
      </w:pPr>
      <w:r>
        <w:rPr>
          <w:rFonts w:hint="eastAsia"/>
          <w:sz w:val="24"/>
        </w:rPr>
        <w:t>（2）灰色模型</w:t>
      </w:r>
    </w:p>
    <w:p>
      <w:pPr>
        <w:spacing w:line="300" w:lineRule="auto"/>
        <w:ind w:firstLine="480" w:firstLineChars="200"/>
        <w:rPr>
          <w:sz w:val="24"/>
        </w:rPr>
      </w:pPr>
      <w:r>
        <w:rPr>
          <w:rFonts w:hint="eastAsia"/>
          <w:sz w:val="24"/>
        </w:rPr>
        <w:t>本质上颜色模型是坐标系统和子空间的规范。位于系统中的每种颜色都由单个点来表示。单位在每列的书写示例如表2.1所示。</w:t>
      </w:r>
    </w:p>
    <w:p>
      <w:pPr>
        <w:spacing w:line="300" w:lineRule="auto"/>
        <w:ind w:firstLine="480" w:firstLineChars="200"/>
        <w:rPr>
          <w:sz w:val="24"/>
        </w:rPr>
      </w:pPr>
    </w:p>
    <w:p>
      <w:pPr>
        <w:spacing w:line="300" w:lineRule="auto"/>
        <w:jc w:val="center"/>
        <w:rPr>
          <w:b/>
        </w:rPr>
      </w:pPr>
      <w:r>
        <w:rPr>
          <w:rFonts w:hint="eastAsia"/>
          <w:b/>
        </w:rPr>
        <w:t>表2.1 单位在每列的书写示例</w:t>
      </w:r>
    </w:p>
    <w:tbl>
      <w:tblPr>
        <w:tblStyle w:val="4"/>
        <w:tblW w:w="66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50"/>
        <w:gridCol w:w="1938"/>
        <w:gridCol w:w="1228"/>
        <w:gridCol w:w="16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059" w:type="dxa"/>
            <w:tcBorders>
              <w:bottom w:val="single" w:color="auto" w:sz="4" w:space="0"/>
              <w:right w:val="nil"/>
            </w:tcBorders>
            <w:noWrap w:val="0"/>
            <w:vAlign w:val="center"/>
          </w:tcPr>
          <w:p>
            <w:pPr>
              <w:spacing w:line="300" w:lineRule="auto"/>
              <w:jc w:val="center"/>
              <w:rPr>
                <w:szCs w:val="21"/>
              </w:rPr>
            </w:pPr>
            <w:r>
              <w:rPr>
                <w:rFonts w:hint="eastAsia"/>
                <w:szCs w:val="21"/>
              </w:rPr>
              <w:t>基体</w:t>
            </w:r>
          </w:p>
        </w:tc>
        <w:tc>
          <w:tcPr>
            <w:tcW w:w="750" w:type="dxa"/>
            <w:tcBorders>
              <w:left w:val="nil"/>
              <w:bottom w:val="single" w:color="auto" w:sz="4" w:space="0"/>
              <w:right w:val="nil"/>
            </w:tcBorders>
            <w:noWrap w:val="0"/>
            <w:vAlign w:val="center"/>
          </w:tcPr>
          <w:p>
            <w:pPr>
              <w:spacing w:line="300" w:lineRule="auto"/>
              <w:jc w:val="center"/>
              <w:rPr>
                <w:szCs w:val="21"/>
              </w:rPr>
            </w:pPr>
            <w:r>
              <w:rPr>
                <w:rFonts w:hint="eastAsia"/>
                <w:szCs w:val="21"/>
              </w:rPr>
              <w:t>序号</w:t>
            </w:r>
          </w:p>
        </w:tc>
        <w:tc>
          <w:tcPr>
            <w:tcW w:w="1938" w:type="dxa"/>
            <w:tcBorders>
              <w:left w:val="nil"/>
              <w:bottom w:val="single" w:color="auto" w:sz="4" w:space="0"/>
              <w:right w:val="nil"/>
            </w:tcBorders>
            <w:noWrap w:val="0"/>
            <w:vAlign w:val="center"/>
          </w:tcPr>
          <w:p>
            <w:pPr>
              <w:spacing w:line="300" w:lineRule="auto"/>
              <w:jc w:val="center"/>
              <w:rPr>
                <w:szCs w:val="21"/>
              </w:rPr>
            </w:pPr>
            <w:r>
              <w:rPr>
                <w:rFonts w:hint="eastAsia"/>
                <w:szCs w:val="21"/>
              </w:rPr>
              <w:t>粉末类型和预热温度（℃）</w:t>
            </w:r>
          </w:p>
        </w:tc>
        <w:tc>
          <w:tcPr>
            <w:tcW w:w="1228" w:type="dxa"/>
            <w:tcBorders>
              <w:left w:val="nil"/>
              <w:bottom w:val="single" w:color="auto" w:sz="4" w:space="0"/>
              <w:right w:val="nil"/>
            </w:tcBorders>
            <w:noWrap w:val="0"/>
            <w:vAlign w:val="center"/>
          </w:tcPr>
          <w:p>
            <w:pPr>
              <w:spacing w:line="300" w:lineRule="auto"/>
              <w:jc w:val="center"/>
              <w:rPr>
                <w:szCs w:val="21"/>
              </w:rPr>
            </w:pPr>
            <w:r>
              <w:rPr>
                <w:rFonts w:hint="eastAsia"/>
                <w:szCs w:val="21"/>
              </w:rPr>
              <w:t>失效温度（℃）</w:t>
            </w:r>
          </w:p>
        </w:tc>
        <w:tc>
          <w:tcPr>
            <w:tcW w:w="1626" w:type="dxa"/>
            <w:tcBorders>
              <w:left w:val="nil"/>
              <w:bottom w:val="single" w:color="auto" w:sz="4" w:space="0"/>
              <w:right w:val="nil"/>
            </w:tcBorders>
            <w:noWrap w:val="0"/>
            <w:vAlign w:val="center"/>
          </w:tcPr>
          <w:p>
            <w:pPr>
              <w:spacing w:line="300" w:lineRule="auto"/>
              <w:jc w:val="center"/>
              <w:rPr>
                <w:szCs w:val="21"/>
              </w:rPr>
            </w:pPr>
            <w:r>
              <w:rPr>
                <w:szCs w:val="21"/>
              </w:rPr>
              <w:t>Ec</w:t>
            </w:r>
            <w:r>
              <w:rPr>
                <w:rFonts w:hint="eastAsia"/>
                <w:szCs w:val="21"/>
              </w:rPr>
              <w:t>计算值（GPa）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33" w:hRule="atLeast"/>
          <w:jc w:val="center"/>
        </w:trPr>
        <w:tc>
          <w:tcPr>
            <w:tcW w:w="1059" w:type="dxa"/>
            <w:vMerge w:val="restart"/>
            <w:tcBorders>
              <w:right w:val="nil"/>
            </w:tcBorders>
            <w:noWrap w:val="0"/>
            <w:vAlign w:val="center"/>
          </w:tcPr>
          <w:p>
            <w:pPr>
              <w:spacing w:line="300" w:lineRule="auto"/>
              <w:jc w:val="center"/>
              <w:rPr>
                <w:szCs w:val="21"/>
              </w:rPr>
            </w:pPr>
            <w:r>
              <w:rPr>
                <w:rFonts w:hint="eastAsia"/>
                <w:szCs w:val="21"/>
              </w:rPr>
              <w:t>SUS304不锈钢</w:t>
            </w:r>
          </w:p>
        </w:tc>
        <w:tc>
          <w:tcPr>
            <w:tcW w:w="750" w:type="dxa"/>
            <w:tcBorders>
              <w:left w:val="nil"/>
              <w:bottom w:val="nil"/>
              <w:right w:val="nil"/>
            </w:tcBorders>
            <w:noWrap w:val="0"/>
            <w:vAlign w:val="center"/>
          </w:tcPr>
          <w:p>
            <w:pPr>
              <w:spacing w:line="300" w:lineRule="auto"/>
              <w:jc w:val="center"/>
              <w:rPr>
                <w:szCs w:val="21"/>
              </w:rPr>
            </w:pPr>
            <w:r>
              <w:rPr>
                <w:rFonts w:hint="eastAsia"/>
                <w:szCs w:val="21"/>
              </w:rPr>
              <w:t>1</w:t>
            </w:r>
          </w:p>
        </w:tc>
        <w:tc>
          <w:tcPr>
            <w:tcW w:w="1938" w:type="dxa"/>
            <w:tcBorders>
              <w:left w:val="nil"/>
              <w:bottom w:val="nil"/>
              <w:right w:val="nil"/>
            </w:tcBorders>
            <w:noWrap w:val="0"/>
            <w:vAlign w:val="center"/>
          </w:tcPr>
          <w:p>
            <w:pPr>
              <w:spacing w:line="300" w:lineRule="auto"/>
              <w:jc w:val="center"/>
              <w:rPr>
                <w:szCs w:val="21"/>
              </w:rPr>
            </w:pPr>
            <w:r>
              <w:rPr>
                <w:rFonts w:hint="eastAsia"/>
                <w:szCs w:val="21"/>
              </w:rPr>
              <w:t>粗粉 &amp; 1000</w:t>
            </w:r>
          </w:p>
        </w:tc>
        <w:tc>
          <w:tcPr>
            <w:tcW w:w="1228" w:type="dxa"/>
            <w:tcBorders>
              <w:left w:val="nil"/>
              <w:bottom w:val="nil"/>
              <w:right w:val="nil"/>
            </w:tcBorders>
            <w:noWrap w:val="0"/>
            <w:vAlign w:val="center"/>
          </w:tcPr>
          <w:p>
            <w:pPr>
              <w:spacing w:line="300" w:lineRule="auto"/>
              <w:jc w:val="center"/>
              <w:rPr>
                <w:szCs w:val="21"/>
              </w:rPr>
            </w:pPr>
            <w:r>
              <w:rPr>
                <w:rFonts w:hint="eastAsia"/>
                <w:szCs w:val="21"/>
              </w:rPr>
              <w:t>180</w:t>
            </w:r>
          </w:p>
        </w:tc>
        <w:tc>
          <w:tcPr>
            <w:tcW w:w="1626" w:type="dxa"/>
            <w:tcBorders>
              <w:left w:val="nil"/>
              <w:bottom w:val="nil"/>
              <w:right w:val="nil"/>
            </w:tcBorders>
            <w:noWrap w:val="0"/>
            <w:vAlign w:val="center"/>
          </w:tcPr>
          <w:p>
            <w:pPr>
              <w:spacing w:line="300" w:lineRule="auto"/>
              <w:jc w:val="center"/>
              <w:rPr>
                <w:szCs w:val="21"/>
              </w:rPr>
            </w:pPr>
            <w:r>
              <w:rPr>
                <w:rFonts w:hint="eastAsia"/>
                <w:szCs w:val="21"/>
              </w:rPr>
              <w:t>4.21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bottom w:val="nil"/>
              <w:right w:val="nil"/>
            </w:tcBorders>
            <w:noWrap w:val="0"/>
            <w:vAlign w:val="center"/>
          </w:tcPr>
          <w:p>
            <w:pPr>
              <w:spacing w:line="300" w:lineRule="auto"/>
              <w:jc w:val="center"/>
              <w:rPr>
                <w:szCs w:val="21"/>
              </w:rPr>
            </w:pPr>
            <w:r>
              <w:rPr>
                <w:rFonts w:hint="eastAsia"/>
                <w:szCs w:val="21"/>
              </w:rPr>
              <w:t>2</w:t>
            </w:r>
          </w:p>
        </w:tc>
        <w:tc>
          <w:tcPr>
            <w:tcW w:w="1938" w:type="dxa"/>
            <w:tcBorders>
              <w:top w:val="nil"/>
              <w:left w:val="nil"/>
              <w:bottom w:val="nil"/>
              <w:right w:val="nil"/>
            </w:tcBorders>
            <w:noWrap w:val="0"/>
            <w:vAlign w:val="center"/>
          </w:tcPr>
          <w:p>
            <w:pPr>
              <w:spacing w:line="300" w:lineRule="auto"/>
              <w:jc w:val="center"/>
              <w:rPr>
                <w:szCs w:val="21"/>
              </w:rPr>
            </w:pPr>
            <w:r>
              <w:rPr>
                <w:rFonts w:hint="eastAsia"/>
                <w:szCs w:val="21"/>
              </w:rPr>
              <w:t>粗粉 &amp; 800</w:t>
            </w:r>
          </w:p>
        </w:tc>
        <w:tc>
          <w:tcPr>
            <w:tcW w:w="1228" w:type="dxa"/>
            <w:tcBorders>
              <w:top w:val="nil"/>
              <w:left w:val="nil"/>
              <w:bottom w:val="nil"/>
              <w:right w:val="nil"/>
            </w:tcBorders>
            <w:noWrap w:val="0"/>
            <w:vAlign w:val="center"/>
          </w:tcPr>
          <w:p>
            <w:pPr>
              <w:spacing w:line="300" w:lineRule="auto"/>
              <w:jc w:val="center"/>
              <w:rPr>
                <w:szCs w:val="21"/>
              </w:rPr>
            </w:pPr>
            <w:r>
              <w:rPr>
                <w:rFonts w:hint="eastAsia"/>
                <w:szCs w:val="21"/>
              </w:rPr>
              <w:t>10</w:t>
            </w:r>
          </w:p>
        </w:tc>
        <w:tc>
          <w:tcPr>
            <w:tcW w:w="1626" w:type="dxa"/>
            <w:tcBorders>
              <w:top w:val="nil"/>
              <w:left w:val="nil"/>
              <w:bottom w:val="nil"/>
              <w:right w:val="nil"/>
            </w:tcBorders>
            <w:noWrap w:val="0"/>
            <w:vAlign w:val="center"/>
          </w:tcPr>
          <w:p>
            <w:pPr>
              <w:spacing w:line="300" w:lineRule="auto"/>
              <w:jc w:val="center"/>
              <w:rPr>
                <w:szCs w:val="21"/>
              </w:rPr>
            </w:pPr>
            <w:r>
              <w:rPr>
                <w:rFonts w:hint="eastAsia"/>
                <w:szCs w:val="21"/>
              </w:rPr>
              <w:t>4.38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bottom w:val="nil"/>
              <w:right w:val="nil"/>
            </w:tcBorders>
            <w:noWrap w:val="0"/>
            <w:vAlign w:val="center"/>
          </w:tcPr>
          <w:p>
            <w:pPr>
              <w:spacing w:line="300" w:lineRule="auto"/>
              <w:jc w:val="center"/>
              <w:rPr>
                <w:szCs w:val="21"/>
              </w:rPr>
            </w:pPr>
            <w:r>
              <w:rPr>
                <w:rFonts w:hint="eastAsia"/>
                <w:szCs w:val="21"/>
              </w:rPr>
              <w:t>3</w:t>
            </w:r>
          </w:p>
        </w:tc>
        <w:tc>
          <w:tcPr>
            <w:tcW w:w="1938" w:type="dxa"/>
            <w:tcBorders>
              <w:top w:val="nil"/>
              <w:left w:val="nil"/>
              <w:bottom w:val="nil"/>
              <w:right w:val="nil"/>
            </w:tcBorders>
            <w:noWrap w:val="0"/>
            <w:vAlign w:val="center"/>
          </w:tcPr>
          <w:p>
            <w:pPr>
              <w:spacing w:line="300" w:lineRule="auto"/>
              <w:jc w:val="center"/>
              <w:rPr>
                <w:szCs w:val="21"/>
              </w:rPr>
            </w:pPr>
            <w:r>
              <w:rPr>
                <w:rFonts w:hint="eastAsia"/>
                <w:szCs w:val="21"/>
              </w:rPr>
              <w:t>细粉 &amp; 1000</w:t>
            </w:r>
          </w:p>
        </w:tc>
        <w:tc>
          <w:tcPr>
            <w:tcW w:w="1228" w:type="dxa"/>
            <w:tcBorders>
              <w:top w:val="nil"/>
              <w:left w:val="nil"/>
              <w:bottom w:val="nil"/>
              <w:right w:val="nil"/>
            </w:tcBorders>
            <w:noWrap w:val="0"/>
            <w:vAlign w:val="center"/>
          </w:tcPr>
          <w:p>
            <w:pPr>
              <w:spacing w:line="300" w:lineRule="auto"/>
              <w:jc w:val="center"/>
              <w:rPr>
                <w:szCs w:val="21"/>
              </w:rPr>
            </w:pPr>
            <w:r>
              <w:rPr>
                <w:rFonts w:hint="eastAsia"/>
                <w:szCs w:val="21"/>
              </w:rPr>
              <w:t>300</w:t>
            </w:r>
          </w:p>
        </w:tc>
        <w:tc>
          <w:tcPr>
            <w:tcW w:w="1626" w:type="dxa"/>
            <w:tcBorders>
              <w:top w:val="nil"/>
              <w:left w:val="nil"/>
              <w:bottom w:val="nil"/>
              <w:right w:val="nil"/>
            </w:tcBorders>
            <w:noWrap w:val="0"/>
            <w:vAlign w:val="center"/>
          </w:tcPr>
          <w:p>
            <w:pPr>
              <w:spacing w:line="300" w:lineRule="auto"/>
              <w:jc w:val="center"/>
              <w:rPr>
                <w:szCs w:val="21"/>
              </w:rPr>
            </w:pPr>
            <w:r>
              <w:rPr>
                <w:rFonts w:hint="eastAsia"/>
                <w:szCs w:val="21"/>
              </w:rPr>
              <w:t>4.95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75" w:hRule="atLeast"/>
          <w:jc w:val="center"/>
        </w:trPr>
        <w:tc>
          <w:tcPr>
            <w:tcW w:w="1059" w:type="dxa"/>
            <w:vMerge w:val="continue"/>
            <w:tcBorders>
              <w:right w:val="nil"/>
            </w:tcBorders>
            <w:noWrap w:val="0"/>
            <w:vAlign w:val="center"/>
          </w:tcPr>
          <w:p>
            <w:pPr>
              <w:spacing w:line="300" w:lineRule="auto"/>
              <w:jc w:val="center"/>
              <w:rPr>
                <w:szCs w:val="21"/>
              </w:rPr>
            </w:pPr>
          </w:p>
        </w:tc>
        <w:tc>
          <w:tcPr>
            <w:tcW w:w="750" w:type="dxa"/>
            <w:tcBorders>
              <w:top w:val="nil"/>
              <w:left w:val="nil"/>
              <w:right w:val="nil"/>
            </w:tcBorders>
            <w:noWrap w:val="0"/>
            <w:vAlign w:val="center"/>
          </w:tcPr>
          <w:p>
            <w:pPr>
              <w:spacing w:line="300" w:lineRule="auto"/>
              <w:jc w:val="center"/>
              <w:rPr>
                <w:szCs w:val="21"/>
              </w:rPr>
            </w:pPr>
            <w:r>
              <w:rPr>
                <w:rFonts w:hint="eastAsia"/>
                <w:szCs w:val="21"/>
              </w:rPr>
              <w:t>4</w:t>
            </w:r>
          </w:p>
        </w:tc>
        <w:tc>
          <w:tcPr>
            <w:tcW w:w="1938" w:type="dxa"/>
            <w:tcBorders>
              <w:top w:val="nil"/>
              <w:left w:val="nil"/>
              <w:right w:val="nil"/>
            </w:tcBorders>
            <w:noWrap w:val="0"/>
            <w:vAlign w:val="center"/>
          </w:tcPr>
          <w:p>
            <w:pPr>
              <w:spacing w:line="300" w:lineRule="auto"/>
              <w:jc w:val="center"/>
              <w:rPr>
                <w:szCs w:val="21"/>
              </w:rPr>
            </w:pPr>
            <w:r>
              <w:rPr>
                <w:rFonts w:hint="eastAsia"/>
                <w:szCs w:val="21"/>
              </w:rPr>
              <w:t>细粉 &amp; 800</w:t>
            </w:r>
          </w:p>
        </w:tc>
        <w:tc>
          <w:tcPr>
            <w:tcW w:w="1228" w:type="dxa"/>
            <w:tcBorders>
              <w:top w:val="nil"/>
              <w:left w:val="nil"/>
              <w:right w:val="nil"/>
            </w:tcBorders>
            <w:noWrap w:val="0"/>
            <w:vAlign w:val="center"/>
          </w:tcPr>
          <w:p>
            <w:pPr>
              <w:spacing w:line="300" w:lineRule="auto"/>
              <w:jc w:val="center"/>
              <w:rPr>
                <w:szCs w:val="21"/>
              </w:rPr>
            </w:pPr>
            <w:r>
              <w:rPr>
                <w:rFonts w:hint="eastAsia"/>
                <w:szCs w:val="21"/>
              </w:rPr>
              <w:t>120</w:t>
            </w:r>
          </w:p>
        </w:tc>
        <w:tc>
          <w:tcPr>
            <w:tcW w:w="1626" w:type="dxa"/>
            <w:tcBorders>
              <w:top w:val="nil"/>
              <w:left w:val="nil"/>
              <w:right w:val="nil"/>
            </w:tcBorders>
            <w:noWrap w:val="0"/>
            <w:vAlign w:val="center"/>
          </w:tcPr>
          <w:p>
            <w:pPr>
              <w:spacing w:line="300" w:lineRule="auto"/>
              <w:jc w:val="center"/>
              <w:rPr>
                <w:rFonts w:cs="宋体"/>
                <w:szCs w:val="21"/>
              </w:rPr>
            </w:pPr>
            <w:r>
              <w:rPr>
                <w:rFonts w:hint="eastAsia"/>
                <w:szCs w:val="21"/>
              </w:rPr>
              <w:t>5.08</w:t>
            </w:r>
          </w:p>
        </w:tc>
      </w:tr>
    </w:tbl>
    <w:p>
      <w:pPr>
        <w:spacing w:line="300" w:lineRule="auto"/>
        <w:ind w:firstLine="480" w:firstLineChars="200"/>
        <w:rPr>
          <w:sz w:val="24"/>
        </w:rPr>
      </w:pPr>
    </w:p>
    <w:p>
      <w:pPr>
        <w:spacing w:line="300" w:lineRule="auto"/>
        <w:ind w:firstLine="480" w:firstLineChars="200"/>
        <w:rPr>
          <w:sz w:val="24"/>
        </w:rPr>
      </w:pPr>
      <w:r>
        <w:rPr>
          <w:rFonts w:hint="eastAsia"/>
          <w:sz w:val="24"/>
        </w:rPr>
        <w:t>表格的分栏情况示例如表2.2所示。</w:t>
      </w:r>
    </w:p>
    <w:p>
      <w:pPr>
        <w:spacing w:line="300" w:lineRule="auto"/>
        <w:ind w:firstLine="480" w:firstLineChars="200"/>
        <w:rPr>
          <w:sz w:val="24"/>
        </w:rPr>
      </w:pPr>
    </w:p>
    <w:p>
      <w:pPr>
        <w:spacing w:line="300" w:lineRule="auto"/>
        <w:jc w:val="center"/>
        <w:rPr>
          <w:b/>
        </w:rPr>
      </w:pPr>
      <w:r>
        <w:rPr>
          <w:rFonts w:hint="eastAsia"/>
          <w:b/>
        </w:rPr>
        <w:t>表2.2 分栏情况示例</w:t>
      </w:r>
    </w:p>
    <w:tbl>
      <w:tblPr>
        <w:tblStyle w:val="4"/>
        <w:tblW w:w="660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892"/>
        <w:gridCol w:w="13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jc w:val="center"/>
        </w:trPr>
        <w:tc>
          <w:tcPr>
            <w:tcW w:w="1951" w:type="dxa"/>
            <w:tcBorders>
              <w:bottom w:val="single" w:color="auto" w:sz="4" w:space="0"/>
              <w:right w:val="nil"/>
            </w:tcBorders>
            <w:noWrap w:val="0"/>
            <w:vAlign w:val="center"/>
          </w:tcPr>
          <w:p>
            <w:pPr>
              <w:spacing w:line="300" w:lineRule="auto"/>
              <w:jc w:val="center"/>
              <w:rPr>
                <w:szCs w:val="21"/>
              </w:rPr>
            </w:pPr>
            <w:r>
              <w:rPr>
                <w:rFonts w:hint="eastAsia"/>
                <w:szCs w:val="21"/>
              </w:rPr>
              <w:t>基体</w:t>
            </w:r>
          </w:p>
        </w:tc>
        <w:tc>
          <w:tcPr>
            <w:tcW w:w="1418" w:type="dxa"/>
            <w:tcBorders>
              <w:left w:val="nil"/>
              <w:bottom w:val="single" w:color="auto" w:sz="4" w:space="0"/>
              <w:right w:val="nil"/>
            </w:tcBorders>
            <w:noWrap w:val="0"/>
            <w:vAlign w:val="center"/>
          </w:tcPr>
          <w:p>
            <w:pPr>
              <w:spacing w:line="300" w:lineRule="auto"/>
              <w:jc w:val="center"/>
              <w:rPr>
                <w:szCs w:val="21"/>
              </w:rPr>
            </w:pPr>
            <w:r>
              <w:rPr>
                <w:rFonts w:hint="eastAsia"/>
                <w:szCs w:val="21"/>
              </w:rPr>
              <w:t>粉末类型</w:t>
            </w:r>
          </w:p>
        </w:tc>
        <w:tc>
          <w:tcPr>
            <w:tcW w:w="1892" w:type="dxa"/>
            <w:tcBorders>
              <w:left w:val="nil"/>
              <w:bottom w:val="single" w:color="auto" w:sz="4" w:space="0"/>
              <w:right w:val="nil"/>
            </w:tcBorders>
            <w:noWrap w:val="0"/>
            <w:vAlign w:val="center"/>
          </w:tcPr>
          <w:p>
            <w:pPr>
              <w:spacing w:line="300" w:lineRule="auto"/>
              <w:jc w:val="center"/>
              <w:rPr>
                <w:szCs w:val="21"/>
              </w:rPr>
            </w:pPr>
            <w:r>
              <w:rPr>
                <w:rFonts w:hint="eastAsia"/>
                <w:szCs w:val="21"/>
              </w:rPr>
              <w:t>预热温度（℃）</w:t>
            </w:r>
          </w:p>
        </w:tc>
        <w:tc>
          <w:tcPr>
            <w:tcW w:w="1340" w:type="dxa"/>
            <w:tcBorders>
              <w:left w:val="nil"/>
              <w:bottom w:val="single" w:color="auto" w:sz="4" w:space="0"/>
            </w:tcBorders>
            <w:noWrap w:val="0"/>
            <w:vAlign w:val="center"/>
          </w:tcPr>
          <w:p>
            <w:pPr>
              <w:spacing w:line="300" w:lineRule="auto"/>
              <w:jc w:val="center"/>
              <w:rPr>
                <w:szCs w:val="21"/>
              </w:rPr>
            </w:pPr>
            <w:r>
              <w:rPr>
                <w:rFonts w:hint="eastAsia"/>
                <w:szCs w:val="21"/>
              </w:rPr>
              <w:t>平均值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jc w:val="center"/>
        </w:trPr>
        <w:tc>
          <w:tcPr>
            <w:tcW w:w="1951" w:type="dxa"/>
            <w:vMerge w:val="restart"/>
            <w:tcBorders>
              <w:bottom w:val="single" w:color="auto" w:sz="4" w:space="0"/>
              <w:right w:val="nil"/>
            </w:tcBorders>
            <w:noWrap w:val="0"/>
            <w:vAlign w:val="center"/>
          </w:tcPr>
          <w:p>
            <w:pPr>
              <w:spacing w:line="300" w:lineRule="auto"/>
              <w:jc w:val="center"/>
              <w:rPr>
                <w:szCs w:val="21"/>
              </w:rPr>
            </w:pPr>
            <w:r>
              <w:rPr>
                <w:rFonts w:hint="eastAsia"/>
                <w:szCs w:val="21"/>
              </w:rPr>
              <w:t>SUS304不锈钢</w:t>
            </w:r>
          </w:p>
        </w:tc>
        <w:tc>
          <w:tcPr>
            <w:tcW w:w="1418" w:type="dxa"/>
            <w:vMerge w:val="restart"/>
            <w:tcBorders>
              <w:left w:val="nil"/>
              <w:bottom w:val="single" w:color="auto" w:sz="4" w:space="0"/>
              <w:right w:val="nil"/>
            </w:tcBorders>
            <w:noWrap w:val="0"/>
            <w:vAlign w:val="center"/>
          </w:tcPr>
          <w:p>
            <w:pPr>
              <w:spacing w:line="300" w:lineRule="auto"/>
              <w:jc w:val="center"/>
              <w:rPr>
                <w:szCs w:val="21"/>
              </w:rPr>
            </w:pPr>
            <w:r>
              <w:rPr>
                <w:rFonts w:hint="eastAsia"/>
                <w:szCs w:val="21"/>
              </w:rPr>
              <w:t>粗粉</w:t>
            </w:r>
          </w:p>
        </w:tc>
        <w:tc>
          <w:tcPr>
            <w:tcW w:w="1892" w:type="dxa"/>
            <w:tcBorders>
              <w:left w:val="nil"/>
              <w:bottom w:val="nil"/>
              <w:right w:val="nil"/>
            </w:tcBorders>
            <w:noWrap w:val="0"/>
            <w:vAlign w:val="center"/>
          </w:tcPr>
          <w:p>
            <w:pPr>
              <w:spacing w:line="300" w:lineRule="auto"/>
              <w:jc w:val="center"/>
              <w:rPr>
                <w:szCs w:val="21"/>
              </w:rPr>
            </w:pPr>
            <w:r>
              <w:rPr>
                <w:rFonts w:hint="eastAsia"/>
                <w:szCs w:val="21"/>
              </w:rPr>
              <w:t>600</w:t>
            </w:r>
          </w:p>
        </w:tc>
        <w:tc>
          <w:tcPr>
            <w:tcW w:w="1340" w:type="dxa"/>
            <w:tcBorders>
              <w:left w:val="nil"/>
              <w:bottom w:val="nil"/>
            </w:tcBorders>
            <w:noWrap w:val="0"/>
            <w:vAlign w:val="center"/>
          </w:tcPr>
          <w:p>
            <w:pPr>
              <w:spacing w:line="300" w:lineRule="auto"/>
              <w:jc w:val="center"/>
              <w:rPr>
                <w:szCs w:val="21"/>
              </w:rPr>
            </w:pPr>
            <w:r>
              <w:rPr>
                <w:szCs w:val="21"/>
              </w:rPr>
              <w:t>44.28%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nil"/>
              <w:right w:val="nil"/>
            </w:tcBorders>
            <w:noWrap w:val="0"/>
            <w:vAlign w:val="center"/>
          </w:tcPr>
          <w:p>
            <w:pPr>
              <w:spacing w:line="300" w:lineRule="auto"/>
              <w:jc w:val="center"/>
              <w:rPr>
                <w:szCs w:val="21"/>
              </w:rPr>
            </w:pPr>
            <w:r>
              <w:rPr>
                <w:rFonts w:hint="eastAsia"/>
                <w:szCs w:val="21"/>
              </w:rPr>
              <w:t>800</w:t>
            </w:r>
          </w:p>
        </w:tc>
        <w:tc>
          <w:tcPr>
            <w:tcW w:w="1340" w:type="dxa"/>
            <w:tcBorders>
              <w:top w:val="nil"/>
              <w:left w:val="nil"/>
              <w:bottom w:val="nil"/>
            </w:tcBorders>
            <w:noWrap w:val="0"/>
            <w:vAlign w:val="center"/>
          </w:tcPr>
          <w:p>
            <w:pPr>
              <w:spacing w:line="300" w:lineRule="auto"/>
              <w:jc w:val="center"/>
              <w:rPr>
                <w:szCs w:val="21"/>
              </w:rPr>
            </w:pPr>
            <w:r>
              <w:rPr>
                <w:szCs w:val="21"/>
              </w:rPr>
              <w:t>42.37%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single" w:color="auto" w:sz="4" w:space="0"/>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bottom w:val="single" w:color="auto" w:sz="4" w:space="0"/>
            </w:tcBorders>
            <w:noWrap w:val="0"/>
            <w:vAlign w:val="center"/>
          </w:tcPr>
          <w:p>
            <w:pPr>
              <w:spacing w:line="300" w:lineRule="auto"/>
              <w:jc w:val="center"/>
              <w:rPr>
                <w:szCs w:val="21"/>
              </w:rPr>
            </w:pPr>
            <w:r>
              <w:rPr>
                <w:szCs w:val="21"/>
              </w:rPr>
              <w:t>39.74%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72"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restart"/>
            <w:tcBorders>
              <w:top w:val="single" w:color="auto" w:sz="4" w:space="0"/>
              <w:left w:val="nil"/>
              <w:bottom w:val="single" w:color="auto" w:sz="4" w:space="0"/>
              <w:right w:val="nil"/>
            </w:tcBorders>
            <w:noWrap w:val="0"/>
            <w:vAlign w:val="center"/>
          </w:tcPr>
          <w:p>
            <w:pPr>
              <w:spacing w:line="300" w:lineRule="auto"/>
              <w:jc w:val="center"/>
              <w:rPr>
                <w:szCs w:val="21"/>
              </w:rPr>
            </w:pPr>
            <w:r>
              <w:rPr>
                <w:rFonts w:hint="eastAsia"/>
                <w:szCs w:val="21"/>
              </w:rPr>
              <w:t>细粉</w:t>
            </w:r>
          </w:p>
        </w:tc>
        <w:tc>
          <w:tcPr>
            <w:tcW w:w="1892"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600</w:t>
            </w:r>
          </w:p>
        </w:tc>
        <w:tc>
          <w:tcPr>
            <w:tcW w:w="1340" w:type="dxa"/>
            <w:tcBorders>
              <w:top w:val="single" w:color="auto" w:sz="4" w:space="0"/>
              <w:left w:val="nil"/>
              <w:bottom w:val="nil"/>
            </w:tcBorders>
            <w:noWrap w:val="0"/>
            <w:vAlign w:val="center"/>
          </w:tcPr>
          <w:p>
            <w:pPr>
              <w:spacing w:line="300" w:lineRule="auto"/>
              <w:jc w:val="center"/>
              <w:rPr>
                <w:szCs w:val="21"/>
              </w:rPr>
            </w:pPr>
            <w:r>
              <w:rPr>
                <w:szCs w:val="21"/>
              </w:rPr>
              <w:t>27.95%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nil"/>
              <w:right w:val="nil"/>
            </w:tcBorders>
            <w:noWrap w:val="0"/>
            <w:vAlign w:val="center"/>
          </w:tcPr>
          <w:p>
            <w:pPr>
              <w:spacing w:line="300" w:lineRule="auto"/>
              <w:jc w:val="center"/>
              <w:rPr>
                <w:szCs w:val="21"/>
              </w:rPr>
            </w:pPr>
            <w:r>
              <w:rPr>
                <w:rFonts w:hint="eastAsia"/>
                <w:szCs w:val="21"/>
              </w:rPr>
              <w:t>800</w:t>
            </w:r>
          </w:p>
        </w:tc>
        <w:tc>
          <w:tcPr>
            <w:tcW w:w="1340" w:type="dxa"/>
            <w:tcBorders>
              <w:top w:val="nil"/>
              <w:left w:val="nil"/>
              <w:bottom w:val="nil"/>
            </w:tcBorders>
            <w:noWrap w:val="0"/>
            <w:vAlign w:val="center"/>
          </w:tcPr>
          <w:p>
            <w:pPr>
              <w:spacing w:line="300" w:lineRule="auto"/>
              <w:jc w:val="center"/>
              <w:rPr>
                <w:szCs w:val="21"/>
              </w:rPr>
            </w:pPr>
            <w:r>
              <w:rPr>
                <w:szCs w:val="21"/>
              </w:rPr>
              <w:t>25.41%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jc w:val="center"/>
        </w:trPr>
        <w:tc>
          <w:tcPr>
            <w:tcW w:w="1951" w:type="dxa"/>
            <w:vMerge w:val="continue"/>
            <w:tcBorders>
              <w:top w:val="single" w:color="auto" w:sz="4" w:space="0"/>
              <w:bottom w:val="single" w:color="auto" w:sz="4" w:space="0"/>
              <w:right w:val="nil"/>
            </w:tcBorders>
            <w:noWrap w:val="0"/>
            <w:vAlign w:val="center"/>
          </w:tcPr>
          <w:p>
            <w:pPr>
              <w:spacing w:line="300" w:lineRule="auto"/>
              <w:jc w:val="center"/>
              <w:rPr>
                <w:szCs w:val="21"/>
              </w:rPr>
            </w:pPr>
          </w:p>
        </w:tc>
        <w:tc>
          <w:tcPr>
            <w:tcW w:w="1418" w:type="dxa"/>
            <w:vMerge w:val="continue"/>
            <w:tcBorders>
              <w:top w:val="single" w:color="auto" w:sz="4" w:space="0"/>
              <w:left w:val="nil"/>
              <w:bottom w:val="single" w:color="auto" w:sz="4" w:space="0"/>
              <w:right w:val="nil"/>
            </w:tcBorders>
            <w:noWrap w:val="0"/>
            <w:vAlign w:val="center"/>
          </w:tcPr>
          <w:p>
            <w:pPr>
              <w:spacing w:line="300" w:lineRule="auto"/>
              <w:jc w:val="center"/>
              <w:rPr>
                <w:szCs w:val="21"/>
              </w:rPr>
            </w:pPr>
          </w:p>
        </w:tc>
        <w:tc>
          <w:tcPr>
            <w:tcW w:w="1892" w:type="dxa"/>
            <w:tcBorders>
              <w:top w:val="nil"/>
              <w:left w:val="nil"/>
              <w:bottom w:val="single" w:color="auto" w:sz="4" w:space="0"/>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bottom w:val="single" w:color="auto" w:sz="4" w:space="0"/>
            </w:tcBorders>
            <w:noWrap w:val="0"/>
            <w:vAlign w:val="center"/>
          </w:tcPr>
          <w:p>
            <w:pPr>
              <w:spacing w:line="300" w:lineRule="auto"/>
              <w:jc w:val="center"/>
              <w:rPr>
                <w:szCs w:val="21"/>
              </w:rPr>
            </w:pPr>
            <w:r>
              <w:rPr>
                <w:szCs w:val="21"/>
              </w:rPr>
              <w:t>24.77%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1951" w:type="dxa"/>
            <w:vMerge w:val="restart"/>
            <w:tcBorders>
              <w:top w:val="single" w:color="auto" w:sz="4" w:space="0"/>
              <w:bottom w:val="nil"/>
              <w:right w:val="nil"/>
            </w:tcBorders>
            <w:noWrap w:val="0"/>
            <w:vAlign w:val="center"/>
          </w:tcPr>
          <w:p>
            <w:pPr>
              <w:spacing w:line="300" w:lineRule="auto"/>
              <w:jc w:val="center"/>
              <w:rPr>
                <w:szCs w:val="21"/>
              </w:rPr>
            </w:pPr>
            <w:r>
              <w:rPr>
                <w:rFonts w:hint="eastAsia"/>
                <w:szCs w:val="21"/>
              </w:rPr>
              <w:t>碳钢</w:t>
            </w:r>
          </w:p>
        </w:tc>
        <w:tc>
          <w:tcPr>
            <w:tcW w:w="1418"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粗粉</w:t>
            </w:r>
          </w:p>
        </w:tc>
        <w:tc>
          <w:tcPr>
            <w:tcW w:w="1892" w:type="dxa"/>
            <w:tcBorders>
              <w:top w:val="single" w:color="auto" w:sz="4" w:space="0"/>
              <w:left w:val="nil"/>
              <w:bottom w:val="nil"/>
              <w:right w:val="nil"/>
            </w:tcBorders>
            <w:noWrap w:val="0"/>
            <w:vAlign w:val="center"/>
          </w:tcPr>
          <w:p>
            <w:pPr>
              <w:spacing w:line="300" w:lineRule="auto"/>
              <w:jc w:val="center"/>
              <w:rPr>
                <w:szCs w:val="21"/>
              </w:rPr>
            </w:pPr>
            <w:r>
              <w:rPr>
                <w:rFonts w:hint="eastAsia"/>
                <w:szCs w:val="21"/>
              </w:rPr>
              <w:t>1000</w:t>
            </w:r>
          </w:p>
        </w:tc>
        <w:tc>
          <w:tcPr>
            <w:tcW w:w="1340" w:type="dxa"/>
            <w:tcBorders>
              <w:top w:val="single" w:color="auto" w:sz="4" w:space="0"/>
              <w:left w:val="nil"/>
              <w:bottom w:val="nil"/>
            </w:tcBorders>
            <w:noWrap w:val="0"/>
            <w:vAlign w:val="center"/>
          </w:tcPr>
          <w:p>
            <w:pPr>
              <w:spacing w:line="300" w:lineRule="auto"/>
              <w:jc w:val="center"/>
              <w:rPr>
                <w:szCs w:val="21"/>
              </w:rPr>
            </w:pPr>
            <w:r>
              <w:rPr>
                <w:szCs w:val="21"/>
              </w:rPr>
              <w:t>35.65%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 w:hRule="atLeast"/>
          <w:jc w:val="center"/>
        </w:trPr>
        <w:tc>
          <w:tcPr>
            <w:tcW w:w="1951" w:type="dxa"/>
            <w:vMerge w:val="continue"/>
            <w:tcBorders>
              <w:top w:val="nil"/>
              <w:right w:val="nil"/>
            </w:tcBorders>
            <w:noWrap w:val="0"/>
            <w:vAlign w:val="center"/>
          </w:tcPr>
          <w:p>
            <w:pPr>
              <w:spacing w:line="300" w:lineRule="auto"/>
              <w:jc w:val="center"/>
              <w:rPr>
                <w:szCs w:val="21"/>
              </w:rPr>
            </w:pPr>
          </w:p>
        </w:tc>
        <w:tc>
          <w:tcPr>
            <w:tcW w:w="1418" w:type="dxa"/>
            <w:tcBorders>
              <w:top w:val="nil"/>
              <w:left w:val="nil"/>
              <w:right w:val="nil"/>
            </w:tcBorders>
            <w:noWrap w:val="0"/>
            <w:vAlign w:val="center"/>
          </w:tcPr>
          <w:p>
            <w:pPr>
              <w:spacing w:line="300" w:lineRule="auto"/>
              <w:jc w:val="center"/>
              <w:rPr>
                <w:szCs w:val="21"/>
              </w:rPr>
            </w:pPr>
            <w:r>
              <w:rPr>
                <w:rFonts w:hint="eastAsia"/>
                <w:szCs w:val="21"/>
              </w:rPr>
              <w:t>细粉</w:t>
            </w:r>
          </w:p>
        </w:tc>
        <w:tc>
          <w:tcPr>
            <w:tcW w:w="1892" w:type="dxa"/>
            <w:tcBorders>
              <w:top w:val="nil"/>
              <w:left w:val="nil"/>
              <w:right w:val="nil"/>
            </w:tcBorders>
            <w:noWrap w:val="0"/>
            <w:vAlign w:val="center"/>
          </w:tcPr>
          <w:p>
            <w:pPr>
              <w:spacing w:line="300" w:lineRule="auto"/>
              <w:jc w:val="center"/>
              <w:rPr>
                <w:szCs w:val="21"/>
              </w:rPr>
            </w:pPr>
            <w:r>
              <w:rPr>
                <w:rFonts w:hint="eastAsia"/>
                <w:szCs w:val="21"/>
              </w:rPr>
              <w:t>1000</w:t>
            </w:r>
          </w:p>
        </w:tc>
        <w:tc>
          <w:tcPr>
            <w:tcW w:w="1340" w:type="dxa"/>
            <w:tcBorders>
              <w:top w:val="nil"/>
              <w:left w:val="nil"/>
            </w:tcBorders>
            <w:noWrap w:val="0"/>
            <w:vAlign w:val="center"/>
          </w:tcPr>
          <w:p>
            <w:pPr>
              <w:spacing w:line="300" w:lineRule="auto"/>
              <w:jc w:val="center"/>
              <w:rPr>
                <w:szCs w:val="21"/>
              </w:rPr>
            </w:pPr>
            <w:r>
              <w:rPr>
                <w:szCs w:val="21"/>
              </w:rPr>
              <w:t>22.95%</w:t>
            </w:r>
          </w:p>
        </w:tc>
      </w:tr>
    </w:tbl>
    <w:p>
      <w:pPr>
        <w:spacing w:line="300" w:lineRule="auto"/>
        <w:ind w:firstLine="420" w:firstLineChars="200"/>
      </w:pPr>
    </w:p>
    <w:p>
      <w:pPr>
        <w:spacing w:line="300" w:lineRule="auto"/>
        <w:ind w:firstLine="480" w:firstLineChars="200"/>
        <w:rPr>
          <w:sz w:val="24"/>
        </w:rPr>
      </w:pPr>
      <w:r>
        <w:rPr>
          <w:rFonts w:hint="eastAsia"/>
          <w:sz w:val="24"/>
        </w:rPr>
        <w:t>表的通栏情况和全表统一单位的情况如表2.3所示。</w:t>
      </w:r>
    </w:p>
    <w:p>
      <w:pPr>
        <w:spacing w:line="300" w:lineRule="auto"/>
        <w:jc w:val="center"/>
        <w:rPr>
          <w:b/>
        </w:rPr>
      </w:pPr>
      <w:r>
        <w:rPr>
          <w:rFonts w:hint="eastAsia"/>
          <w:b/>
        </w:rPr>
        <w:t>表2.3</w:t>
      </w:r>
      <w:r>
        <w:rPr>
          <w:b/>
        </w:rPr>
        <w:t xml:space="preserve"> </w:t>
      </w:r>
      <w:r>
        <w:rPr>
          <w:rFonts w:hint="eastAsia"/>
          <w:b/>
        </w:rPr>
        <w:t>插入表格的通栏示例（单位：台）</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2"/>
        <w:gridCol w:w="1650"/>
        <w:gridCol w:w="1650"/>
        <w:gridCol w:w="164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bottom w:val="single" w:color="auto" w:sz="4" w:space="0"/>
              <w:tl2br w:val="single" w:color="auto" w:sz="4" w:space="0"/>
            </w:tcBorders>
            <w:noWrap w:val="0"/>
            <w:vAlign w:val="center"/>
          </w:tcPr>
          <w:p>
            <w:pPr>
              <w:spacing w:line="300" w:lineRule="auto"/>
              <w:ind w:firstLine="420" w:firstLineChars="200"/>
              <w:rPr>
                <w:szCs w:val="21"/>
              </w:rPr>
            </w:pPr>
            <w:r>
              <w:rPr>
                <w:rFonts w:hint="eastAsia"/>
                <w:szCs w:val="21"/>
              </w:rPr>
              <w:t>名称</w:t>
            </w:r>
          </w:p>
          <w:p>
            <w:pPr>
              <w:spacing w:line="300" w:lineRule="auto"/>
              <w:ind w:firstLine="420" w:firstLineChars="200"/>
              <w:rPr>
                <w:szCs w:val="21"/>
              </w:rPr>
            </w:pPr>
            <w:r>
              <w:rPr>
                <w:rFonts w:hint="eastAsia"/>
                <w:szCs w:val="21"/>
              </w:rPr>
              <w:t>时间</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电风扇</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冰箱</w:t>
            </w:r>
          </w:p>
        </w:tc>
        <w:tc>
          <w:tcPr>
            <w:tcW w:w="1649"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洗衣机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tcBorders>
            <w:noWrap w:val="0"/>
            <w:vAlign w:val="center"/>
          </w:tcPr>
          <w:p>
            <w:pPr>
              <w:spacing w:line="300" w:lineRule="auto"/>
              <w:ind w:firstLine="420" w:firstLineChars="200"/>
              <w:rPr>
                <w:szCs w:val="21"/>
              </w:rPr>
            </w:pPr>
            <w:r>
              <w:rPr>
                <w:rFonts w:hint="eastAsia"/>
                <w:szCs w:val="21"/>
              </w:rPr>
              <w:t>10月</w:t>
            </w:r>
          </w:p>
        </w:tc>
        <w:tc>
          <w:tcPr>
            <w:tcW w:w="1650" w:type="dxa"/>
            <w:tcBorders>
              <w:top w:val="single" w:color="auto" w:sz="4" w:space="0"/>
            </w:tcBorders>
            <w:noWrap w:val="0"/>
            <w:vAlign w:val="center"/>
          </w:tcPr>
          <w:p>
            <w:pPr>
              <w:spacing w:line="300" w:lineRule="auto"/>
              <w:ind w:firstLine="420" w:firstLineChars="200"/>
              <w:rPr>
                <w:szCs w:val="21"/>
              </w:rPr>
            </w:pPr>
            <w:r>
              <w:rPr>
                <w:rFonts w:hint="eastAsia"/>
                <w:szCs w:val="21"/>
              </w:rPr>
              <w:t>100</w:t>
            </w:r>
          </w:p>
        </w:tc>
        <w:tc>
          <w:tcPr>
            <w:tcW w:w="1650" w:type="dxa"/>
            <w:tcBorders>
              <w:top w:val="single" w:color="auto" w:sz="4" w:space="0"/>
            </w:tcBorders>
            <w:noWrap w:val="0"/>
            <w:vAlign w:val="center"/>
          </w:tcPr>
          <w:p>
            <w:pPr>
              <w:spacing w:line="300" w:lineRule="auto"/>
              <w:ind w:firstLine="420" w:firstLineChars="200"/>
              <w:rPr>
                <w:szCs w:val="21"/>
              </w:rPr>
            </w:pPr>
            <w:r>
              <w:rPr>
                <w:rFonts w:hint="eastAsia"/>
                <w:szCs w:val="21"/>
              </w:rPr>
              <w:t>200</w:t>
            </w:r>
          </w:p>
        </w:tc>
        <w:tc>
          <w:tcPr>
            <w:tcW w:w="1649" w:type="dxa"/>
            <w:tcBorders>
              <w:top w:val="single" w:color="auto" w:sz="4" w:space="0"/>
            </w:tcBorders>
            <w:noWrap w:val="0"/>
            <w:vAlign w:val="center"/>
          </w:tcPr>
          <w:p>
            <w:pPr>
              <w:spacing w:line="300" w:lineRule="auto"/>
              <w:ind w:firstLine="420" w:firstLineChars="200"/>
              <w:rPr>
                <w:szCs w:val="21"/>
              </w:rPr>
            </w:pPr>
            <w:r>
              <w:rPr>
                <w:rFonts w:hint="eastAsia"/>
                <w:szCs w:val="21"/>
              </w:rPr>
              <w:t>300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bottom w:val="nil"/>
            </w:tcBorders>
            <w:noWrap w:val="0"/>
            <w:vAlign w:val="center"/>
          </w:tcPr>
          <w:p>
            <w:pPr>
              <w:spacing w:line="300" w:lineRule="auto"/>
              <w:ind w:firstLine="420" w:firstLineChars="200"/>
              <w:rPr>
                <w:szCs w:val="21"/>
              </w:rPr>
            </w:pPr>
            <w:r>
              <w:rPr>
                <w:rFonts w:hint="eastAsia"/>
                <w:szCs w:val="21"/>
              </w:rPr>
              <w:t>11月</w:t>
            </w:r>
          </w:p>
        </w:tc>
        <w:tc>
          <w:tcPr>
            <w:tcW w:w="4949" w:type="dxa"/>
            <w:gridSpan w:val="3"/>
            <w:tcBorders>
              <w:bottom w:val="nil"/>
            </w:tcBorders>
            <w:noWrap w:val="0"/>
            <w:vAlign w:val="center"/>
          </w:tcPr>
          <w:p>
            <w:pPr>
              <w:spacing w:line="300" w:lineRule="auto"/>
              <w:ind w:firstLine="420" w:firstLineChars="200"/>
              <w:rPr>
                <w:szCs w:val="21"/>
              </w:rPr>
            </w:pPr>
            <w:r>
              <w:rPr>
                <w:rFonts w:hint="eastAsia"/>
                <w:szCs w:val="21"/>
              </w:rPr>
              <w:t>200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1652"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12月</w:t>
            </w:r>
          </w:p>
        </w:tc>
        <w:tc>
          <w:tcPr>
            <w:tcW w:w="1650"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200</w:t>
            </w:r>
          </w:p>
        </w:tc>
        <w:tc>
          <w:tcPr>
            <w:tcW w:w="1650"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100</w:t>
            </w:r>
          </w:p>
        </w:tc>
        <w:tc>
          <w:tcPr>
            <w:tcW w:w="1649" w:type="dxa"/>
            <w:tcBorders>
              <w:top w:val="nil"/>
              <w:bottom w:val="single" w:color="auto" w:sz="4" w:space="0"/>
            </w:tcBorders>
            <w:noWrap w:val="0"/>
            <w:vAlign w:val="center"/>
          </w:tcPr>
          <w:p>
            <w:pPr>
              <w:spacing w:line="300" w:lineRule="auto"/>
              <w:ind w:firstLine="420" w:firstLineChars="200"/>
              <w:rPr>
                <w:szCs w:val="21"/>
              </w:rPr>
            </w:pPr>
            <w:r>
              <w:rPr>
                <w:rFonts w:hint="eastAsia"/>
                <w:szCs w:val="21"/>
              </w:rPr>
              <w:t>400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52"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合计</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500</w:t>
            </w:r>
          </w:p>
        </w:tc>
        <w:tc>
          <w:tcPr>
            <w:tcW w:w="1650"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500</w:t>
            </w:r>
          </w:p>
        </w:tc>
        <w:tc>
          <w:tcPr>
            <w:tcW w:w="1649" w:type="dxa"/>
            <w:tcBorders>
              <w:top w:val="single" w:color="auto" w:sz="4" w:space="0"/>
              <w:bottom w:val="single" w:color="auto" w:sz="4" w:space="0"/>
            </w:tcBorders>
            <w:noWrap w:val="0"/>
            <w:vAlign w:val="center"/>
          </w:tcPr>
          <w:p>
            <w:pPr>
              <w:spacing w:line="300" w:lineRule="auto"/>
              <w:ind w:firstLine="420" w:firstLineChars="200"/>
              <w:rPr>
                <w:szCs w:val="21"/>
              </w:rPr>
            </w:pPr>
            <w:r>
              <w:rPr>
                <w:rFonts w:hint="eastAsia"/>
                <w:szCs w:val="21"/>
              </w:rPr>
              <w:t>900</w:t>
            </w:r>
          </w:p>
        </w:tc>
      </w:tr>
    </w:tbl>
    <w:p>
      <w:pPr>
        <w:spacing w:line="300" w:lineRule="auto"/>
        <w:ind w:firstLine="480" w:firstLineChars="200"/>
        <w:rPr>
          <w:sz w:val="24"/>
        </w:rPr>
      </w:pPr>
    </w:p>
    <w:p>
      <w:pPr>
        <w:spacing w:line="300" w:lineRule="auto"/>
        <w:ind w:firstLine="480" w:firstLineChars="200"/>
        <w:rPr>
          <w:sz w:val="24"/>
        </w:rPr>
      </w:pPr>
      <w:r>
        <w:rPr>
          <w:rFonts w:hint="eastAsia"/>
          <w:sz w:val="24"/>
        </w:rPr>
        <w:t>若表格一页放不下，续表的情况如表2.4所示。</w:t>
      </w:r>
    </w:p>
    <w:p>
      <w:pPr>
        <w:spacing w:line="300" w:lineRule="auto"/>
        <w:ind w:firstLine="480" w:firstLineChars="200"/>
        <w:rPr>
          <w:sz w:val="24"/>
        </w:rPr>
      </w:pPr>
    </w:p>
    <w:p>
      <w:pPr>
        <w:spacing w:line="300" w:lineRule="auto"/>
        <w:jc w:val="center"/>
        <w:rPr>
          <w:b/>
        </w:rPr>
      </w:pPr>
      <w:r>
        <w:rPr>
          <w:rFonts w:hint="eastAsia"/>
          <w:b/>
        </w:rPr>
        <w:t>表2.4 CMS_VIDEO数据表</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4"/>
        <w:gridCol w:w="1156"/>
        <w:gridCol w:w="1856"/>
        <w:gridCol w:w="1054"/>
        <w:gridCol w:w="8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171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字段标识</w:t>
            </w:r>
          </w:p>
        </w:tc>
        <w:tc>
          <w:tcPr>
            <w:tcW w:w="11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字段含义</w:t>
            </w:r>
          </w:p>
        </w:tc>
        <w:tc>
          <w:tcPr>
            <w:tcW w:w="18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数据类型</w:t>
            </w:r>
          </w:p>
        </w:tc>
        <w:tc>
          <w:tcPr>
            <w:tcW w:w="105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是否主键</w:t>
            </w:r>
          </w:p>
        </w:tc>
        <w:tc>
          <w:tcPr>
            <w:tcW w:w="821"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171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ID</w:t>
            </w:r>
          </w:p>
        </w:tc>
        <w:tc>
          <w:tcPr>
            <w:tcW w:w="11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ID</w:t>
            </w:r>
          </w:p>
        </w:tc>
        <w:tc>
          <w:tcPr>
            <w:tcW w:w="18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INTEGER</w:t>
            </w:r>
          </w:p>
        </w:tc>
        <w:tc>
          <w:tcPr>
            <w:tcW w:w="105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是</w:t>
            </w:r>
          </w:p>
        </w:tc>
        <w:tc>
          <w:tcPr>
            <w:tcW w:w="821"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125" w:hRule="atLeast"/>
        </w:trPr>
        <w:tc>
          <w:tcPr>
            <w:tcW w:w="1714" w:type="dxa"/>
            <w:shd w:val="clear" w:color="auto" w:fill="auto"/>
            <w:noWrap w:val="0"/>
            <w:vAlign w:val="center"/>
          </w:tcPr>
          <w:p>
            <w:pPr>
              <w:spacing w:line="300" w:lineRule="auto"/>
              <w:jc w:val="center"/>
              <w:rPr>
                <w:szCs w:val="21"/>
              </w:rPr>
            </w:pPr>
            <w:r>
              <w:rPr>
                <w:rFonts w:hint="eastAsia"/>
                <w:szCs w:val="21"/>
              </w:rPr>
              <w:t>VIDEO_NAME</w:t>
            </w:r>
          </w:p>
        </w:tc>
        <w:tc>
          <w:tcPr>
            <w:tcW w:w="1156" w:type="dxa"/>
            <w:shd w:val="clear" w:color="auto" w:fill="auto"/>
            <w:noWrap w:val="0"/>
            <w:vAlign w:val="center"/>
          </w:tcPr>
          <w:p>
            <w:pPr>
              <w:spacing w:line="300" w:lineRule="auto"/>
              <w:jc w:val="center"/>
              <w:rPr>
                <w:szCs w:val="21"/>
              </w:rPr>
            </w:pPr>
            <w:r>
              <w:rPr>
                <w:rFonts w:hint="eastAsia"/>
                <w:szCs w:val="21"/>
              </w:rPr>
              <w:t>视频名称</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VIDEO_TYPE</w:t>
            </w:r>
          </w:p>
        </w:tc>
        <w:tc>
          <w:tcPr>
            <w:tcW w:w="1156" w:type="dxa"/>
            <w:shd w:val="clear" w:color="auto" w:fill="auto"/>
            <w:noWrap w:val="0"/>
            <w:vAlign w:val="center"/>
          </w:tcPr>
          <w:p>
            <w:pPr>
              <w:spacing w:line="300" w:lineRule="auto"/>
              <w:jc w:val="center"/>
              <w:rPr>
                <w:szCs w:val="21"/>
              </w:rPr>
            </w:pPr>
            <w:r>
              <w:rPr>
                <w:rFonts w:hint="eastAsia"/>
                <w:szCs w:val="21"/>
              </w:rPr>
              <w:t>视频类型</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VIDEO_PATH</w:t>
            </w:r>
          </w:p>
        </w:tc>
        <w:tc>
          <w:tcPr>
            <w:tcW w:w="1156" w:type="dxa"/>
            <w:shd w:val="clear" w:color="auto" w:fill="auto"/>
            <w:noWrap w:val="0"/>
            <w:vAlign w:val="center"/>
          </w:tcPr>
          <w:p>
            <w:pPr>
              <w:spacing w:line="300" w:lineRule="auto"/>
              <w:jc w:val="center"/>
              <w:rPr>
                <w:szCs w:val="21"/>
              </w:rPr>
            </w:pPr>
            <w:r>
              <w:rPr>
                <w:rFonts w:hint="eastAsia"/>
                <w:szCs w:val="21"/>
              </w:rPr>
              <w:t>视频路径</w:t>
            </w:r>
          </w:p>
        </w:tc>
        <w:tc>
          <w:tcPr>
            <w:tcW w:w="1856" w:type="dxa"/>
            <w:shd w:val="clear" w:color="auto" w:fill="auto"/>
            <w:noWrap w:val="0"/>
            <w:vAlign w:val="center"/>
          </w:tcPr>
          <w:p>
            <w:pPr>
              <w:spacing w:line="300" w:lineRule="auto"/>
              <w:jc w:val="center"/>
              <w:rPr>
                <w:szCs w:val="21"/>
              </w:rPr>
            </w:pPr>
            <w:r>
              <w:rPr>
                <w:rFonts w:hint="eastAsia"/>
                <w:szCs w:val="21"/>
              </w:rPr>
              <w:t>VARCHAR</w:t>
            </w:r>
            <w:r>
              <w:rPr>
                <w:szCs w:val="21"/>
              </w:rPr>
              <w:t>2(20)</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bl>
    <w:p>
      <w:pPr>
        <w:spacing w:line="300" w:lineRule="auto"/>
        <w:ind w:firstLine="480" w:firstLineChars="200"/>
        <w:rPr>
          <w:sz w:val="24"/>
        </w:rPr>
      </w:pPr>
      <w:r>
        <w:rPr>
          <w:rFonts w:hint="eastAsia"/>
          <w:sz w:val="24"/>
        </w:rPr>
        <w:t>表2.4（续表）</w:t>
      </w:r>
    </w:p>
    <w:tbl>
      <w:tblPr>
        <w:tblStyle w:val="4"/>
        <w:tblW w:w="660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4"/>
        <w:gridCol w:w="1156"/>
        <w:gridCol w:w="1856"/>
        <w:gridCol w:w="1054"/>
        <w:gridCol w:w="8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71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字段标识</w:t>
            </w:r>
          </w:p>
        </w:tc>
        <w:tc>
          <w:tcPr>
            <w:tcW w:w="11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字段含义</w:t>
            </w:r>
          </w:p>
        </w:tc>
        <w:tc>
          <w:tcPr>
            <w:tcW w:w="1856"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数据类型</w:t>
            </w:r>
          </w:p>
        </w:tc>
        <w:tc>
          <w:tcPr>
            <w:tcW w:w="1054"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是否主键</w:t>
            </w:r>
          </w:p>
        </w:tc>
        <w:tc>
          <w:tcPr>
            <w:tcW w:w="821" w:type="dxa"/>
            <w:tcBorders>
              <w:top w:val="single" w:color="auto" w:sz="4" w:space="0"/>
              <w:bottom w:val="single" w:color="auto" w:sz="4" w:space="0"/>
            </w:tcBorders>
            <w:shd w:val="clear" w:color="auto" w:fill="auto"/>
            <w:noWrap w:val="0"/>
            <w:vAlign w:val="center"/>
          </w:tcPr>
          <w:p>
            <w:pPr>
              <w:spacing w:line="300" w:lineRule="auto"/>
              <w:jc w:val="center"/>
              <w:rPr>
                <w:szCs w:val="21"/>
              </w:rPr>
            </w:pPr>
            <w:r>
              <w:rPr>
                <w:rFonts w:hint="eastAsia"/>
                <w:szCs w:val="21"/>
              </w:rPr>
              <w:t>是否外键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71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UPLOADER_ID</w:t>
            </w:r>
          </w:p>
        </w:tc>
        <w:tc>
          <w:tcPr>
            <w:tcW w:w="11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上传人ID</w:t>
            </w:r>
          </w:p>
        </w:tc>
        <w:tc>
          <w:tcPr>
            <w:tcW w:w="1856"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INTERGER</w:t>
            </w:r>
          </w:p>
        </w:tc>
        <w:tc>
          <w:tcPr>
            <w:tcW w:w="1054"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否</w:t>
            </w:r>
          </w:p>
        </w:tc>
        <w:tc>
          <w:tcPr>
            <w:tcW w:w="821" w:type="dxa"/>
            <w:tcBorders>
              <w:top w:val="single" w:color="auto" w:sz="4" w:space="0"/>
            </w:tcBorders>
            <w:shd w:val="clear" w:color="auto" w:fill="auto"/>
            <w:noWrap w:val="0"/>
            <w:vAlign w:val="center"/>
          </w:tcPr>
          <w:p>
            <w:pPr>
              <w:spacing w:line="300" w:lineRule="auto"/>
              <w:jc w:val="center"/>
              <w:rPr>
                <w:szCs w:val="21"/>
              </w:rPr>
            </w:pPr>
            <w:r>
              <w:rPr>
                <w:rFonts w:hint="eastAsia"/>
                <w:szCs w:val="21"/>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UPLOAD_DATE</w:t>
            </w:r>
          </w:p>
        </w:tc>
        <w:tc>
          <w:tcPr>
            <w:tcW w:w="1156" w:type="dxa"/>
            <w:shd w:val="clear" w:color="auto" w:fill="auto"/>
            <w:noWrap w:val="0"/>
            <w:vAlign w:val="center"/>
          </w:tcPr>
          <w:p>
            <w:pPr>
              <w:spacing w:line="300" w:lineRule="auto"/>
              <w:jc w:val="center"/>
              <w:rPr>
                <w:szCs w:val="21"/>
              </w:rPr>
            </w:pPr>
            <w:r>
              <w:rPr>
                <w:rFonts w:hint="eastAsia"/>
                <w:szCs w:val="21"/>
              </w:rPr>
              <w:t>上传日期</w:t>
            </w:r>
          </w:p>
        </w:tc>
        <w:tc>
          <w:tcPr>
            <w:tcW w:w="1856" w:type="dxa"/>
            <w:shd w:val="clear" w:color="auto" w:fill="auto"/>
            <w:noWrap w:val="0"/>
            <w:vAlign w:val="center"/>
          </w:tcPr>
          <w:p>
            <w:pPr>
              <w:spacing w:line="300" w:lineRule="auto"/>
              <w:jc w:val="center"/>
              <w:rPr>
                <w:szCs w:val="21"/>
              </w:rPr>
            </w:pPr>
            <w:r>
              <w:rPr>
                <w:rFonts w:hint="eastAsia"/>
                <w:szCs w:val="21"/>
              </w:rPr>
              <w:t>DATE</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trPr>
        <w:tc>
          <w:tcPr>
            <w:tcW w:w="1714" w:type="dxa"/>
            <w:shd w:val="clear" w:color="auto" w:fill="auto"/>
            <w:noWrap w:val="0"/>
            <w:vAlign w:val="center"/>
          </w:tcPr>
          <w:p>
            <w:pPr>
              <w:spacing w:line="300" w:lineRule="auto"/>
              <w:jc w:val="center"/>
              <w:rPr>
                <w:szCs w:val="21"/>
              </w:rPr>
            </w:pPr>
            <w:r>
              <w:rPr>
                <w:rFonts w:hint="eastAsia"/>
                <w:szCs w:val="21"/>
              </w:rPr>
              <w:t>ISPASS</w:t>
            </w:r>
          </w:p>
        </w:tc>
        <w:tc>
          <w:tcPr>
            <w:tcW w:w="1156" w:type="dxa"/>
            <w:shd w:val="clear" w:color="auto" w:fill="auto"/>
            <w:noWrap w:val="0"/>
            <w:vAlign w:val="center"/>
          </w:tcPr>
          <w:p>
            <w:pPr>
              <w:spacing w:line="300" w:lineRule="auto"/>
              <w:jc w:val="center"/>
              <w:rPr>
                <w:szCs w:val="21"/>
              </w:rPr>
            </w:pPr>
            <w:r>
              <w:rPr>
                <w:rFonts w:hint="eastAsia"/>
                <w:szCs w:val="21"/>
              </w:rPr>
              <w:t>是否审批</w:t>
            </w:r>
          </w:p>
        </w:tc>
        <w:tc>
          <w:tcPr>
            <w:tcW w:w="1856" w:type="dxa"/>
            <w:shd w:val="clear" w:color="auto" w:fill="auto"/>
            <w:noWrap w:val="0"/>
            <w:vAlign w:val="center"/>
          </w:tcPr>
          <w:p>
            <w:pPr>
              <w:spacing w:line="300" w:lineRule="auto"/>
              <w:jc w:val="center"/>
              <w:rPr>
                <w:szCs w:val="21"/>
              </w:rPr>
            </w:pPr>
            <w:r>
              <w:rPr>
                <w:rFonts w:hint="eastAsia"/>
                <w:szCs w:val="21"/>
              </w:rPr>
              <w:t>INTERGER</w:t>
            </w:r>
          </w:p>
        </w:tc>
        <w:tc>
          <w:tcPr>
            <w:tcW w:w="1054" w:type="dxa"/>
            <w:shd w:val="clear" w:color="auto" w:fill="auto"/>
            <w:noWrap w:val="0"/>
            <w:vAlign w:val="center"/>
          </w:tcPr>
          <w:p>
            <w:pPr>
              <w:spacing w:line="300" w:lineRule="auto"/>
              <w:jc w:val="center"/>
              <w:rPr>
                <w:szCs w:val="21"/>
              </w:rPr>
            </w:pPr>
            <w:r>
              <w:rPr>
                <w:rFonts w:hint="eastAsia"/>
                <w:szCs w:val="21"/>
              </w:rPr>
              <w:t>否</w:t>
            </w:r>
          </w:p>
        </w:tc>
        <w:tc>
          <w:tcPr>
            <w:tcW w:w="821" w:type="dxa"/>
            <w:shd w:val="clear" w:color="auto" w:fill="auto"/>
            <w:noWrap w:val="0"/>
            <w:vAlign w:val="center"/>
          </w:tcPr>
          <w:p>
            <w:pPr>
              <w:spacing w:line="300" w:lineRule="auto"/>
              <w:jc w:val="center"/>
              <w:rPr>
                <w:szCs w:val="21"/>
              </w:rPr>
            </w:pPr>
            <w:r>
              <w:rPr>
                <w:rFonts w:hint="eastAsia"/>
                <w:szCs w:val="21"/>
              </w:rPr>
              <w:t>否</w:t>
            </w:r>
          </w:p>
        </w:tc>
      </w:tr>
    </w:tbl>
    <w:p>
      <w:pPr>
        <w:spacing w:line="300" w:lineRule="auto"/>
        <w:ind w:firstLine="480" w:firstLineChars="200"/>
        <w:rPr>
          <w:rFonts w:hint="eastAsia"/>
          <w:sz w:val="24"/>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2.2 本章小结</w:t>
      </w:r>
    </w:p>
    <w:p>
      <w:pPr>
        <w:spacing w:line="300" w:lineRule="auto"/>
        <w:ind w:firstLine="480" w:firstLineChars="200"/>
        <w:rPr>
          <w:sz w:val="24"/>
        </w:rPr>
      </w:pPr>
      <w:r>
        <w:rPr>
          <w:rFonts w:hint="eastAsia"/>
          <w:sz w:val="24"/>
        </w:rPr>
        <w:t>本章主要介绍了表格的显示。</w:t>
      </w:r>
    </w:p>
    <w:p>
      <w:pPr>
        <w:spacing w:line="300" w:lineRule="auto"/>
        <w:jc w:val="center"/>
        <w:rPr>
          <w:b/>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2" w:name="_Toc307165636"/>
      <w:bookmarkStart w:id="43" w:name="_Toc277842003"/>
      <w:bookmarkStart w:id="44" w:name="_Toc307166509"/>
      <w:bookmarkStart w:id="45" w:name="_Toc307862871"/>
      <w:bookmarkStart w:id="46" w:name="_Toc307166538"/>
      <w:r>
        <w:rPr>
          <w:rFonts w:hint="eastAsia"/>
          <w:b/>
          <w:bCs/>
          <w:kern w:val="44"/>
          <w:sz w:val="32"/>
          <w:szCs w:val="44"/>
        </w:rPr>
        <w:t>第3章 视频图像预处理</w:t>
      </w:r>
      <w:bookmarkEnd w:id="42"/>
      <w:bookmarkEnd w:id="43"/>
      <w:bookmarkEnd w:id="44"/>
      <w:bookmarkEnd w:id="45"/>
      <w:bookmarkEnd w:id="46"/>
    </w:p>
    <w:p>
      <w:pPr>
        <w:keepNext/>
        <w:keepLines/>
        <w:spacing w:before="163" w:beforeLines="50" w:after="163" w:afterLines="50" w:line="300" w:lineRule="auto"/>
        <w:outlineLvl w:val="1"/>
        <w:rPr>
          <w:rFonts w:ascii="Cambria" w:hAnsi="Cambria"/>
          <w:b/>
          <w:bCs/>
          <w:sz w:val="28"/>
          <w:szCs w:val="32"/>
        </w:rPr>
      </w:pPr>
      <w:bookmarkStart w:id="47" w:name="_Toc277842004"/>
      <w:bookmarkStart w:id="48" w:name="_Toc307166510"/>
      <w:bookmarkStart w:id="49" w:name="_Toc307165637"/>
      <w:bookmarkStart w:id="50" w:name="_Toc307862872"/>
      <w:bookmarkStart w:id="51" w:name="_Toc307166539"/>
      <w:r>
        <w:rPr>
          <w:rFonts w:hint="eastAsia" w:ascii="Cambria" w:hAnsi="Cambria"/>
          <w:b/>
          <w:bCs/>
          <w:sz w:val="28"/>
          <w:szCs w:val="32"/>
        </w:rPr>
        <w:t>3.1 引言</w:t>
      </w:r>
      <w:bookmarkEnd w:id="47"/>
      <w:bookmarkEnd w:id="48"/>
      <w:bookmarkEnd w:id="49"/>
      <w:bookmarkEnd w:id="50"/>
      <w:bookmarkEnd w:id="51"/>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7"/>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52" w:name="手势运动方向检测流程图"/>
      <w:r>
        <w:rPr>
          <w:rFonts w:hint="eastAsia"/>
          <w:b/>
        </w:rPr>
        <w:t>图</w:t>
      </w:r>
      <w:bookmarkEnd w:id="52"/>
      <w:r>
        <w:rPr>
          <w:rFonts w:hint="eastAsia"/>
          <w:b/>
        </w:rPr>
        <w:t>3.1 手势运动方向检测流程图</w:t>
      </w:r>
      <w:bookmarkStart w:id="53"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8"/>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9"/>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049395" cy="1640840"/>
                    </a:xfrm>
                    <a:prstGeom prst="rect">
                      <a:avLst/>
                    </a:prstGeom>
                    <a:noFill/>
                    <a:ln>
                      <a:noFill/>
                    </a:ln>
                  </pic:spPr>
                </pic:pic>
              </a:graphicData>
            </a:graphic>
          </wp:inline>
        </w:drawing>
      </w:r>
    </w:p>
    <w:bookmarkEnd w:id="53"/>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54" w:name="_Toc307165638"/>
      <w:bookmarkStart w:id="55" w:name="_Toc307166511"/>
      <w:bookmarkStart w:id="56" w:name="_Toc307166540"/>
      <w:bookmarkStart w:id="57" w:name="_Toc307862873"/>
      <w:r>
        <w:rPr>
          <w:rFonts w:hint="eastAsia"/>
          <w:b/>
          <w:bCs/>
          <w:kern w:val="44"/>
          <w:sz w:val="32"/>
          <w:szCs w:val="44"/>
        </w:rPr>
        <w:t>结论</w:t>
      </w:r>
      <w:bookmarkEnd w:id="54"/>
      <w:bookmarkEnd w:id="55"/>
      <w:bookmarkEnd w:id="56"/>
      <w:bookmarkEnd w:id="57"/>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8" w:name="_Toc277842005"/>
      <w:bookmarkStart w:id="59" w:name="_Toc307166541"/>
      <w:bookmarkStart w:id="60"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61" w:name="_Toc307862874"/>
      <w:r>
        <w:rPr>
          <w:rFonts w:hint="eastAsia"/>
          <w:b/>
          <w:bCs/>
          <w:kern w:val="44"/>
          <w:sz w:val="32"/>
          <w:szCs w:val="44"/>
        </w:rPr>
        <w:t>参 考 文 献</w:t>
      </w:r>
      <w:bookmarkEnd w:id="58"/>
      <w:bookmarkEnd w:id="59"/>
      <w:bookmarkEnd w:id="60"/>
      <w:bookmarkEnd w:id="61"/>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62" w:name="_Toc277842006"/>
      <w:bookmarkStart w:id="63" w:name="_Toc307166513"/>
      <w:bookmarkStart w:id="64" w:name="_Toc307166542"/>
      <w:bookmarkStart w:id="65" w:name="_Toc307862875"/>
      <w:r>
        <w:rPr>
          <w:rFonts w:hint="eastAsia"/>
          <w:b/>
          <w:bCs/>
          <w:kern w:val="44"/>
          <w:sz w:val="32"/>
          <w:szCs w:val="44"/>
        </w:rPr>
        <w:t>致    谢</w:t>
      </w:r>
      <w:bookmarkEnd w:id="62"/>
      <w:bookmarkEnd w:id="63"/>
      <w:bookmarkEnd w:id="64"/>
      <w:bookmarkEnd w:id="65"/>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66" w:name="_Toc307862876"/>
      <w:r>
        <w:rPr>
          <w:rFonts w:hint="eastAsia" w:ascii="Cambria" w:hAnsi="Cambria"/>
          <w:b/>
          <w:bCs/>
          <w:sz w:val="28"/>
          <w:szCs w:val="32"/>
        </w:rPr>
        <w:t>附录1</w:t>
      </w:r>
      <w:bookmarkEnd w:id="66"/>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DejaVu Sans">
    <w:panose1 w:val="020B0603030804020204"/>
    <w:charset w:val="01"/>
    <w:family w:val="swiss"/>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2000000"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基于低分辨率视频的手势运动方向检测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7D7F0CA2"/>
    <w:rsid w:val="DBD76941"/>
    <w:rsid w:val="FFC6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0"/>
    <w:pPr>
      <w:pBdr>
        <w:bottom w:val="single" w:color="auto" w:sz="6" w:space="1"/>
      </w:pBdr>
      <w:tabs>
        <w:tab w:val="left" w:pos="3330"/>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wmf"/><Relationship Id="rId13" Type="http://schemas.openxmlformats.org/officeDocument/2006/relationships/image" Target="media/image3.wmf"/><Relationship Id="rId12" Type="http://schemas.openxmlformats.org/officeDocument/2006/relationships/image" Target="media/image2.wmf"/><Relationship Id="rId11" Type="http://schemas.openxmlformats.org/officeDocument/2006/relationships/image" Target="media/image1.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2019-04-23T16:12:00Z</dcterms:created>
  <dc:creator>wangye</dc:creator>
  <cp:lastModifiedBy>wangye</cp:lastModifiedBy>
  <dcterms:modified xsi:type="dcterms:W3CDTF">2019-04-23T16:26:14Z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