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javaweb第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33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Tomcat&amp;HTTP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ascii="黑体" w:hAnsi="黑体" w:eastAsia="黑体" w:cs="黑体"/>
          <w:sz w:val="36"/>
          <w:szCs w:val="36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bookmarkStart w:id="0" w:name="_GoBack"/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安装Tomcat，启动并访问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 服务器软件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解压缩下载好的 zip 文件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浏览器中进行访问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992" w:leftChars="0" w:right="0" w:rightChars="0" w:hanging="992" w:firstLineChars="0"/>
        <w:jc w:val="left"/>
        <w:textAlignment w:val="auto"/>
        <w:outlineLvl w:val="1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Eclipse 中配置tomcat并启动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1418" w:leftChars="0" w:right="0" w:rightChars="0" w:hanging="1418" w:firstLineChars="0"/>
        <w:jc w:val="left"/>
        <w:textAlignment w:val="auto"/>
        <w:outlineLvl w:val="2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获得服务器运行环境配置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选择服务器所在磁盘位置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修改tomcat配置信息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color w:val="auto"/>
          <w:lang w:val="zh-CN"/>
        </w:rPr>
      </w:pPr>
      <w:r>
        <w:rPr>
          <w:rFonts w:hint="eastAsia"/>
          <w:color w:val="auto"/>
          <w:lang w:val="zh-CN"/>
        </w:rPr>
        <w:t>编写一个</w:t>
      </w:r>
      <w:r>
        <w:rPr>
          <w:rFonts w:hint="eastAsia"/>
          <w:color w:val="auto"/>
          <w:lang w:val="en-US" w:eastAsia="zh-CN"/>
        </w:rPr>
        <w:t>web应用，部署到tomcat，并访问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Web项目中编写一个HTML页面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部署到tomcat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访问页面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en-US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IE</w:t>
      </w:r>
      <w:r>
        <w:rPr>
          <w:rFonts w:hint="eastAsia"/>
          <w:lang w:val="zh-CN"/>
        </w:rPr>
        <w:t>浏览器查看请求行头体与响应行头体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1、打开抓包工具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进行捕获，地址栏输入合法的URL，访问服务器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查看捕获到的数据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Tomcat 启动时，使用的默认端口号是 8080,如果8080端口号被占用，请修改tomcat启动时的端口号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查找到Tomcat 配置文件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查找并修改端口号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查看</w:t>
      </w:r>
      <w:r>
        <w:rPr>
          <w:rFonts w:hint="eastAsia"/>
          <w:lang w:val="en-US" w:eastAsia="zh-CN"/>
        </w:rPr>
        <w:t>get方式与post方式表单数据提交时区别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分别准备get 方式和 post 方式表单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2505075"/>
            <wp:effectExtent l="0" t="0" r="0" b="9525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在get表单中录入数据，抓包查看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在post表单中录入数据，抓包查看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en-US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通过抓包解释</w:t>
      </w:r>
      <w:r>
        <w:rPr>
          <w:rFonts w:hint="eastAsia"/>
          <w:lang w:val="en-US" w:eastAsia="zh-CN"/>
        </w:rPr>
        <w:t>HTTP协议中页面访问时的缓存机制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textAlignment w:val="auto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编写一个html页面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2、第一次访问该页面时查看响应头（last-modified）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</w:pPr>
      <w:r>
        <w:rPr>
          <w:rFonts w:hint="eastAsia"/>
          <w:lang w:val="en-US" w:eastAsia="zh-CN"/>
        </w:rPr>
        <w:t>进行第二次访问操作，查看第二访问的请求头信息(if-modified-since),以及响应状态码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总结缓存实现机制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41A92"/>
    <w:multiLevelType w:val="singleLevel"/>
    <w:tmpl w:val="59141A9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155C3E"/>
    <w:multiLevelType w:val="singleLevel"/>
    <w:tmpl w:val="59155C3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56226"/>
    <w:multiLevelType w:val="singleLevel"/>
    <w:tmpl w:val="5915622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564D2"/>
    <w:multiLevelType w:val="singleLevel"/>
    <w:tmpl w:val="591564D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56D28"/>
    <w:multiLevelType w:val="singleLevel"/>
    <w:tmpl w:val="59156D28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9156EEF"/>
    <w:multiLevelType w:val="singleLevel"/>
    <w:tmpl w:val="59156EE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15736E"/>
    <w:multiLevelType w:val="singleLevel"/>
    <w:tmpl w:val="5915736E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157478"/>
    <w:multiLevelType w:val="singleLevel"/>
    <w:tmpl w:val="59157478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927047"/>
    <w:rsid w:val="0096019F"/>
    <w:rsid w:val="009B7BE7"/>
    <w:rsid w:val="009D2C95"/>
    <w:rsid w:val="009E2BC4"/>
    <w:rsid w:val="009E3D11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B0256"/>
    <w:rsid w:val="00FB1ADD"/>
    <w:rsid w:val="06887A96"/>
    <w:rsid w:val="068B3A9D"/>
    <w:rsid w:val="083A2BF6"/>
    <w:rsid w:val="0A883620"/>
    <w:rsid w:val="0AD23317"/>
    <w:rsid w:val="0BE25D53"/>
    <w:rsid w:val="0CA54458"/>
    <w:rsid w:val="125E4185"/>
    <w:rsid w:val="147258E3"/>
    <w:rsid w:val="16086DA1"/>
    <w:rsid w:val="18773206"/>
    <w:rsid w:val="1C3E416F"/>
    <w:rsid w:val="1D117C9F"/>
    <w:rsid w:val="1E8253DE"/>
    <w:rsid w:val="29901B79"/>
    <w:rsid w:val="2F1934C0"/>
    <w:rsid w:val="2F281077"/>
    <w:rsid w:val="34B32C51"/>
    <w:rsid w:val="3B1C1A18"/>
    <w:rsid w:val="40E04C1A"/>
    <w:rsid w:val="4A816415"/>
    <w:rsid w:val="4B7318AD"/>
    <w:rsid w:val="4EB43C76"/>
    <w:rsid w:val="4EBF046A"/>
    <w:rsid w:val="52F63067"/>
    <w:rsid w:val="531F42F9"/>
    <w:rsid w:val="54E67768"/>
    <w:rsid w:val="563C5A53"/>
    <w:rsid w:val="59BC1047"/>
    <w:rsid w:val="5A350954"/>
    <w:rsid w:val="5A795C8A"/>
    <w:rsid w:val="5C4B0A80"/>
    <w:rsid w:val="62E44812"/>
    <w:rsid w:val="6619384F"/>
    <w:rsid w:val="6C7140EA"/>
    <w:rsid w:val="6D1676F2"/>
    <w:rsid w:val="6FDA1844"/>
    <w:rsid w:val="734746E1"/>
    <w:rsid w:val="740F049D"/>
    <w:rsid w:val="7A1734B8"/>
    <w:rsid w:val="7C8279D6"/>
    <w:rsid w:val="7CC27731"/>
    <w:rsid w:val="7DBB726B"/>
    <w:rsid w:val="7E69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6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2018-04-27T00:28:03Z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