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28836">
      <w:pPr>
        <w:pStyle w:val="31"/>
        <w:keepNext/>
        <w:keepLines w:val="0"/>
        <w:widowControl/>
        <w:spacing w:before="0" w:after="180" w:line="620" w:lineRule="exact"/>
        <w:ind w:firstLine="0"/>
        <w:jc w:val="center"/>
        <w:rPr>
          <w:rFonts w:hint="eastAsia" w:ascii="仿宋_GB2312" w:hAnsi="仿宋_GB2312" w:eastAsia="仿宋_GB2312" w:cs="仿宋_GB2312"/>
        </w:rPr>
      </w:pPr>
      <w:r>
        <w:rPr>
          <w:rFonts w:hint="eastAsia" w:ascii="仿宋_GB2312" w:hAnsi="仿宋_GB2312" w:eastAsia="仿宋_GB2312" w:cs="仿宋_GB2312"/>
          <w:b/>
          <w:color w:val="000000"/>
          <w:sz w:val="42"/>
        </w:rPr>
        <w:t>关于数智北京创新中心合合智能助手</w:t>
      </w:r>
      <w:r>
        <w:rPr>
          <w:rFonts w:hint="eastAsia" w:ascii="仿宋_GB2312" w:hAnsi="仿宋_GB2312" w:eastAsia="仿宋_GB2312" w:cs="仿宋_GB2312"/>
          <w:b/>
          <w:color w:val="000000"/>
          <w:sz w:val="42"/>
        </w:rPr>
        <w:br w:type="textWrapping"/>
      </w:r>
      <w:r>
        <w:rPr>
          <w:rFonts w:hint="eastAsia" w:ascii="仿宋_GB2312" w:hAnsi="仿宋_GB2312" w:eastAsia="仿宋_GB2312" w:cs="仿宋_GB2312"/>
          <w:b/>
          <w:color w:val="000000"/>
          <w:sz w:val="42"/>
        </w:rPr>
        <w:t>建设思路及原型设计情况的报告</w:t>
      </w:r>
    </w:p>
    <w:p w14:paraId="26EF2D6D">
      <w:pPr>
        <w:keepNext/>
        <w:keepLines w:val="0"/>
        <w:widowControl/>
        <w:spacing w:before="0" w:after="280" w:line="360" w:lineRule="exact"/>
        <w:ind w:firstLine="0"/>
        <w:jc w:val="both"/>
        <w:rPr>
          <w:rFonts w:hint="eastAsia" w:ascii="仿宋_GB2312" w:hAnsi="仿宋_GB2312" w:eastAsia="仿宋_GB2312" w:cs="仿宋_GB2312"/>
        </w:rPr>
      </w:pPr>
    </w:p>
    <w:p w14:paraId="1AB3E37E">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color w:val="000000"/>
          <w:sz w:val="30"/>
        </w:rPr>
        <w:t>依托数智北京创新中心现有门户、资源目录及业务系统，建设“合合”统一智能服务入口，以高质量数据和知识治理提供支撑，以</w:t>
      </w:r>
      <w:r>
        <w:rPr>
          <w:rFonts w:hint="eastAsia" w:ascii="仿宋_GB2312" w:hAnsi="仿宋_GB2312" w:eastAsia="仿宋_GB2312" w:cs="仿宋_GB2312"/>
          <w:b w:val="0"/>
          <w:color w:val="000000"/>
          <w:sz w:val="30"/>
          <w:lang w:val="en-US" w:eastAsia="zh-CN"/>
        </w:rPr>
        <w:t>前沿</w:t>
      </w:r>
      <w:r>
        <w:rPr>
          <w:rFonts w:hint="eastAsia" w:ascii="仿宋_GB2312" w:hAnsi="仿宋_GB2312" w:eastAsia="仿宋_GB2312" w:cs="仿宋_GB2312"/>
          <w:b w:val="0"/>
          <w:color w:val="000000"/>
          <w:sz w:val="30"/>
        </w:rPr>
        <w:t>智能体工程</w:t>
      </w:r>
      <w:r>
        <w:rPr>
          <w:rFonts w:hint="eastAsia" w:ascii="仿宋_GB2312" w:hAnsi="仿宋_GB2312" w:eastAsia="仿宋_GB2312" w:cs="仿宋_GB2312"/>
          <w:b w:val="0"/>
          <w:color w:val="000000"/>
          <w:sz w:val="30"/>
          <w:lang w:val="en-US" w:eastAsia="zh-CN"/>
        </w:rPr>
        <w:t>架构</w:t>
      </w:r>
      <w:r>
        <w:rPr>
          <w:rFonts w:hint="eastAsia" w:ascii="仿宋_GB2312" w:hAnsi="仿宋_GB2312" w:eastAsia="仿宋_GB2312" w:cs="仿宋_GB2312"/>
          <w:b w:val="0"/>
          <w:color w:val="000000"/>
          <w:sz w:val="30"/>
        </w:rPr>
        <w:t>（Agent Harness）</w:t>
      </w:r>
      <w:r>
        <w:rPr>
          <w:rFonts w:hint="eastAsia" w:ascii="仿宋_GB2312" w:hAnsi="仿宋_GB2312" w:eastAsia="仿宋_GB2312" w:cs="仿宋_GB2312"/>
          <w:b w:val="0"/>
          <w:color w:val="000000"/>
          <w:sz w:val="30"/>
          <w:lang w:val="en-US" w:eastAsia="zh-CN"/>
        </w:rPr>
        <w:t>为基础，</w:t>
      </w:r>
      <w:r>
        <w:rPr>
          <w:rFonts w:hint="eastAsia" w:ascii="仿宋_GB2312" w:hAnsi="仿宋_GB2312" w:eastAsia="仿宋_GB2312" w:cs="仿宋_GB2312"/>
          <w:b w:val="0"/>
          <w:color w:val="000000"/>
          <w:sz w:val="30"/>
        </w:rPr>
        <w:t>帮助创新主体查服务、找资源、准备申请和跟进办理。现将有关情况报告如下。</w:t>
      </w:r>
    </w:p>
    <w:p w14:paraId="185867A8">
      <w:pPr>
        <w:pStyle w:val="3"/>
        <w:keepNext/>
        <w:spacing w:before="160" w:after="80" w:line="52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color w:val="000000"/>
          <w:sz w:val="32"/>
        </w:rPr>
        <w:t>一、建设背景与总体定位</w:t>
      </w:r>
    </w:p>
    <w:p w14:paraId="6DA7B902">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color w:val="000000"/>
          <w:sz w:val="30"/>
        </w:rPr>
        <w:t>创新中心汇集数据、算力、组件、场景、成果及相关创新服务。创新主体开展项目研究和试验验证，需要了解参与条件、查找适用资源、准备材料并跟进办理。现有网站和业务系统已提供相应服务基础，拟通过统一智能入口加强分散信息和业务环节之间的衔接，降低用户理解规则、查找资源和重复填报的成本。</w:t>
      </w:r>
    </w:p>
    <w:p w14:paraId="07288C8C">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color w:val="000000"/>
          <w:sz w:val="30"/>
        </w:rPr>
        <w:t>《北京市公共数据资源授权运营管理办法》（京政数发〔2026〕6号）明确，依托数智北京创新中心等渠道归集社会主体的数据使用需求，并鼓励其他经营主体通过中心等对运营机构交付的数据产品和服务开展再开发。合合助手建设应立足需求归集与服务对接，不将需求登记等同于数据授权，不改变既有管理职责。</w:t>
      </w:r>
      <w:r>
        <w:rPr>
          <w:rFonts w:hint="eastAsia" w:ascii="仿宋_GB2312" w:hAnsi="仿宋_GB2312" w:eastAsia="仿宋_GB2312" w:cs="仿宋_GB2312"/>
          <w:b w:val="0"/>
          <w:color w:val="000000"/>
          <w:sz w:val="20"/>
          <w:vertAlign w:val="superscript"/>
        </w:rPr>
        <w:footnoteReference w:id="0"/>
      </w:r>
    </w:p>
    <w:p w14:paraId="2D152FF0">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sz w:val="30"/>
        </w:rPr>
        <w:t>“合合”定位为创新中心面向企业创新主体、高校科研团队、政府业务部门等</w:t>
      </w:r>
      <w:r>
        <w:rPr>
          <w:rFonts w:hint="eastAsia" w:ascii="仿宋_GB2312" w:hAnsi="仿宋_GB2312" w:eastAsia="仿宋_GB2312" w:cs="仿宋_GB2312"/>
          <w:b w:val="0"/>
          <w:sz w:val="30"/>
          <w:lang w:val="en-US" w:eastAsia="zh-CN"/>
        </w:rPr>
        <w:t>用户的</w:t>
      </w:r>
      <w:r>
        <w:rPr>
          <w:rFonts w:hint="eastAsia" w:ascii="仿宋_GB2312" w:hAnsi="仿宋_GB2312" w:eastAsia="仿宋_GB2312" w:cs="仿宋_GB2312"/>
          <w:b w:val="0"/>
          <w:sz w:val="30"/>
        </w:rPr>
        <w:t>统一智能服务入口，背后按场景接入专业智能体和工具能力，不另建独立产品门户。坚持需求导向、集约建设和安全可控，前台围绕任务组织服务，后台以高质量的数据治理为目标提供数据与知识支撑，既有业务系统承担正式受理和审批。</w:t>
      </w:r>
    </w:p>
    <w:p w14:paraId="599F44CB">
      <w:pPr>
        <w:pStyle w:val="3"/>
        <w:keepNext/>
        <w:spacing w:before="160" w:after="80" w:line="52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color w:val="000000"/>
          <w:sz w:val="32"/>
        </w:rPr>
        <w:t>二、总体设计、功能布局与整体架构</w:t>
      </w:r>
    </w:p>
    <w:p w14:paraId="6341070C">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color w:val="000000"/>
          <w:sz w:val="30"/>
        </w:rPr>
        <w:t>（一）</w:t>
      </w:r>
      <w:r>
        <w:rPr>
          <w:rFonts w:hint="eastAsia" w:ascii="仿宋_GB2312" w:hAnsi="仿宋_GB2312" w:eastAsia="仿宋_GB2312" w:cs="仿宋_GB2312"/>
          <w:b/>
          <w:bCs/>
          <w:color w:val="000000"/>
          <w:sz w:val="30"/>
        </w:rPr>
        <w:t>统一入口，按需展开。</w:t>
      </w:r>
      <w:r>
        <w:rPr>
          <w:rFonts w:hint="eastAsia" w:ascii="仿宋_GB2312" w:hAnsi="仿宋_GB2312" w:eastAsia="仿宋_GB2312" w:cs="仿宋_GB2312"/>
          <w:b w:val="0"/>
          <w:color w:val="000000"/>
          <w:sz w:val="30"/>
        </w:rPr>
        <w:t>在现有门户嵌入合合助手，沿用中心品牌和网站风格，保留原有栏目与常规办理入口。普通咨询采用轻量侧栏，复杂任务展开为工作台。普通咨询采用轻量侧栏，复杂问数、资源比较和材料核对按需展开为任务工作台，并考虑移动端适配。用户可直接表达需求，不必先选择应用或模型；结果、依据和操作随任务进展呈现，避免功能菜单和长表单集中堆叠。</w:t>
      </w:r>
    </w:p>
    <w:p w14:paraId="0E154212">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bCs/>
          <w:color w:val="000000"/>
          <w:sz w:val="30"/>
        </w:rPr>
        <w:t>（二）</w:t>
      </w:r>
      <w:r>
        <w:rPr>
          <w:rFonts w:hint="eastAsia" w:ascii="仿宋_GB2312" w:hAnsi="仿宋_GB2312" w:eastAsia="仿宋_GB2312" w:cs="仿宋_GB2312"/>
          <w:b/>
          <w:color w:val="000000"/>
          <w:sz w:val="30"/>
        </w:rPr>
        <w:t>前后台分工，服务连续衔接</w:t>
      </w:r>
      <w:r>
        <w:rPr>
          <w:rFonts w:hint="eastAsia" w:ascii="仿宋_GB2312" w:hAnsi="仿宋_GB2312" w:eastAsia="仿宋_GB2312" w:cs="仿宋_GB2312"/>
          <w:b/>
          <w:bCs/>
          <w:color w:val="000000"/>
          <w:sz w:val="30"/>
        </w:rPr>
        <w:t>。</w:t>
      </w:r>
      <w:r>
        <w:rPr>
          <w:rFonts w:hint="eastAsia" w:ascii="仿宋_GB2312" w:hAnsi="仿宋_GB2312" w:eastAsia="仿宋_GB2312" w:cs="仿宋_GB2312"/>
          <w:b w:val="0"/>
          <w:color w:val="000000"/>
          <w:sz w:val="30"/>
        </w:rPr>
        <w:t>前台按智能问答、智能问数和边聊边办三类服务组织能力，搜索与推荐贯穿其中。同一任务保留经确认的需求、筛选条件和草稿，切换场景时明确提示变化。后台设置数据和知识管理、智能应用配置及运营评测功能，由授权人员分别维护内容、数据、规则和模型调用配置，不向普通用户开放管理权限。</w:t>
      </w:r>
    </w:p>
    <w:p w14:paraId="598439AC">
      <w:pPr>
        <w:keepNext w:val="0"/>
        <w:keepLines w:val="0"/>
        <w:widowControl/>
        <w:spacing w:before="0" w:after="40" w:line="460" w:lineRule="exact"/>
        <w:ind w:firstLine="600"/>
        <w:jc w:val="both"/>
        <w:rPr>
          <w:rFonts w:hint="eastAsia" w:ascii="仿宋_GB2312" w:hAnsi="仿宋_GB2312" w:eastAsia="仿宋_GB2312" w:cs="仿宋_GB2312"/>
          <w:lang w:eastAsia="zh-CN"/>
        </w:rPr>
      </w:pPr>
      <w:r>
        <w:rPr>
          <w:rFonts w:hint="eastAsia" w:ascii="仿宋_GB2312" w:hAnsi="仿宋_GB2312" w:eastAsia="仿宋_GB2312" w:cs="仿宋_GB2312"/>
          <w:b/>
          <w:sz w:val="30"/>
        </w:rPr>
        <w:t>（三）分层建设，复用既有系统。</w:t>
      </w:r>
      <w:r>
        <w:rPr>
          <w:rFonts w:hint="eastAsia" w:ascii="仿宋_GB2312" w:hAnsi="仿宋_GB2312" w:eastAsia="仿宋_GB2312" w:cs="仿宋_GB2312"/>
          <w:b w:val="0"/>
          <w:sz w:val="30"/>
        </w:rPr>
        <w:t>整体架构保持用户交互、应用服务、AI工程、数据和知识管理、基础资源五层分工。用户交互层承接诉求，应用服务层组织问答、问数和办理；AI工程层以Agent Harness统一管理任务、上下文、工具和执行，按需组合ReAct与工作流；数据和知识管理层提供经审核的知识、图谱关系和查询服务；基础资源层提供模型、检索与图谱存储、隔离运行环境。身份认证、正式受理与审批经受控接口衔接既有系统，安全与运营保障贯穿各层。总体关系见附件图1</w:t>
      </w:r>
      <w:r>
        <w:rPr>
          <w:rFonts w:hint="eastAsia" w:ascii="仿宋_GB2312" w:hAnsi="仿宋_GB2312" w:eastAsia="仿宋_GB2312" w:cs="仿宋_GB2312"/>
          <w:b w:val="0"/>
          <w:sz w:val="30"/>
          <w:lang w:eastAsia="zh-CN"/>
        </w:rPr>
        <w:t>。</w:t>
      </w:r>
    </w:p>
    <w:p w14:paraId="67FA835F">
      <w:pPr>
        <w:pStyle w:val="3"/>
        <w:keepNext/>
        <w:spacing w:before="160" w:after="80" w:line="52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color w:val="000000"/>
          <w:sz w:val="32"/>
        </w:rPr>
        <w:t>三、重点应用场景与服务能力</w:t>
      </w:r>
    </w:p>
    <w:p w14:paraId="4384F45A">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color w:val="000000"/>
          <w:sz w:val="30"/>
        </w:rPr>
        <w:t>围绕全站服务梳理场景，以咨询引导、资源发现、需求登记和申请辅助为重点，设计从了解服务到推进事项的连续路径。公共交通客流验证作为贯通三类服务的原型样例，不限定其他行业的应用范围，具体试点场景经业务梳理后确定。</w:t>
      </w:r>
    </w:p>
    <w:p w14:paraId="09D97EC5">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color w:val="000000"/>
          <w:sz w:val="30"/>
        </w:rPr>
        <w:t>（一）智能问答与服务引导。</w:t>
      </w:r>
      <w:r>
        <w:rPr>
          <w:rFonts w:hint="eastAsia" w:ascii="仿宋_GB2312" w:hAnsi="仿宋_GB2312" w:eastAsia="仿宋_GB2312" w:cs="仿宋_GB2312"/>
          <w:b w:val="0"/>
          <w:color w:val="000000"/>
          <w:sz w:val="30"/>
        </w:rPr>
        <w:t>面向平台介绍、政策指南、服务条件、项目参与等问题，结合用户关注内容和项目阶段开展多轮咨询。对企业“已有客流分析算法、希望开展试验验证”的诉求，关联服务说明、相关资源和同类项目，提出数据查询、算力咨询及参与条件核对等建议。答复展示来源与适用范围；对依据不足、口径冲突和需专业判断的问题，提示核实或衔接人工，不将案例目标当作既有成效。</w:t>
      </w:r>
    </w:p>
    <w:p w14:paraId="13AE7F74">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color w:val="000000"/>
          <w:sz w:val="30"/>
        </w:rPr>
        <w:t>（二）智能问数与资源匹配。</w:t>
      </w:r>
      <w:r>
        <w:rPr>
          <w:rFonts w:hint="eastAsia" w:ascii="仿宋_GB2312" w:hAnsi="仿宋_GB2312" w:eastAsia="仿宋_GB2312" w:cs="仿宋_GB2312"/>
          <w:b w:val="0"/>
          <w:color w:val="000000"/>
          <w:sz w:val="30"/>
        </w:rPr>
        <w:t>面向数据目录、算力、组件、场景和成果等信息，支持自然语言检索、条件筛选、数量统计和资源比较。目录问数展示来源、范围、口径与数据时间，连续追问时保留有效条件，图表与明细保持一致；资源推荐说明匹配理由及尚需确认的使用条件。首批重点验证目录级查询，不将目录数量或更新时间当作底层业务指标；业务明细分析需另行明确数据授权和指标口径。</w:t>
      </w:r>
    </w:p>
    <w:p w14:paraId="4C63E390">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color w:val="000000"/>
          <w:sz w:val="30"/>
        </w:rPr>
        <w:t>（三）对话式辅助办理。</w:t>
      </w:r>
      <w:r>
        <w:rPr>
          <w:rFonts w:hint="eastAsia" w:ascii="仿宋_GB2312" w:hAnsi="仿宋_GB2312" w:eastAsia="仿宋_GB2312" w:cs="仿宋_GB2312"/>
          <w:b w:val="0"/>
          <w:color w:val="000000"/>
          <w:sz w:val="30"/>
        </w:rPr>
        <w:t>围绕需求登记、资源申请、参观预约、场景发布、项目申报和成果对接等事项，逐步接入规则明确的办理场景。通过对话提取项目、资源、用途等信息，只补问缺项，形成可修改草稿，支持自然语言修改与表单核对同步。具备权限和接口条件时，经用户确认后提交，按业务反馈提供进度查询、材料补正；暂不具备条件时，保存草稿或登记需求，不提示正式受理。</w:t>
      </w:r>
    </w:p>
    <w:p w14:paraId="75C43307">
      <w:pPr>
        <w:pStyle w:val="3"/>
        <w:keepNext/>
        <w:spacing w:before="160" w:after="80" w:line="52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color w:val="000000"/>
          <w:sz w:val="32"/>
        </w:rPr>
        <w:t>四、数据和知识管理平台建设</w:t>
      </w:r>
    </w:p>
    <w:p w14:paraId="3CDAFE2C">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color w:val="000000"/>
          <w:sz w:val="30"/>
        </w:rPr>
        <w:t>以高质量的数据治理为目标，统筹结构化数据和非结构化知识管理，形成数据接入、治理加工、知识运营、审核发布和质量评测相衔接的后台平台，为合合助手及中心其他智能应用提供可复用服务。</w:t>
      </w:r>
    </w:p>
    <w:p w14:paraId="7614C0D2">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color w:val="000000"/>
          <w:sz w:val="30"/>
        </w:rPr>
        <w:t>（一）统一接入与资源管理。</w:t>
      </w:r>
      <w:r>
        <w:rPr>
          <w:rFonts w:hint="eastAsia" w:ascii="仿宋_GB2312" w:hAnsi="仿宋_GB2312" w:eastAsia="仿宋_GB2312" w:cs="仿宋_GB2312"/>
          <w:b w:val="0"/>
          <w:color w:val="000000"/>
          <w:sz w:val="30"/>
        </w:rPr>
        <w:t>梳理官网栏目、资源目录、业务文档及附件和相关系统接口，登记来源、责任主体、更新方式、访问权限与适用范围，建立数据和知识资源清单。按授权接入必要内容，支持增量同步、失败重试和变更记录；明确原始资料、加工成果和对外服务之间的对应关系。</w:t>
      </w:r>
    </w:p>
    <w:p w14:paraId="16E16BDE">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bCs/>
          <w:color w:val="000000"/>
          <w:sz w:val="30"/>
        </w:rPr>
        <w:t>（二）规范结构化数据治理。</w:t>
      </w:r>
      <w:r>
        <w:rPr>
          <w:rFonts w:hint="eastAsia" w:ascii="仿宋_GB2312" w:hAnsi="仿宋_GB2312" w:eastAsia="仿宋_GB2312" w:cs="仿宋_GB2312"/>
          <w:b w:val="0"/>
          <w:color w:val="000000"/>
          <w:sz w:val="30"/>
        </w:rPr>
        <w:t>针对资源、场景、项目等对象，统一标识、分类字典、字段语义、关联关系和统计口径，检查缺失、重复、冲突及格式问题。开放标识、共享属性、用户权限和可办理状态分别管理；场景阶段与通知有效期分别维护。经业务确认后发布查询视图与接口，并通过标准用例复核数量、筛选及汇总结果。</w:t>
      </w:r>
    </w:p>
    <w:p w14:paraId="02FA9F48">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sz w:val="30"/>
        </w:rPr>
        <w:t>（三）完善非结构化知识与图谱治理。</w:t>
      </w:r>
      <w:r>
        <w:rPr>
          <w:rFonts w:hint="eastAsia" w:ascii="仿宋_GB2312" w:hAnsi="仿宋_GB2312" w:eastAsia="仿宋_GB2312" w:cs="仿宋_GB2312"/>
          <w:b w:val="0"/>
          <w:sz w:val="30"/>
        </w:rPr>
        <w:t>对网页、政策指南、文档和附件开展正文清洗、版面及表格解析、语义分段、分类标注与原文定位，保留标题层级和适用条件。区分正式文件、解读、新闻和参考资料，围绕重点场景提取政策、事项、资源、项目和机构关系，进行实体对齐与业务核验；每条关系关联来源、版本、有效范围及访问权限。原文、知识片段和图谱关系同步维护，未经确认的抽取结果不直接作为正式依据，不预设一次性构建全站图谱。</w:t>
      </w:r>
    </w:p>
    <w:p w14:paraId="677302EF">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sz w:val="30"/>
        </w:rPr>
        <w:t>（四）统一发布与持续运营。</w:t>
      </w:r>
      <w:r>
        <w:rPr>
          <w:rFonts w:hint="eastAsia" w:ascii="仿宋_GB2312" w:hAnsi="仿宋_GB2312" w:eastAsia="仿宋_GB2312" w:cs="仿宋_GB2312"/>
          <w:b w:val="0"/>
          <w:sz w:val="30"/>
        </w:rPr>
        <w:t>建立权限配置、审核发布、有效期、版本管理、下线回退及调用追溯机制，分别输出知识检索、图谱关系查询和结构化统计服务，由Harness按任务调用。资料或规则变更后，联动更新知识片段、图谱关系、检索索引、查询配置与前台提示；用户纠错、无结果问题和人工经验进入待审核修订。</w:t>
      </w:r>
    </w:p>
    <w:p w14:paraId="74D3456F">
      <w:pPr>
        <w:pStyle w:val="3"/>
        <w:keepNext/>
        <w:spacing w:before="160" w:after="80" w:line="520" w:lineRule="exact"/>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28"/>
        </w:rPr>
        <w:t>五、以Harness工程为核心的智能体运行与编排体系</w:t>
      </w:r>
    </w:p>
    <w:p w14:paraId="0549562E">
      <w:pPr>
        <w:keepNext w:val="0"/>
        <w:keepLines w:val="0"/>
        <w:widowControl/>
        <w:spacing w:before="0" w:after="40" w:line="460" w:lineRule="exact"/>
        <w:ind w:firstLine="600"/>
        <w:jc w:val="both"/>
        <w:rPr>
          <w:rFonts w:hint="eastAsia" w:ascii="仿宋_GB2312" w:hAnsi="仿宋_GB2312" w:eastAsia="仿宋_GB2312" w:cs="仿宋_GB2312"/>
          <w:b w:val="0"/>
          <w:sz w:val="30"/>
        </w:rPr>
      </w:pPr>
      <w:r>
        <w:rPr>
          <w:rFonts w:hint="eastAsia" w:ascii="仿宋_GB2312" w:hAnsi="仿宋_GB2312" w:eastAsia="仿宋_GB2312" w:cs="仿宋_GB2312"/>
          <w:b w:val="0"/>
          <w:sz w:val="30"/>
        </w:rPr>
        <w:t>技术架构拟采用以智能体</w:t>
      </w:r>
      <w:r>
        <w:rPr>
          <w:rFonts w:hint="eastAsia" w:ascii="仿宋_GB2312" w:hAnsi="仿宋_GB2312" w:eastAsia="仿宋_GB2312" w:cs="仿宋_GB2312"/>
          <w:b w:val="0"/>
          <w:sz w:val="30"/>
          <w:lang w:val="en-US" w:eastAsia="zh-CN"/>
        </w:rPr>
        <w:t>运行与编排</w:t>
      </w:r>
      <w:r>
        <w:rPr>
          <w:rFonts w:hint="eastAsia" w:ascii="仿宋_GB2312" w:hAnsi="仿宋_GB2312" w:eastAsia="仿宋_GB2312" w:cs="仿宋_GB2312"/>
          <w:b w:val="0"/>
          <w:sz w:val="30"/>
        </w:rPr>
        <w:t>工程（Agent Harness）为核心的建设路线，在“合合”统一入口后按场景组织专业智能体，统筹任务执行、上下文、工具、技能、沙箱、模型适配和运行评测。知识图谱与检索增强生成（RAG）作为可复用的知识工具，ReAct作为复杂任务的推理与行动交替执行机制，固定工作流承接规则明确的办理环节。</w:t>
      </w:r>
    </w:p>
    <w:p w14:paraId="2083F612">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sz w:val="30"/>
        </w:rPr>
        <w:t>（一）统一调度任务，兼顾动态探索与确定性执行。</w:t>
      </w:r>
      <w:r>
        <w:rPr>
          <w:rFonts w:hint="eastAsia" w:ascii="仿宋_GB2312" w:hAnsi="仿宋_GB2312" w:eastAsia="仿宋_GB2312" w:cs="仿宋_GB2312"/>
          <w:b w:val="0"/>
          <w:sz w:val="30"/>
        </w:rPr>
        <w:t>根据意图、复杂度和风险分配执行路径：常见咨询直接调用知识工具，目录统计采用受控查询，复杂资源匹配采用ReAct循环，依据工具返回结果补充检索、调整计划和核验结论。对信息核对、正式提交和补正等环节，采用状态化工作流，设置用户确认、暂停恢复和人工接续节点。统一限制执行轮次、时间与成本，达到边界时停止或转交处理，不要求所有任务经过长链路推理。</w:t>
      </w:r>
      <w:r>
        <w:rPr>
          <w:rFonts w:hint="eastAsia" w:ascii="仿宋_GB2312" w:hAnsi="仿宋_GB2312" w:eastAsia="仿宋_GB2312" w:cs="仿宋_GB2312"/>
          <w:sz w:val="18"/>
          <w:vertAlign w:val="superscript"/>
        </w:rPr>
        <w:footnoteReference w:id="1"/>
      </w:r>
    </w:p>
    <w:p w14:paraId="7EF868D6">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sz w:val="30"/>
        </w:rPr>
        <w:t>（二）加强上下文与分级记忆管理。</w:t>
      </w:r>
      <w:r>
        <w:rPr>
          <w:rFonts w:hint="eastAsia" w:ascii="仿宋_GB2312" w:hAnsi="仿宋_GB2312" w:eastAsia="仿宋_GB2312" w:cs="仿宋_GB2312"/>
          <w:b w:val="0"/>
          <w:sz w:val="30"/>
        </w:rPr>
        <w:t>统一维护当前页面、任务目标、资源标识、筛选条件和草稿版本，结合经鉴权的用户与项目范围按需装配上下文。区分会话记录、任务状态和经授权的长期偏好，对长对话实施摘要压缩与来源引用，关键字段和提交确认保存在独立状态记录中，不仅依靠模型摘要恢复。信息切换及时提示，敏感资料按需使用、分域隔离，并提供清理机制；真实权限与业务状态仍从原系统校验。</w:t>
      </w:r>
    </w:p>
    <w:p w14:paraId="637A0ACB">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sz w:val="30"/>
        </w:rPr>
        <w:t>（三）建设知识图谱与RAG相结合的知识工具。</w:t>
      </w:r>
      <w:r>
        <w:rPr>
          <w:rFonts w:hint="eastAsia" w:ascii="仿宋_GB2312" w:hAnsi="仿宋_GB2312" w:eastAsia="仿宋_GB2312" w:cs="仿宋_GB2312"/>
          <w:b w:val="0"/>
          <w:sz w:val="30"/>
        </w:rPr>
        <w:t>围绕首批场景组织“政策—事项—资源—项目—机构”等实体关系，关联原始条款、目录记录及有效版本，为服务条件解释和跨资源推荐提供支撑。查询时结合关键词、向量检索、图谱关系扩展与结果重排，返回可定位原文的证据和关联路径；简单问题可直接检索，复杂问题由ReAct按需多次调用。图谱关系须有来源并经核验，不据此自动判定资格。精确数量和汇总由独立的结构化查询工具计算，不以图谱摘要或生成回答代替统计结果。</w:t>
      </w:r>
      <w:r>
        <w:rPr>
          <w:rFonts w:hint="eastAsia" w:ascii="仿宋_GB2312" w:hAnsi="仿宋_GB2312" w:eastAsia="仿宋_GB2312" w:cs="仿宋_GB2312"/>
          <w:sz w:val="18"/>
          <w:vertAlign w:val="superscript"/>
        </w:rPr>
        <w:footnoteReference w:id="2"/>
      </w:r>
    </w:p>
    <w:p w14:paraId="50D83B07">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sz w:val="30"/>
        </w:rPr>
        <w:t>（四）统一工具治理，推动业务技能复用。</w:t>
      </w:r>
      <w:r>
        <w:rPr>
          <w:rFonts w:hint="eastAsia" w:ascii="仿宋_GB2312" w:hAnsi="仿宋_GB2312" w:eastAsia="仿宋_GB2312" w:cs="仿宋_GB2312"/>
          <w:b w:val="0"/>
          <w:sz w:val="30"/>
        </w:rPr>
        <w:t>将知识检索、图谱查询、目录统计、草稿更新和进度查询等能力统一</w:t>
      </w:r>
      <w:r>
        <w:rPr>
          <w:rFonts w:hint="eastAsia" w:ascii="仿宋_GB2312" w:hAnsi="仿宋_GB2312" w:eastAsia="仿宋_GB2312" w:cs="仿宋_GB2312"/>
          <w:b w:val="0"/>
          <w:sz w:val="30"/>
          <w:lang w:val="en-US" w:eastAsia="zh-CN"/>
        </w:rPr>
        <w:t>注册管理</w:t>
      </w:r>
      <w:r>
        <w:rPr>
          <w:rFonts w:hint="eastAsia" w:ascii="仿宋_GB2312" w:hAnsi="仿宋_GB2312" w:eastAsia="仿宋_GB2312" w:cs="仿宋_GB2312"/>
          <w:b w:val="0"/>
          <w:sz w:val="30"/>
        </w:rPr>
        <w:t>，明确输入输出、适用范围、权限及版本，通过函数调用或按需封装的模型上下文协议（MCP）接入。将材料核对、资源比较等操作指引、模板和经审核脚本组织为可复用技能（Skills），按任务加载。技能不授予额外权限，正式提交必须经过用户确认和后端校验；确认内容发生变更时重新核对。工具调用不代替业务审批，写入结果未知时先查询确认，防止重复提交。</w:t>
      </w:r>
      <w:r>
        <w:rPr>
          <w:rFonts w:hint="eastAsia" w:ascii="仿宋_GB2312" w:hAnsi="仿宋_GB2312" w:eastAsia="仿宋_GB2312" w:cs="仿宋_GB2312"/>
          <w:sz w:val="18"/>
          <w:vertAlign w:val="superscript"/>
        </w:rPr>
        <w:footnoteReference w:id="3"/>
      </w:r>
    </w:p>
    <w:p w14:paraId="522BF901">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sz w:val="30"/>
        </w:rPr>
        <w:t>（五）完善沙箱执行与产物管理。</w:t>
      </w:r>
      <w:r>
        <w:rPr>
          <w:rFonts w:hint="eastAsia" w:ascii="仿宋_GB2312" w:hAnsi="仿宋_GB2312" w:eastAsia="仿宋_GB2312" w:cs="仿宋_GB2312"/>
          <w:b w:val="0"/>
          <w:sz w:val="30"/>
        </w:rPr>
        <w:t>对附件解析、授权数据整理、资源对比表和申请材料草稿生成等需要文件或代码处理的任务，提供按任务隔离的执行环境，限制文件、网络及计算资源范围。统一管理临时文件、产物版本、来源和访问权限，核验结果后交付用户。扫描件和复杂表格按需调用识别能力，抽取结果进入审核流程。沙箱不持有不必要的生产凭据，不绕过业务工具直接写入生产系统，普通问答与查询不强制进入沙箱。</w:t>
      </w:r>
    </w:p>
    <w:p w14:paraId="255463B3">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sz w:val="30"/>
        </w:rPr>
        <w:t>（六）适配多类模型，保持前台交互一致。</w:t>
      </w:r>
      <w:r>
        <w:rPr>
          <w:rFonts w:hint="eastAsia" w:ascii="仿宋_GB2312" w:hAnsi="仿宋_GB2312" w:eastAsia="仿宋_GB2312" w:cs="仿宋_GB2312"/>
          <w:b w:val="0"/>
          <w:sz w:val="30"/>
        </w:rPr>
        <w:t>统一接入对话与推理、向量化、重排及按需使用的多模态能力，验证工具调用、结构化输出和流式响应的兼容性，按任务选择模型。通过任务事件驱动前台的查询结果、草稿字段、待确认卡片和办理反馈，保持左侧办理页面与右侧助手使用同一任务状态。更换模型或降级处理不得放宽原有权限、校验和输出要求，避免模型切换造成服务口径和字段内容不一致。</w:t>
      </w:r>
    </w:p>
    <w:p w14:paraId="26AC41D5">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sz w:val="30"/>
        </w:rPr>
        <w:t>（七）建立可观测运行与持续评测机制。</w:t>
      </w:r>
      <w:r>
        <w:rPr>
          <w:rFonts w:hint="eastAsia" w:ascii="仿宋_GB2312" w:hAnsi="仿宋_GB2312" w:eastAsia="仿宋_GB2312" w:cs="仿宋_GB2312"/>
          <w:b w:val="0"/>
          <w:sz w:val="30"/>
        </w:rPr>
        <w:t>按任务记录工具调用、证据来源、模型及技能版本、耗时、成本、异常和人工接续情况，保留必要的审计记录。设置普通RAG、图谱增强和受控ReAct的对照测试，检验依据准确性、查询口径、草稿修改、恢复与补正、防重复提交及越权防护。前台展示任务阶段、执行结果和待确认事项，不要求展示模型内部推理。反馈经复核后用于调整知识、技能和配置，通过回归测试后发布，不让智能体自行改写生产规则。</w:t>
      </w:r>
    </w:p>
    <w:p w14:paraId="09E499DC">
      <w:pPr>
        <w:pStyle w:val="3"/>
        <w:keepNext/>
        <w:spacing w:before="160" w:after="80" w:line="52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color w:val="000000"/>
          <w:sz w:val="32"/>
          <w:lang w:val="en-US" w:eastAsia="zh-CN"/>
        </w:rPr>
        <w:t>六</w:t>
      </w:r>
      <w:r>
        <w:rPr>
          <w:rFonts w:hint="eastAsia" w:ascii="仿宋_GB2312" w:hAnsi="仿宋_GB2312" w:eastAsia="仿宋_GB2312" w:cs="仿宋_GB2312"/>
          <w:b/>
          <w:color w:val="000000"/>
          <w:sz w:val="32"/>
        </w:rPr>
        <w:t>、当前工作进展和下一步安排</w:t>
      </w:r>
    </w:p>
    <w:p w14:paraId="49452432">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sz w:val="30"/>
        </w:rPr>
        <w:t>目前，相关工作处于方案研究和原型设计阶段，正在梳理数智北京创新中心整个网站的数据内容、资源目录和办理场景，核对来源、更新方式、业务条件与接口情况；同步开展数据治理方案编制、合合助手交互原型设计，以及Harness运行体系、知识图谱与RAG、受控ReAct和工作流等技术路线论证，逐步明确建设范围和实现方式。现有材料用于需求讨论与方案比选，不作为生产系统建成或真实业务接通的证明。</w:t>
      </w:r>
    </w:p>
    <w:p w14:paraId="2F222E30">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color w:val="000000"/>
          <w:sz w:val="30"/>
        </w:rPr>
        <w:t>一是选择重点场景，优化设计方案。</w:t>
      </w:r>
      <w:r>
        <w:rPr>
          <w:rFonts w:hint="eastAsia" w:ascii="仿宋_GB2312" w:hAnsi="仿宋_GB2312" w:eastAsia="仿宋_GB2312" w:cs="仿宋_GB2312"/>
          <w:b w:val="0"/>
          <w:color w:val="000000"/>
          <w:sz w:val="30"/>
        </w:rPr>
        <w:t>结合用户需求、数据基础和接口成熟度，从咨询问答、资源目录查询、需求登记或资源申请准备等方向遴选代表性场景，与业务人员共同确认服务目标、知识口径、办理规则和评测用例，进一步优化对话交互、任务衔接及异常处理设计。</w:t>
      </w:r>
    </w:p>
    <w:p w14:paraId="48A1DB86">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color w:val="000000"/>
          <w:sz w:val="30"/>
        </w:rPr>
        <w:t>二是开展试点开发，验证实际效果。</w:t>
      </w:r>
      <w:r>
        <w:rPr>
          <w:rFonts w:hint="eastAsia" w:ascii="仿宋_GB2312" w:hAnsi="仿宋_GB2312" w:eastAsia="仿宋_GB2312" w:cs="仿宋_GB2312"/>
          <w:b w:val="0"/>
          <w:color w:val="000000"/>
          <w:sz w:val="30"/>
        </w:rPr>
        <w:t>围绕选定场景治理首批数据与知识，接入所需模型、检索查询服务和具备条件的业务接口，开发可操作的试点应用。邀请业务人员和代表用户，以真实任务或经脱敏的测试任务验证答复依据、查询准确性、信息修改、办理反馈及响应体验，形成效果记录和问题清单。未接通环节明确标示演示或人工办理。</w:t>
      </w:r>
    </w:p>
    <w:p w14:paraId="25605760">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bCs/>
          <w:sz w:val="30"/>
        </w:rPr>
        <w:t>三是根据试点反馈，完善技术路线。</w:t>
      </w:r>
      <w:r>
        <w:rPr>
          <w:rFonts w:hint="eastAsia" w:ascii="仿宋_GB2312" w:hAnsi="仿宋_GB2312" w:eastAsia="仿宋_GB2312" w:cs="仿宋_GB2312"/>
          <w:b w:val="0"/>
          <w:sz w:val="30"/>
        </w:rPr>
        <w:t>对普通RAG、图谱增强检索、受控ReAct和固定工作流开展场景化对照，综合评估准确性、稳定性、安全性、使用体验及运行成本，明确各执行路径的适用边界，完善模型适配、工具技能和治理方案</w:t>
      </w:r>
      <w:bookmarkStart w:id="0" w:name="_GoBack"/>
      <w:bookmarkEnd w:id="0"/>
      <w:r>
        <w:rPr>
          <w:rFonts w:hint="eastAsia" w:ascii="仿宋_GB2312" w:hAnsi="仿宋_GB2312" w:eastAsia="仿宋_GB2312" w:cs="仿宋_GB2312"/>
          <w:b w:val="0"/>
          <w:sz w:val="30"/>
        </w:rPr>
        <w:t>。在效果可验证、条件成熟的基础上逐步扩展，不以界面展示或对话数量替代实际服务效果。</w:t>
      </w:r>
    </w:p>
    <w:p w14:paraId="24BF157B">
      <w:pPr>
        <w:keepNext w:val="0"/>
        <w:keepLines w:val="0"/>
        <w:widowControl/>
        <w:spacing w:before="0" w:after="40" w:line="46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color w:val="000000"/>
          <w:sz w:val="30"/>
        </w:rPr>
        <w:t>通过上述工作，逐步形成以高质量数据和知识为支撑、以AI工程为实现手段、与中心业务协同运行的智能服务能力，为创新主体开展数据融合创新、项目验证和成果转化提供便利。</w:t>
      </w:r>
    </w:p>
    <w:p w14:paraId="7262CFF3">
      <w:pPr>
        <w:keepNext w:val="0"/>
        <w:keepLines w:val="0"/>
        <w:widowControl/>
        <w:spacing w:before="120" w:after="0" w:line="340" w:lineRule="exact"/>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30"/>
        </w:rPr>
        <w:t>附件：整体架构、Harness能力分工、工作台交互原型及数据知识治理设计（图表1—11）</w:t>
      </w:r>
    </w:p>
    <w:p w14:paraId="187DEDB3">
      <w:pPr>
        <w:jc w:val="both"/>
        <w:rPr>
          <w:rFonts w:hint="eastAsia" w:ascii="仿宋_GB2312" w:hAnsi="仿宋_GB2312" w:eastAsia="仿宋_GB2312" w:cs="仿宋_GB2312"/>
        </w:rPr>
        <w:sectPr>
          <w:headerReference r:id="rId5" w:type="default"/>
          <w:footerReference r:id="rId6" w:type="default"/>
          <w:pgSz w:w="11906" w:h="16838"/>
          <w:pgMar w:top="1361" w:right="1417" w:bottom="1247" w:left="1417" w:header="595" w:footer="510" w:gutter="0"/>
          <w:cols w:space="720" w:num="1"/>
          <w:docGrid w:linePitch="360" w:charSpace="0"/>
        </w:sectPr>
      </w:pPr>
    </w:p>
    <w:p w14:paraId="78D56083">
      <w:pPr>
        <w:pStyle w:val="3"/>
        <w:keepNext/>
        <w:pageBreakBefore w:val="0"/>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34"/>
        </w:rPr>
        <w:t>图1  合合助手整体架构</w:t>
      </w:r>
    </w:p>
    <w:p w14:paraId="07F94541">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9359900" cy="5180330"/>
            <wp:effectExtent l="0" t="0" r="1270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9360000" cy="5180729"/>
                    </a:xfrm>
                    <a:prstGeom prst="rect">
                      <a:avLst/>
                    </a:prstGeom>
                  </pic:spPr>
                </pic:pic>
              </a:graphicData>
            </a:graphic>
          </wp:inline>
        </w:drawing>
      </w:r>
    </w:p>
    <w:p w14:paraId="4DE481D0">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0"/>
        </w:rPr>
        <w:t>沿用五层架构，以数据和知识治理支撑服务，以Harness组织任务执行。A1—A7为协作能力，不是每个任务必须依次经过的七个步骤。正式身份、权限、受理和审批仍由既有系统负责。图中为建设规划。</w:t>
      </w:r>
    </w:p>
    <w:p w14:paraId="5E76DAC3">
      <w:pPr>
        <w:pStyle w:val="3"/>
        <w:keepNext/>
        <w:pageBreakBefore/>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34"/>
        </w:rPr>
        <w:t>表2  Harness能力与业务场景的对应关系</w:t>
      </w:r>
    </w:p>
    <w:p w14:paraId="6621BD5F">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常见咨询走知识检索短路径，精确统计调用受控查询，复杂匹配按需使用ReAct，正式办理采用带确认节点的工作流。以下为建设设计，当前前端原型未实现完整Harness。</w:t>
      </w:r>
    </w:p>
    <w:tbl>
      <w:tblPr>
        <w:tblStyle w:val="32"/>
        <w:tblW w:w="0" w:type="auto"/>
        <w:jc w:val="center"/>
        <w:tblLayout w:type="fixed"/>
        <w:tblCellMar>
          <w:top w:w="0" w:type="dxa"/>
          <w:left w:w="108" w:type="dxa"/>
          <w:bottom w:w="0" w:type="dxa"/>
          <w:right w:w="108" w:type="dxa"/>
        </w:tblCellMar>
      </w:tblPr>
      <w:tblGrid>
        <w:gridCol w:w="2381"/>
        <w:gridCol w:w="4819"/>
        <w:gridCol w:w="7370"/>
      </w:tblGrid>
      <w:tr w14:paraId="7F9D5B10">
        <w:trPr>
          <w:cantSplit/>
          <w:tblHeader/>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DBEAF7"/>
            <w:tcMar>
              <w:top w:w="100" w:type="dxa"/>
              <w:left w:w="100" w:type="dxa"/>
              <w:bottom w:w="100" w:type="dxa"/>
              <w:right w:w="100" w:type="dxa"/>
            </w:tcMar>
            <w:vAlign w:val="center"/>
          </w:tcPr>
          <w:p w14:paraId="0B6684A4">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22"/>
              </w:rPr>
              <w:t>能力</w:t>
            </w:r>
          </w:p>
        </w:tc>
        <w:tc>
          <w:tcPr>
            <w:tcW w:w="4819" w:type="dxa"/>
            <w:tcBorders>
              <w:top w:val="single" w:color="D9D9D9" w:sz="4" w:space="0"/>
              <w:left w:val="single" w:color="D9D9D9" w:sz="4" w:space="0"/>
              <w:bottom w:val="single" w:color="D9D9D9" w:sz="4" w:space="0"/>
              <w:right w:val="single" w:color="D9D9D9" w:sz="4" w:space="0"/>
            </w:tcBorders>
            <w:shd w:val="clear" w:color="auto" w:fill="DBEAF7"/>
            <w:tcMar>
              <w:top w:w="100" w:type="dxa"/>
              <w:left w:w="100" w:type="dxa"/>
              <w:bottom w:w="100" w:type="dxa"/>
              <w:right w:w="100" w:type="dxa"/>
            </w:tcMar>
            <w:vAlign w:val="center"/>
          </w:tcPr>
          <w:p w14:paraId="072F097A">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22"/>
              </w:rPr>
              <w:t>承担的职责</w:t>
            </w:r>
          </w:p>
        </w:tc>
        <w:tc>
          <w:tcPr>
            <w:tcW w:w="7370" w:type="dxa"/>
            <w:tcBorders>
              <w:top w:val="single" w:color="D9D9D9" w:sz="4" w:space="0"/>
              <w:left w:val="single" w:color="D9D9D9" w:sz="4" w:space="0"/>
              <w:bottom w:val="single" w:color="D9D9D9" w:sz="4" w:space="0"/>
              <w:right w:val="single" w:color="D9D9D9" w:sz="4" w:space="0"/>
            </w:tcBorders>
            <w:shd w:val="clear" w:color="auto" w:fill="DBEAF7"/>
            <w:tcMar>
              <w:top w:w="100" w:type="dxa"/>
              <w:left w:w="100" w:type="dxa"/>
              <w:bottom w:w="100" w:type="dxa"/>
              <w:right w:w="100" w:type="dxa"/>
            </w:tcMar>
            <w:vAlign w:val="center"/>
          </w:tcPr>
          <w:p w14:paraId="03935967">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22"/>
              </w:rPr>
              <w:t>业务体现与控制点</w:t>
            </w:r>
          </w:p>
        </w:tc>
      </w:tr>
      <w:tr w14:paraId="1D72D4EC">
        <w:trPr>
          <w:cantSplit/>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0E2A14C7">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A1 执行控制</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658784E1">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任务分流、计划、暂停恢复</w:t>
            </w:r>
          </w:p>
        </w:tc>
        <w:tc>
          <w:tcPr>
            <w:tcW w:w="7370"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2E8EA768">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咨询、查询、办理按复杂度分流；超时或异常停止并接续人工。</w:t>
            </w:r>
          </w:p>
        </w:tc>
      </w:tr>
      <w:tr w14:paraId="0DAC4441">
        <w:trPr>
          <w:cantSplit/>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512F6DCB">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A2 上下文与记忆</w:t>
            </w:r>
          </w:p>
        </w:tc>
        <w:tc>
          <w:tcPr>
            <w:tcW w:w="4819"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3BBD911F">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页面对象、筛选条件、草稿版本</w:t>
            </w:r>
          </w:p>
        </w:tc>
        <w:tc>
          <w:tcPr>
            <w:tcW w:w="7370"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15C0E8D1">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614→569→38保持筛选范围；改动字段后废止原提交确认。</w:t>
            </w:r>
          </w:p>
        </w:tc>
      </w:tr>
      <w:tr w14:paraId="44D66999">
        <w:trPr>
          <w:cantSplit/>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0D72B06E">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A3 工具执行与MCP</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39EDD62D">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注册工具、校验参数、授权调用</w:t>
            </w:r>
          </w:p>
        </w:tc>
        <w:tc>
          <w:tcPr>
            <w:tcW w:w="7370"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1CF19611">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目录只读查询；身份与进度按授权查询；正式提交经受控接口。</w:t>
            </w:r>
          </w:p>
        </w:tc>
      </w:tr>
      <w:tr w14:paraId="63EA00C4">
        <w:trPr>
          <w:cantSplit/>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452AE6AD">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A4 Skills工程</w:t>
            </w:r>
          </w:p>
        </w:tc>
        <w:tc>
          <w:tcPr>
            <w:tcW w:w="4819"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7214D944">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复用业务指引、材料模板、审核规则</w:t>
            </w:r>
          </w:p>
        </w:tc>
        <w:tc>
          <w:tcPr>
            <w:tcW w:w="7370"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121D332E">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管理员条件自查、批次核验、四字段反馈与组件缺项检查。</w:t>
            </w:r>
          </w:p>
        </w:tc>
      </w:tr>
      <w:tr w14:paraId="2BBBF5BD">
        <w:trPr>
          <w:cantSplit/>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40769EE7">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A5 沙箱与产物</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70E92D44">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隔离解析文件并管理版本与权限</w:t>
            </w:r>
          </w:p>
        </w:tc>
        <w:tc>
          <w:tcPr>
            <w:tcW w:w="7370"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7131C9C0">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附件解析形成候选字段；材料原文、版本和用户修改可以追溯。</w:t>
            </w:r>
          </w:p>
        </w:tc>
      </w:tr>
      <w:tr w14:paraId="1A91BE28">
        <w:trPr>
          <w:cantSplit/>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5B07BF9E">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A6 模型适配</w:t>
            </w:r>
          </w:p>
        </w:tc>
        <w:tc>
          <w:tcPr>
            <w:tcW w:w="4819"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7C2BC246">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对话、向量、重排与按需OCR</w:t>
            </w:r>
          </w:p>
        </w:tc>
        <w:tc>
          <w:tcPr>
            <w:tcW w:w="7370"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5C112F05">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模型更换保持工具合同、字段约束和前台任务状态一致。</w:t>
            </w:r>
          </w:p>
        </w:tc>
      </w:tr>
      <w:tr w14:paraId="1A2AC083">
        <w:trPr>
          <w:cantSplit/>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6C2F3B35">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A7 可观测与治理</w:t>
            </w:r>
          </w:p>
        </w:tc>
        <w:tc>
          <w:tcPr>
            <w:tcW w:w="4819"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6C12F0CF">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调用链、异常、评测、成本与人工干预</w:t>
            </w:r>
          </w:p>
        </w:tc>
        <w:tc>
          <w:tcPr>
            <w:tcW w:w="7370"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638F6778">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核验依据、统计一致性、补正同号及防重复提交，不展示内部思维全文。</w:t>
            </w:r>
          </w:p>
        </w:tc>
      </w:tr>
    </w:tbl>
    <w:p w14:paraId="7F36AFB2">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数据和知识管理平台提供审核后的原文、片段、图谱关系和结构化查询服务。图谱＋RAG是知识工具，数量由查询工具计算；技能和模型不能授予额外业务权限。</w:t>
      </w:r>
    </w:p>
    <w:p w14:paraId="55B28EB3">
      <w:pPr>
        <w:pStyle w:val="3"/>
        <w:keepNext/>
        <w:pageBreakBefore/>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34"/>
        </w:rPr>
        <w:t>图3  统一工作台与服务入口</w:t>
      </w:r>
    </w:p>
    <w:p w14:paraId="07DDE267">
      <w:pPr>
        <w:spacing w:before="0" w:after="60" w:line="240" w:lineRule="auto"/>
        <w:ind w:firstLine="0"/>
        <w:jc w:val="both"/>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8459470" cy="5573395"/>
            <wp:effectExtent l="0" t="0" r="2413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8460000" cy="5573939"/>
                    </a:xfrm>
                    <a:prstGeom prst="rect">
                      <a:avLst/>
                    </a:prstGeom>
                  </pic:spPr>
                </pic:pic>
              </a:graphicData>
            </a:graphic>
          </wp:inline>
        </w:drawing>
      </w:r>
    </w:p>
    <w:p w14:paraId="5F65C343">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0"/>
        </w:rPr>
        <w:t>本地原型实截图。蓝白主色与四类彩色卡片保持一致；历史对话置于左侧下方，独立“我的办理”承接申请记录。右上角身份切换仅用于演示，不代表认证。</w:t>
      </w:r>
    </w:p>
    <w:p w14:paraId="2434BCA1">
      <w:pPr>
        <w:pStyle w:val="3"/>
        <w:keepNext/>
        <w:pageBreakBefore/>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34"/>
        </w:rPr>
        <w:t>图4  从资源申请问题进入办理条件自查</w:t>
      </w:r>
    </w:p>
    <w:p w14:paraId="5B7B5746">
      <w:pPr>
        <w:spacing w:before="0" w:after="60" w:line="240" w:lineRule="auto"/>
        <w:ind w:firstLine="0"/>
        <w:jc w:val="both"/>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8459470" cy="5573395"/>
            <wp:effectExtent l="0" t="0" r="2413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8460000" cy="5573939"/>
                    </a:xfrm>
                    <a:prstGeom prst="rect">
                      <a:avLst/>
                    </a:prstGeom>
                  </pic:spPr>
                </pic:pic>
              </a:graphicData>
            </a:graphic>
          </wp:inline>
        </w:drawing>
      </w:r>
    </w:p>
    <w:p w14:paraId="76412AC2">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0"/>
        </w:rPr>
        <w:t>以“没有项目名称”为例，先核对企业关系、项目关系、团队身份与网络环境。自查选择属于用户自述；未接身份接口前，不将其作为正式权限核验结果。</w:t>
      </w:r>
    </w:p>
    <w:p w14:paraId="04BE0F44">
      <w:pPr>
        <w:pStyle w:val="3"/>
        <w:keepNext/>
        <w:pageBreakBefore/>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34"/>
        </w:rPr>
        <w:t>图5  目录连续筛选与同源统计</w:t>
      </w:r>
    </w:p>
    <w:p w14:paraId="594BD7F8">
      <w:pPr>
        <w:spacing w:before="0" w:after="60" w:line="240" w:lineRule="auto"/>
        <w:ind w:firstLine="0"/>
        <w:jc w:val="both"/>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8459470" cy="5573395"/>
            <wp:effectExtent l="0" t="0" r="2413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8460000" cy="5573939"/>
                    </a:xfrm>
                    <a:prstGeom prst="rect">
                      <a:avLst/>
                    </a:prstGeom>
                  </pic:spPr>
                </pic:pic>
              </a:graphicData>
            </a:graphic>
          </wp:inline>
        </w:drawing>
      </w:r>
    </w:p>
    <w:p w14:paraId="7610BED2">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0"/>
        </w:rPr>
        <w:t>2026-09-02快照：交通运输614条→市交通委569条→开放标识为是38条。市交通委全部领域另为583条。目录与图表同源，页面提供比较、收藏、详情与需求准备。</w:t>
      </w:r>
    </w:p>
    <w:p w14:paraId="4D19553D">
      <w:pPr>
        <w:pStyle w:val="3"/>
        <w:keepNext/>
        <w:pageBreakBefore/>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34"/>
        </w:rPr>
        <w:t>图6  场景阶段与申请时效分别核对</w:t>
      </w:r>
    </w:p>
    <w:p w14:paraId="36949F54">
      <w:pPr>
        <w:spacing w:before="0" w:after="60" w:line="240" w:lineRule="auto"/>
        <w:ind w:firstLine="0"/>
        <w:jc w:val="both"/>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8459470" cy="5573395"/>
            <wp:effectExtent l="0" t="0" r="2413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8460000" cy="5573939"/>
                    </a:xfrm>
                    <a:prstGeom prst="rect">
                      <a:avLst/>
                    </a:prstGeom>
                  </pic:spPr>
                </pic:pic>
              </a:graphicData>
            </a:graphic>
          </wp:inline>
        </w:drawing>
      </w:r>
    </w:p>
    <w:p w14:paraId="782BAB66">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0"/>
        </w:rPr>
        <w:t>“旅游团队行程智能监测与执法辅助场景”关联第五批通知；原截止时间2026-08-17 17:00已过。目录阶段仍为“揭榜中”也不能据此承诺当前可提交，延期须另有依据。</w:t>
      </w:r>
    </w:p>
    <w:p w14:paraId="1FBDE032">
      <w:pPr>
        <w:pStyle w:val="3"/>
        <w:keepNext/>
        <w:pageBreakBefore/>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34"/>
        </w:rPr>
        <w:t>图7  等宽办理页面与问答联动</w:t>
      </w:r>
    </w:p>
    <w:p w14:paraId="41B36A6B">
      <w:pPr>
        <w:spacing w:before="0" w:after="60" w:line="240" w:lineRule="auto"/>
        <w:ind w:firstLine="0"/>
        <w:jc w:val="both"/>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8459470" cy="5573395"/>
            <wp:effectExtent l="0" t="0" r="2413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8460000" cy="5573939"/>
                    </a:xfrm>
                    <a:prstGeom prst="rect">
                      <a:avLst/>
                    </a:prstGeom>
                  </pic:spPr>
                </pic:pic>
              </a:graphicData>
            </a:graphic>
          </wp:inline>
        </w:drawing>
      </w:r>
    </w:p>
    <w:p w14:paraId="59416C29">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0"/>
        </w:rPr>
        <w:t>沿用官网独立需求反馈的四项必填字段。资源对象随草稿保留；对话修改指定字段，其他字段保持不变，人工也可直接编辑。图中单位、联系人和电话为测试示例。</w:t>
      </w:r>
    </w:p>
    <w:p w14:paraId="36FF3C07">
      <w:pPr>
        <w:pStyle w:val="3"/>
        <w:keepNext/>
        <w:pageBreakBefore/>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34"/>
        </w:rPr>
        <w:t>图8  提交前整体核对与明确确认</w:t>
      </w:r>
    </w:p>
    <w:p w14:paraId="0929562D">
      <w:pPr>
        <w:spacing w:before="0" w:after="60" w:line="240" w:lineRule="auto"/>
        <w:ind w:firstLine="0"/>
        <w:jc w:val="both"/>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8459470" cy="5573395"/>
            <wp:effectExtent l="0" t="0" r="2413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8460000" cy="5573939"/>
                    </a:xfrm>
                    <a:prstGeom prst="rect">
                      <a:avLst/>
                    </a:prstGeom>
                  </pic:spPr>
                </pic:pic>
              </a:graphicData>
            </a:graphic>
          </wp:inline>
        </w:drawing>
      </w:r>
    </w:p>
    <w:p w14:paraId="5B8A530C">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0"/>
        </w:rPr>
        <w:t>修改会使旧确认失效，用户需核对当前版本后再确认。本页仅完成本地模拟提交；正式接入还需服务端鉴权、规则校验、幂等、审计及原系统结果查询。</w:t>
      </w:r>
    </w:p>
    <w:p w14:paraId="0BF43BC7">
      <w:pPr>
        <w:pStyle w:val="3"/>
        <w:keepNext/>
        <w:pageBreakBefore/>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34"/>
        </w:rPr>
        <w:t>图9  独立的我的办理页面</w:t>
      </w:r>
    </w:p>
    <w:p w14:paraId="7304F36D">
      <w:pPr>
        <w:spacing w:before="0" w:after="60" w:line="240" w:lineRule="auto"/>
        <w:ind w:firstLine="0"/>
        <w:jc w:val="both"/>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8459470" cy="5573395"/>
            <wp:effectExtent l="0" t="0" r="2413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8460000" cy="5573939"/>
                    </a:xfrm>
                    <a:prstGeom prst="rect">
                      <a:avLst/>
                    </a:prstGeom>
                  </pic:spPr>
                </pic:pic>
              </a:graphicData>
            </a:graphic>
          </wp:inline>
        </w:drawing>
      </w:r>
    </w:p>
    <w:p w14:paraId="6BC91169">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0"/>
        </w:rPr>
        <w:t>集中展示当前身份下的记录、待补充事项和草稿，按状态筛选或按事项和编号搜索。图中为本次访问产生的模拟记录；补充材料返回原任务，并保留同一编号。</w:t>
      </w:r>
    </w:p>
    <w:p w14:paraId="1CD9E01F">
      <w:pPr>
        <w:pStyle w:val="3"/>
        <w:keepNext/>
        <w:pageBreakBefore/>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34"/>
        </w:rPr>
        <w:t>表10  结构化目录治理与验证基线</w:t>
      </w:r>
    </w:p>
    <w:p w14:paraId="7A57A0AB">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后台由授权数据治理人员维护来源、字典、字段映射和查询版本，业务责任方核定统计口径。下列数据来自附件快照复算，不是生产接口验收值。</w:t>
      </w:r>
    </w:p>
    <w:tbl>
      <w:tblPr>
        <w:tblStyle w:val="32"/>
        <w:tblW w:w="0" w:type="auto"/>
        <w:jc w:val="center"/>
        <w:tblLayout w:type="fixed"/>
        <w:tblCellMar>
          <w:top w:w="0" w:type="dxa"/>
          <w:left w:w="108" w:type="dxa"/>
          <w:bottom w:w="0" w:type="dxa"/>
          <w:right w:w="108" w:type="dxa"/>
        </w:tblCellMar>
      </w:tblPr>
      <w:tblGrid>
        <w:gridCol w:w="2268"/>
        <w:gridCol w:w="4139"/>
        <w:gridCol w:w="1361"/>
        <w:gridCol w:w="6803"/>
      </w:tblGrid>
      <w:tr w14:paraId="1B6B54FE">
        <w:trPr>
          <w:cantSplit/>
          <w:tblHeader/>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DBEAF7"/>
            <w:tcMar>
              <w:top w:w="100" w:type="dxa"/>
              <w:left w:w="100" w:type="dxa"/>
              <w:bottom w:w="100" w:type="dxa"/>
              <w:right w:w="100" w:type="dxa"/>
            </w:tcMar>
            <w:vAlign w:val="center"/>
          </w:tcPr>
          <w:p w14:paraId="17CEED44">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22"/>
              </w:rPr>
              <w:t>核对对象</w:t>
            </w:r>
          </w:p>
        </w:tc>
        <w:tc>
          <w:tcPr>
            <w:tcW w:w="4139" w:type="dxa"/>
            <w:tcBorders>
              <w:top w:val="single" w:color="D9D9D9" w:sz="4" w:space="0"/>
              <w:left w:val="single" w:color="D9D9D9" w:sz="4" w:space="0"/>
              <w:bottom w:val="single" w:color="D9D9D9" w:sz="4" w:space="0"/>
              <w:right w:val="single" w:color="D9D9D9" w:sz="4" w:space="0"/>
            </w:tcBorders>
            <w:shd w:val="clear" w:color="auto" w:fill="DBEAF7"/>
            <w:tcMar>
              <w:top w:w="100" w:type="dxa"/>
              <w:left w:w="100" w:type="dxa"/>
              <w:bottom w:w="100" w:type="dxa"/>
              <w:right w:w="100" w:type="dxa"/>
            </w:tcMar>
            <w:vAlign w:val="center"/>
          </w:tcPr>
          <w:p w14:paraId="413EC1CA">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22"/>
              </w:rPr>
              <w:t>查询范围</w:t>
            </w:r>
          </w:p>
        </w:tc>
        <w:tc>
          <w:tcPr>
            <w:tcW w:w="1361" w:type="dxa"/>
            <w:tcBorders>
              <w:top w:val="single" w:color="D9D9D9" w:sz="4" w:space="0"/>
              <w:left w:val="single" w:color="D9D9D9" w:sz="4" w:space="0"/>
              <w:bottom w:val="single" w:color="D9D9D9" w:sz="4" w:space="0"/>
              <w:right w:val="single" w:color="D9D9D9" w:sz="4" w:space="0"/>
            </w:tcBorders>
            <w:shd w:val="clear" w:color="auto" w:fill="DBEAF7"/>
            <w:tcMar>
              <w:top w:w="100" w:type="dxa"/>
              <w:left w:w="100" w:type="dxa"/>
              <w:bottom w:w="100" w:type="dxa"/>
              <w:right w:w="100" w:type="dxa"/>
            </w:tcMar>
            <w:vAlign w:val="center"/>
          </w:tcPr>
          <w:p w14:paraId="10235287">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22"/>
              </w:rPr>
              <w:t>记录数</w:t>
            </w:r>
          </w:p>
        </w:tc>
        <w:tc>
          <w:tcPr>
            <w:tcW w:w="6803" w:type="dxa"/>
            <w:tcBorders>
              <w:top w:val="single" w:color="D9D9D9" w:sz="4" w:space="0"/>
              <w:left w:val="single" w:color="D9D9D9" w:sz="4" w:space="0"/>
              <w:bottom w:val="single" w:color="D9D9D9" w:sz="4" w:space="0"/>
              <w:right w:val="single" w:color="D9D9D9" w:sz="4" w:space="0"/>
            </w:tcBorders>
            <w:shd w:val="clear" w:color="auto" w:fill="DBEAF7"/>
            <w:tcMar>
              <w:top w:w="100" w:type="dxa"/>
              <w:left w:w="100" w:type="dxa"/>
              <w:bottom w:w="100" w:type="dxa"/>
              <w:right w:w="100" w:type="dxa"/>
            </w:tcMar>
            <w:vAlign w:val="center"/>
          </w:tcPr>
          <w:p w14:paraId="54E55501">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22"/>
              </w:rPr>
              <w:t>治理要点</w:t>
            </w:r>
          </w:p>
        </w:tc>
      </w:tr>
      <w:tr w14:paraId="232E14D3">
        <w:trPr>
          <w:cantSplit/>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7D22D586">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政府侧数据</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5825CB3E">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全部公开目录记录</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4D336DBA">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10,659</w:t>
            </w:r>
          </w:p>
        </w:tc>
        <w:tc>
          <w:tcPr>
            <w:tcW w:w="6803"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598C0FDA">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仅目录元数据；不含底层观测数据或自动使用授权。</w:t>
            </w:r>
          </w:p>
        </w:tc>
      </w:tr>
      <w:tr w14:paraId="297617F6">
        <w:trPr>
          <w:cantSplit/>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1E91E2B8">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交通运输</w:t>
            </w:r>
          </w:p>
        </w:tc>
        <w:tc>
          <w:tcPr>
            <w:tcW w:w="4139"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68ED567D">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领域精确匹配</w:t>
            </w:r>
          </w:p>
        </w:tc>
        <w:tc>
          <w:tcPr>
            <w:tcW w:w="1361"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3BB57569">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614</w:t>
            </w:r>
          </w:p>
        </w:tc>
        <w:tc>
          <w:tcPr>
            <w:tcW w:w="6803"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11F1C153">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领域取自原字典，不依据名称关键词替代。</w:t>
            </w:r>
          </w:p>
        </w:tc>
      </w:tr>
      <w:tr w14:paraId="5BD454DA">
        <w:trPr>
          <w:cantSplit/>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73AC435F">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交通运输中的市交通委</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690CD564">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领域＋提供部门</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465BD046">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569</w:t>
            </w:r>
          </w:p>
        </w:tc>
        <w:tc>
          <w:tcPr>
            <w:tcW w:w="6803"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486DE120">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连续筛选保留两项条件。</w:t>
            </w:r>
          </w:p>
        </w:tc>
      </w:tr>
      <w:tr w14:paraId="6BD60D67">
        <w:trPr>
          <w:cantSplit/>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44EC9526">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上述目录中的开放记录</w:t>
            </w:r>
          </w:p>
        </w:tc>
        <w:tc>
          <w:tcPr>
            <w:tcW w:w="4139"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5CE72924">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领域＋部门＋开放标识为是</w:t>
            </w:r>
          </w:p>
        </w:tc>
        <w:tc>
          <w:tcPr>
            <w:tcW w:w="1361"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060236A6">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38</w:t>
            </w:r>
          </w:p>
        </w:tc>
        <w:tc>
          <w:tcPr>
            <w:tcW w:w="6803"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4A3BC251">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开放属性与实际获取权限分别管理。</w:t>
            </w:r>
          </w:p>
        </w:tc>
      </w:tr>
      <w:tr w14:paraId="0B7AD2D1">
        <w:trPr>
          <w:cantSplit/>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054F169D">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市交通委全部领域</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5612E2F3">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只保留提供部门</w:t>
            </w:r>
          </w:p>
        </w:tc>
        <w:tc>
          <w:tcPr>
            <w:tcW w:w="1361"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4CAFB710">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583</w:t>
            </w:r>
          </w:p>
        </w:tc>
        <w:tc>
          <w:tcPr>
            <w:tcW w:w="6803"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01569A9B">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清除领域限制时不能沿用569条的口径。</w:t>
            </w:r>
          </w:p>
        </w:tc>
      </w:tr>
      <w:tr w14:paraId="0DB0ACE7">
        <w:trPr>
          <w:cantSplit/>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70DBA8D9">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场景目录</w:t>
            </w:r>
          </w:p>
        </w:tc>
        <w:tc>
          <w:tcPr>
            <w:tcW w:w="4139"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36C5480C">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揭榜中／对接中／已完成</w:t>
            </w:r>
          </w:p>
        </w:tc>
        <w:tc>
          <w:tcPr>
            <w:tcW w:w="1361"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5463B8BE">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49／37／105</w:t>
            </w:r>
          </w:p>
        </w:tc>
        <w:tc>
          <w:tcPr>
            <w:tcW w:w="6803"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6CB3756A">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目录阶段与通知截止时间、实时受理状态分别管理。</w:t>
            </w:r>
          </w:p>
        </w:tc>
      </w:tr>
    </w:tbl>
    <w:p w14:paraId="74A5FB14">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发布流程：登记来源和责任人，核对标识与字典，检查缺失重复及关联错误，执行标准查询测试，再审核发布。字段或资料变更后重跑受影响用例，保留版本、差异和回退路径。</w:t>
      </w:r>
    </w:p>
    <w:p w14:paraId="3364D726">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当前实现：前端读取必要目录字段并计算上述数量。后续建设：授权查询视图、增量同步、质量规则、审计和服务端权限过滤；不将本地静态文件视为生产数据治理平台。</w:t>
      </w:r>
    </w:p>
    <w:p w14:paraId="26E4CF96">
      <w:pPr>
        <w:pStyle w:val="3"/>
        <w:keepNext/>
        <w:pageBreakBefore/>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34"/>
        </w:rPr>
        <w:t>表11  知识与业务规则治理</w:t>
      </w:r>
    </w:p>
    <w:p w14:paraId="30082930">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从原始网页、问答、政策及附件形成可定位、可审核的知识服务。保留原稿与审核结论，避免未经确认的时间、入口和资格条件进入自动答复。</w:t>
      </w:r>
    </w:p>
    <w:tbl>
      <w:tblPr>
        <w:tblStyle w:val="32"/>
        <w:tblW w:w="0" w:type="auto"/>
        <w:jc w:val="center"/>
        <w:tblLayout w:type="fixed"/>
        <w:tblCellMar>
          <w:top w:w="0" w:type="dxa"/>
          <w:left w:w="108" w:type="dxa"/>
          <w:bottom w:w="0" w:type="dxa"/>
          <w:right w:w="108" w:type="dxa"/>
        </w:tblCellMar>
      </w:tblPr>
      <w:tblGrid>
        <w:gridCol w:w="2268"/>
        <w:gridCol w:w="5102"/>
        <w:gridCol w:w="7200"/>
      </w:tblGrid>
      <w:tr w14:paraId="2DE88026">
        <w:trPr>
          <w:cantSplit/>
          <w:tblHeader/>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DBEAF7"/>
            <w:tcMar>
              <w:top w:w="100" w:type="dxa"/>
              <w:left w:w="100" w:type="dxa"/>
              <w:bottom w:w="100" w:type="dxa"/>
              <w:right w:w="100" w:type="dxa"/>
            </w:tcMar>
            <w:vAlign w:val="center"/>
          </w:tcPr>
          <w:p w14:paraId="18CF9344">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22"/>
              </w:rPr>
              <w:t>治理环节</w:t>
            </w:r>
          </w:p>
        </w:tc>
        <w:tc>
          <w:tcPr>
            <w:tcW w:w="5102" w:type="dxa"/>
            <w:tcBorders>
              <w:top w:val="single" w:color="D9D9D9" w:sz="4" w:space="0"/>
              <w:left w:val="single" w:color="D9D9D9" w:sz="4" w:space="0"/>
              <w:bottom w:val="single" w:color="D9D9D9" w:sz="4" w:space="0"/>
              <w:right w:val="single" w:color="D9D9D9" w:sz="4" w:space="0"/>
            </w:tcBorders>
            <w:shd w:val="clear" w:color="auto" w:fill="DBEAF7"/>
            <w:tcMar>
              <w:top w:w="100" w:type="dxa"/>
              <w:left w:w="100" w:type="dxa"/>
              <w:bottom w:w="100" w:type="dxa"/>
              <w:right w:w="100" w:type="dxa"/>
            </w:tcMar>
            <w:vAlign w:val="center"/>
          </w:tcPr>
          <w:p w14:paraId="1285D801">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22"/>
              </w:rPr>
              <w:t>处理对象</w:t>
            </w:r>
          </w:p>
        </w:tc>
        <w:tc>
          <w:tcPr>
            <w:tcW w:w="7200" w:type="dxa"/>
            <w:tcBorders>
              <w:top w:val="single" w:color="D9D9D9" w:sz="4" w:space="0"/>
              <w:left w:val="single" w:color="D9D9D9" w:sz="4" w:space="0"/>
              <w:bottom w:val="single" w:color="D9D9D9" w:sz="4" w:space="0"/>
              <w:right w:val="single" w:color="D9D9D9" w:sz="4" w:space="0"/>
            </w:tcBorders>
            <w:shd w:val="clear" w:color="auto" w:fill="DBEAF7"/>
            <w:tcMar>
              <w:top w:w="100" w:type="dxa"/>
              <w:left w:w="100" w:type="dxa"/>
              <w:bottom w:w="100" w:type="dxa"/>
              <w:right w:w="100" w:type="dxa"/>
            </w:tcMar>
            <w:vAlign w:val="center"/>
          </w:tcPr>
          <w:p w14:paraId="59F25FD6">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color w:val="000000"/>
                <w:sz w:val="22"/>
              </w:rPr>
              <w:t>发布条件</w:t>
            </w:r>
          </w:p>
        </w:tc>
      </w:tr>
      <w:tr w14:paraId="46598FAB">
        <w:trPr>
          <w:cantSplit/>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36CC4EB8">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接入与识别</w:t>
            </w:r>
          </w:p>
        </w:tc>
        <w:tc>
          <w:tcPr>
            <w:tcW w:w="510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2AA9D6DA">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官网说明、正式通知、客户问答、历史快照</w:t>
            </w:r>
          </w:p>
        </w:tc>
        <w:tc>
          <w:tcPr>
            <w:tcW w:w="7200"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3326BB04">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登记来源、采集日期、责任方及适用范围，区分现行资料和历史材料。</w:t>
            </w:r>
          </w:p>
        </w:tc>
      </w:tr>
      <w:tr w14:paraId="4C4B80BB">
        <w:trPr>
          <w:cantSplit/>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291D3A3B">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清洗与解析</w:t>
            </w:r>
          </w:p>
        </w:tc>
        <w:tc>
          <w:tcPr>
            <w:tcW w:w="5102"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524583B2">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正文、表格、模板及附件</w:t>
            </w:r>
          </w:p>
        </w:tc>
        <w:tc>
          <w:tcPr>
            <w:tcW w:w="7200"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24F6A7BB">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保留标题层级和原文定位；OCR结果、实体及关系抽取须核验。</w:t>
            </w:r>
          </w:p>
        </w:tc>
      </w:tr>
      <w:tr w14:paraId="19196BEA">
        <w:trPr>
          <w:cantSplit/>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457A2863">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差异与疑点审核</w:t>
            </w:r>
          </w:p>
        </w:tc>
        <w:tc>
          <w:tcPr>
            <w:tcW w:w="510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7746C6BB">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28个原始问题中的10处待确认口径</w:t>
            </w:r>
          </w:p>
        </w:tc>
        <w:tc>
          <w:tcPr>
            <w:tcW w:w="7200"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28193517">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分别核对入口、时限、材料、网络、身份与政策；不自动归并成统一规则。</w:t>
            </w:r>
          </w:p>
        </w:tc>
      </w:tr>
      <w:tr w14:paraId="1F888161">
        <w:trPr>
          <w:cantSplit/>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7DB35FAB">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版本发布</w:t>
            </w:r>
          </w:p>
        </w:tc>
        <w:tc>
          <w:tcPr>
            <w:tcW w:w="5102"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35804780">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审核后的问答、知识片段、图谱关系</w:t>
            </w:r>
          </w:p>
        </w:tc>
        <w:tc>
          <w:tcPr>
            <w:tcW w:w="7200" w:type="dxa"/>
            <w:tcBorders>
              <w:top w:val="single" w:color="D9D9D9" w:sz="4" w:space="0"/>
              <w:left w:val="single" w:color="D9D9D9" w:sz="4" w:space="0"/>
              <w:bottom w:val="single" w:color="D9D9D9" w:sz="4" w:space="0"/>
              <w:right w:val="single" w:color="D9D9D9" w:sz="4" w:space="0"/>
            </w:tcBorders>
            <w:shd w:val="clear" w:color="auto" w:fill="F7FAFD"/>
            <w:tcMar>
              <w:top w:w="100" w:type="dxa"/>
              <w:left w:w="100" w:type="dxa"/>
              <w:bottom w:w="100" w:type="dxa"/>
              <w:right w:w="100" w:type="dxa"/>
            </w:tcMar>
            <w:vAlign w:val="center"/>
          </w:tcPr>
          <w:p w14:paraId="5F7C8A0D">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关联适用批次、有效期、访问权限和审核记录，再更新索引与工具配置。</w:t>
            </w:r>
          </w:p>
        </w:tc>
      </w:tr>
      <w:tr w14:paraId="5BED89A2">
        <w:trPr>
          <w:cantSplit/>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67CF6363">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反馈与回归</w:t>
            </w:r>
          </w:p>
        </w:tc>
        <w:tc>
          <w:tcPr>
            <w:tcW w:w="510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61721E6C">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引用错误、无结果、材料补正和人工经验</w:t>
            </w:r>
          </w:p>
        </w:tc>
        <w:tc>
          <w:tcPr>
            <w:tcW w:w="7200"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14:paraId="07DDF03B">
            <w:pPr>
              <w:spacing w:before="60" w:after="6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复核后修订，验证来源定位、条件解释与业务路径；不得由模型自行改写生产规则。</w:t>
            </w:r>
          </w:p>
        </w:tc>
      </w:tr>
    </w:tbl>
    <w:p w14:paraId="74BC0C0C">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例如，场景“揭榜中”与原通知截止时间已过可能同时成立，应保留两条来源并提示核验，而不是覆盖其中一条。第五批通知的联合体和期限规定只适用于对应批次，不扩展为所有场景的一般结论。</w:t>
      </w:r>
    </w:p>
    <w:p w14:paraId="70E41CD8">
      <w:pPr>
        <w:spacing w:before="0" w:after="100" w:line="300" w:lineRule="auto"/>
        <w:ind w:firstLine="0"/>
        <w:jc w:val="both"/>
        <w:rPr>
          <w:rFonts w:hint="eastAsia" w:ascii="仿宋_GB2312" w:hAnsi="仿宋_GB2312" w:eastAsia="仿宋_GB2312" w:cs="仿宋_GB2312"/>
        </w:rPr>
      </w:pPr>
      <w:r>
        <w:rPr>
          <w:rFonts w:hint="eastAsia" w:ascii="仿宋_GB2312" w:hAnsi="仿宋_GB2312" w:eastAsia="仿宋_GB2312" w:cs="仿宋_GB2312"/>
          <w:b w:val="0"/>
          <w:color w:val="000000"/>
          <w:sz w:val="22"/>
        </w:rPr>
        <w:t>当前实现：展示已核对的来源说明和原文入口。后续建设：权限化内容管理、审核发布、版本联动、图谱与检索服务，以及可追溯的任务运行记录。</w:t>
      </w:r>
    </w:p>
    <w:p w14:paraId="67E5A619">
      <w:pPr>
        <w:keepLines/>
        <w:spacing w:before="0" w:after="80" w:line="300" w:lineRule="auto"/>
        <w:ind w:firstLine="0"/>
        <w:jc w:val="both"/>
        <w:rPr>
          <w:rFonts w:hint="eastAsia" w:ascii="仿宋_GB2312" w:hAnsi="仿宋_GB2312" w:eastAsia="仿宋_GB2312" w:cs="仿宋_GB2312"/>
        </w:rPr>
      </w:pPr>
    </w:p>
    <w:sectPr>
      <w:pgSz w:w="16838" w:h="11906" w:orient="landscape"/>
      <w:pgMar w:top="709" w:right="935" w:bottom="624" w:left="935" w:header="283" w:footer="28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STSong">
    <w:panose1 w:val="02010600040101010101"/>
    <w:charset w:val="86"/>
    <w:family w:val="auto"/>
    <w:pitch w:val="default"/>
    <w:sig w:usb0="80000287" w:usb1="280F3C52" w:usb2="00000016" w:usb3="00000000" w:csb0="0004001F"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Hiragino Sans GB">
    <w:panose1 w:val="020B0300000000000000"/>
    <w:charset w:val="86"/>
    <w:family w:val="auto"/>
    <w:pitch w:val="default"/>
    <w:sig w:usb0="A00002BF" w:usb1="1ACF7CFA" w:usb2="00000016" w:usb3="00000000" w:csb0="00060007"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仿宋_GB2312">
    <w:panose1 w:val="02010609030101010101"/>
    <w:charset w:val="86"/>
    <w:family w:val="auto"/>
    <w:pitch w:val="default"/>
    <w:sig w:usb0="00000001" w:usb1="080E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华文新魏">
    <w:panose1 w:val="02010800040101010101"/>
    <w:charset w:val="86"/>
    <w:family w:val="auto"/>
    <w:pitch w:val="default"/>
    <w:sig w:usb0="00000001" w:usb1="080F0000" w:usb2="00000000" w:usb3="00000000" w:csb0="00040000" w:csb1="00000000"/>
  </w:font>
  <w:font w:name="方正仿宋_GB2312">
    <w:panose1 w:val="02000000000000000000"/>
    <w:charset w:val="86"/>
    <w:family w:val="auto"/>
    <w:pitch w:val="default"/>
    <w:sig w:usb0="A00002BF" w:usb1="184F6CFA" w:usb2="00000012" w:usb3="00000000" w:csb0="00040001" w:csb1="00000000"/>
  </w:font>
  <w:font w:name="Hiragino Sans GB W3">
    <w:panose1 w:val="020B0300000000000000"/>
    <w:charset w:val="86"/>
    <w:family w:val="auto"/>
    <w:pitch w:val="default"/>
    <w:sig w:usb0="A00002BF" w:usb1="1ACF7CFA" w:usb2="00000016" w:usb3="00000000" w:csb0="00060007" w:csb1="00000000"/>
  </w:font>
  <w:font w:name="方正公文黑体">
    <w:panose1 w:val="02000500000000000000"/>
    <w:charset w:val="86"/>
    <w:family w:val="auto"/>
    <w:pitch w:val="default"/>
    <w:sig w:usb0="A00002BF" w:usb1="38CF7CFA" w:usb2="00000016" w:usb3="00000000" w:csb0="00040001" w:csb1="00000000"/>
  </w:font>
  <w:font w:name="Noto Serif CJK SC">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93D68">
    <w:pPr>
      <w:pStyle w:val="24"/>
      <w:spacing w:line="240" w:lineRule="exact"/>
      <w:ind w:firstLine="0"/>
      <w:jc w:val="center"/>
    </w:pPr>
    <w:r>
      <w:rPr>
        <w:rFonts w:ascii="Hiragino Sans GB" w:hAnsi="Hiragino Sans GB" w:eastAsia="Hiragino Sans GB" w:cs="Hiragino Sans GB"/>
        <w:b w:val="0"/>
        <w:color w:val="000000"/>
        <w:sz w:val="20"/>
      </w:rPr>
      <w:t xml:space="preserve">— </w:t>
    </w:r>
    <w:r>
      <w:fldChar w:fldCharType="begin"/>
    </w:r>
    <w:r>
      <w:instrText xml:space="preserve">PAGE</w:instrText>
    </w:r>
    <w:r>
      <w:fldChar w:fldCharType="separate"/>
    </w:r>
    <w:r>
      <w:fldChar w:fldCharType="end"/>
    </w:r>
    <w:r>
      <w:rPr>
        <w:rFonts w:ascii="Hiragino Sans GB" w:hAnsi="Hiragino Sans GB" w:eastAsia="Hiragino Sans GB" w:cs="Hiragino Sans GB"/>
        <w:b w:val="0"/>
        <w:color w:val="000000"/>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pPr>
        <w:spacing w:before="0" w:after="0" w:line="240" w:lineRule="auto"/>
      </w:pPr>
      <w:r>
        <w:separator/>
      </w:r>
    </w:p>
  </w:footnote>
  <w:footnote w:type="continuationSeparator" w:id="9">
    <w:p>
      <w:pPr>
        <w:spacing w:before="0" w:after="0" w:line="240" w:lineRule="auto"/>
      </w:pPr>
      <w:r>
        <w:continuationSeparator/>
      </w:r>
    </w:p>
  </w:footnote>
  <w:footnote w:id="0">
    <w:p w14:paraId="676F0844">
      <w:pPr>
        <w:spacing w:after="0" w:line="240" w:lineRule="exact"/>
        <w:ind w:firstLine="0"/>
      </w:pPr>
    </w:p>
  </w:footnote>
  <w:footnote w:id="1">
    <w:p w14:paraId="183F2689">
      <w:pPr>
        <w:spacing w:line="240" w:lineRule="exact"/>
        <w:ind w:firstLine="0"/>
      </w:pPr>
    </w:p>
  </w:footnote>
  <w:footnote w:id="2">
    <w:p w14:paraId="3F13A662">
      <w:pPr>
        <w:spacing w:line="240" w:lineRule="exact"/>
        <w:ind w:firstLine="0"/>
      </w:pPr>
    </w:p>
  </w:footnote>
  <w:footnote w:id="3">
    <w:p w14:paraId="5439E18E">
      <w:pPr>
        <w:spacing w:line="240" w:lineRule="exact"/>
        <w:ind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2EBCC">
    <w:pPr>
      <w:pStyle w:val="25"/>
      <w:pBdr>
        <w:bottom w:val="single" w:color="D3DFED" w:sz="4" w:space="0"/>
      </w:pBdr>
      <w:spacing w:after="40" w:line="240" w:lineRule="exact"/>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doNotDisplayPageBoundaries w:val="1"/>
  <w:embedSystemFonts/>
  <w:documentProtection w:enforcement="0"/>
  <w:defaultTabStop w:val="720"/>
  <w:characterSpacingControl w:val="doNotCompress"/>
  <w:footnotePr>
    <w:footnote w:id="8"/>
    <w:footnote w:id="9"/>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DFFB6C3"/>
    <w:rsid w:val="FF1ED4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spacing w:after="40" w:line="460" w:lineRule="exact"/>
      <w:ind w:firstLine="600"/>
    </w:pPr>
    <w:rPr>
      <w:rFonts w:ascii="STSong" w:hAnsi="STSong" w:eastAsia="STSong" w:cstheme="minorBidi"/>
      <w:sz w:val="3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Yzs</dc:creator>
  <dc:description>依据V5保留主体架构，完善真实业务交互和原型说明。</dc:description>
  <cp:keywords>合合助手,设计报告,V4,高质量数据治理,AI工程</cp:keywords>
  <cp:lastModifiedBy>Yzs</cp:lastModifiedBy>
  <dcterms:modified xsi:type="dcterms:W3CDTF">2026-09-13T12:54:33Z</dcterms:modified>
  <dc:subject>V6业务交互完善版 送审稿</dc:subject>
  <dc:title>数智北京创新中心合合智能助手建设思路及原型设计情况报告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8D160FED883B35F45E12A66A5E5E900A_42</vt:lpwstr>
  </property>
</Properties>
</file>