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AEC60">
      <w:pPr>
        <w:keepNext/>
        <w:widowControl/>
        <w:snapToGrid w:val="0"/>
        <w:spacing w:before="0" w:after="140" w:line="640" w:lineRule="exact"/>
        <w:ind w:firstLine="0"/>
        <w:jc w:val="center"/>
        <w:rPr>
          <w:rFonts w:hint="eastAsia" w:ascii="仿宋_GB2312" w:hAnsi="仿宋_GB2312" w:eastAsia="仿宋_GB2312" w:cs="仿宋_GB2312"/>
        </w:rPr>
      </w:pPr>
      <w:r>
        <w:rPr>
          <w:rFonts w:hint="eastAsia" w:ascii="仿宋_GB2312" w:hAnsi="仿宋_GB2312" w:eastAsia="仿宋_GB2312" w:cs="仿宋_GB2312"/>
          <w:b/>
          <w:color w:val="111111"/>
          <w:sz w:val="42"/>
        </w:rPr>
        <w:t>关于数智北京创新中心“合合”智能助手</w:t>
      </w:r>
      <w:r>
        <w:rPr>
          <w:rFonts w:hint="eastAsia" w:ascii="仿宋_GB2312" w:hAnsi="仿宋_GB2312" w:eastAsia="仿宋_GB2312" w:cs="仿宋_GB2312"/>
          <w:b/>
          <w:color w:val="111111"/>
          <w:sz w:val="42"/>
        </w:rPr>
        <w:br w:type="textWrapping"/>
      </w:r>
      <w:r>
        <w:rPr>
          <w:rFonts w:hint="eastAsia" w:ascii="仿宋_GB2312" w:hAnsi="仿宋_GB2312" w:eastAsia="仿宋_GB2312" w:cs="仿宋_GB2312"/>
          <w:b/>
          <w:color w:val="111111"/>
          <w:sz w:val="42"/>
        </w:rPr>
        <w:t>建设思路及原型设计情况的报告</w:t>
      </w:r>
    </w:p>
    <w:p w14:paraId="7A496C31">
      <w:pPr>
        <w:keepNext/>
        <w:widowControl/>
        <w:snapToGrid w:val="0"/>
        <w:spacing w:before="0" w:after="220" w:line="440" w:lineRule="exact"/>
        <w:ind w:firstLine="0"/>
        <w:jc w:val="center"/>
        <w:rPr>
          <w:rFonts w:hint="eastAsia" w:ascii="仿宋_GB2312" w:hAnsi="仿宋_GB2312" w:eastAsia="仿宋_GB2312" w:cs="仿宋_GB2312"/>
        </w:rPr>
      </w:pPr>
      <w:r>
        <w:rPr>
          <w:rFonts w:hint="eastAsia" w:ascii="仿宋_GB2312" w:hAnsi="仿宋_GB2312" w:eastAsia="仿宋_GB2312" w:cs="仿宋_GB2312"/>
          <w:b w:val="0"/>
          <w:color w:val="566575"/>
          <w:sz w:val="24"/>
        </w:rPr>
        <w:t>（送审稿）</w:t>
      </w:r>
    </w:p>
    <w:p w14:paraId="204BD8F7">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按照工作部署，正在开展数智北京创新中心“合合”智能助手方案设计。拟依托中心现有网站、资源目录和业务能力，统筹前台交互、数据和知识管理、AI工程及业务联动，贯通需求归集、资源匹配、申请准备和进度反馈。现将有关情况报告如下。</w:t>
      </w:r>
    </w:p>
    <w:p w14:paraId="72F4A445">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一、建设背景和总体定位</w:t>
      </w:r>
    </w:p>
    <w:p w14:paraId="711B21FF">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中心现有网站汇集了创新服务、数字资源、场景需求、创新成果及相关办理入口。创新主体开展一次试验验证，往往需要跨栏目查找信息、理解参与条件并准备材料。设计智能助手，重点是在既有服务基础上加强信息和流程衔接，降低查找资源、理解规则和重复填报的成本。</w:t>
      </w:r>
    </w:p>
    <w:p w14:paraId="4308FC8E">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北京市公共数据资源授权运营管理办法》（京政数发〔2026〕6号）提出，通过数智北京创新中心等渠道归集社会主体数据使用需求，并鼓励其他经营主体通过中心等对运营机构交付的公共数据产品和服务开展再开发。</w:t>
      </w:r>
      <w:r>
        <w:rPr>
          <w:rStyle w:val="167"/>
          <w:rFonts w:hint="eastAsia" w:ascii="仿宋_GB2312" w:hAnsi="仿宋_GB2312" w:eastAsia="仿宋_GB2312" w:cs="仿宋_GB2312"/>
        </w:rPr>
        <w:footnoteReference w:id="0"/>
      </w:r>
      <w:r>
        <w:rPr>
          <w:rFonts w:hint="eastAsia" w:ascii="仿宋_GB2312" w:hAnsi="仿宋_GB2312" w:eastAsia="仿宋_GB2312" w:cs="仿宋_GB2312"/>
          <w:b w:val="0"/>
        </w:rPr>
        <w:t>“合合”应立足需求归集、资源发现和创新服务对接，不将需求登记等同于数据使用授权。</w:t>
      </w:r>
    </w:p>
    <w:p w14:paraId="6FCD96B3">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合合”定位为中心面向企业、高校科研团队、政府业务部门等创新主体的统一智能服务入口。坚持需求导向、对话优先、前后台协同和集约建设，以高质量的数据治理为目标，提供咨询有依据、查询有口径、办理有衔接、过程可管控的服务。保留网站原有栏目、内容和常规办理入口，不另建独立门户，不重复建设业务台账，不改变既有审批职责。</w:t>
      </w:r>
    </w:p>
    <w:p w14:paraId="17CF8EA4">
      <w:pPr>
        <w:rPr>
          <w:rFonts w:hint="eastAsia" w:ascii="仿宋_GB2312" w:hAnsi="仿宋_GB2312" w:eastAsia="仿宋_GB2312" w:cs="仿宋_GB2312"/>
        </w:rPr>
      </w:pPr>
      <w:r>
        <w:rPr>
          <w:rFonts w:hint="eastAsia" w:ascii="仿宋_GB2312" w:hAnsi="仿宋_GB2312" w:eastAsia="仿宋_GB2312" w:cs="仿宋_GB2312"/>
        </w:rPr>
        <w:br w:type="page"/>
      </w:r>
    </w:p>
    <w:p w14:paraId="19FD1B50">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二、整体架构与设计思路</w:t>
      </w:r>
    </w:p>
    <w:p w14:paraId="4F6E434C">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整体拟采用“前台交互、AI工程、数据和知识管理、数据与工具接入”四层架构，以安全与运营保障贯穿全过程（见图1）。架构按能力分层，不预设四套独立系统，也不等同于部署拓扑；具体组件结合既有能力和试点结果选定。</w:t>
      </w:r>
    </w:p>
    <w:p w14:paraId="682261B0">
      <w:pPr>
        <w:keepNext/>
        <w:widowControl/>
        <w:snapToGrid w:val="0"/>
        <w:spacing w:before="100" w:after="20" w:line="240" w:lineRule="auto"/>
        <w:ind w:firstLine="0"/>
        <w:jc w:val="center"/>
        <w:rPr>
          <w:rFonts w:hint="eastAsia" w:ascii="仿宋_GB2312" w:hAnsi="仿宋_GB2312" w:eastAsia="仿宋_GB2312" w:cs="仿宋_GB2312"/>
        </w:rPr>
      </w:pPr>
      <w:bookmarkStart w:id="0" w:name="_GoBack"/>
      <w:bookmarkEnd w:id="0"/>
    </w:p>
    <w:p w14:paraId="12EDA735">
      <w:pPr>
        <w:keepNext/>
        <w:widowControl/>
        <w:snapToGrid w:val="0"/>
        <w:spacing w:before="0" w:after="120" w:line="320" w:lineRule="exact"/>
        <w:ind w:firstLine="0"/>
        <w:jc w:val="center"/>
        <w:rPr>
          <w:rFonts w:hint="eastAsia" w:ascii="仿宋_GB2312" w:hAnsi="仿宋_GB2312" w:eastAsia="仿宋_GB2312" w:cs="仿宋_GB2312"/>
        </w:rPr>
      </w:pPr>
      <w:r>
        <w:rPr>
          <w:rFonts w:hint="eastAsia" w:ascii="仿宋_GB2312" w:hAnsi="仿宋_GB2312" w:eastAsia="仿宋_GB2312" w:cs="仿宋_GB2312"/>
          <w:b w:val="0"/>
          <w:color w:val="566575"/>
          <w:sz w:val="21"/>
        </w:rPr>
        <w:t>图1  合合助手整体架构（规划示意）</w:t>
      </w:r>
    </w:p>
    <w:p w14:paraId="234BC582">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架构各层分工协同：前台连续承接任务；AI工程理解需求、检索依据、执行查询和组织流程；管理平台治理数据与知识并审核发布；接入层连接资料、目录及授权工具。数据支撑与业务执行分开衔接：资料经治理后提供检索和查询服务，提交、撤回等操作通过受控接口执行，正式状态回到同一对话，不以知识入库代替受理、审批。安全与运营贯穿各层，用户反馈经审核用于更新知识、规则和场景。</w:t>
      </w:r>
    </w:p>
    <w:p w14:paraId="0A656BE4">
      <w:pPr>
        <w:rPr>
          <w:rFonts w:hint="eastAsia" w:ascii="仿宋_GB2312" w:hAnsi="仿宋_GB2312" w:eastAsia="仿宋_GB2312" w:cs="仿宋_GB2312"/>
        </w:rPr>
      </w:pPr>
      <w:r>
        <w:rPr>
          <w:rFonts w:hint="eastAsia" w:ascii="仿宋_GB2312" w:hAnsi="仿宋_GB2312" w:eastAsia="仿宋_GB2312" w:cs="仿宋_GB2312"/>
        </w:rPr>
        <w:br w:type="page"/>
      </w:r>
    </w:p>
    <w:p w14:paraId="32D0FA45">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三、功能布局与重点服务场景</w:t>
      </w:r>
    </w:p>
    <w:p w14:paraId="24726C29">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前台采用“常驻入口、对话主线、按需展开”的布局，沿用官网品牌和合合形象。普通咨询使用轻量对话，目录比较、图表和材料核对按需展开为任务区域，并适配移动端。问答、问数、办理在同一会话中连续衔接；当前项目、筛选条件和已确认信息可延续，用户可随时修改或转人工。后台设置独立管理入口，按权限提供数据接入、知识维护、质量审核、场景配置和运营评测。</w:t>
      </w:r>
    </w:p>
    <w:p w14:paraId="5AD65CD5">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（一）智能问答与服务引导。</w:t>
      </w:r>
      <w:r>
        <w:rPr>
          <w:rFonts w:hint="eastAsia" w:ascii="仿宋_GB2312" w:hAnsi="仿宋_GB2312" w:eastAsia="仿宋_GB2312" w:cs="仿宋_GB2312"/>
          <w:b w:val="0"/>
        </w:rPr>
        <w:t>围绕平台介绍、服务指南、政策资料和参与条件，理解用户目标，关联权威资料、资源与案例，提供适用说明和后续路径。以“已有公交客流分析算法，想在中心试验验证”为例，先梳理项目阶段与需求，再引导查数据、了解算力和核对参与条件。对依据不足或需专业判断的问题，明确待核实内容并衔接人工，不承诺申请资格或实际成效。</w:t>
      </w:r>
    </w:p>
    <w:p w14:paraId="606C45BC">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（二）智能问数与资源匹配。</w:t>
      </w:r>
      <w:r>
        <w:rPr>
          <w:rFonts w:hint="eastAsia" w:ascii="仿宋_GB2312" w:hAnsi="仿宋_GB2312" w:eastAsia="仿宋_GB2312" w:cs="仿宋_GB2312"/>
          <w:b w:val="0"/>
        </w:rPr>
        <w:t>优先支持目录查询、筛选、统计和资源比较，展示查询范围、统计口径、来源及数据时间。用户可连续询问“交通运输领域有哪些目录”“只看市交通委”“其中开放标识为是的有哪些”，系统继承并明确提示条件变化，图表与明细使用同一结果。结合任务推荐候选资源与服务，说明理由及使用边界；涉及底层业务数据分析的，另行核实授权和指标口径。</w:t>
      </w:r>
    </w:p>
    <w:p w14:paraId="0E11B30D">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（三）对话式辅助办理。</w:t>
      </w:r>
      <w:r>
        <w:rPr>
          <w:rFonts w:hint="eastAsia" w:ascii="仿宋_GB2312" w:hAnsi="仿宋_GB2312" w:eastAsia="仿宋_GB2312" w:cs="仿宋_GB2312"/>
          <w:b w:val="0"/>
        </w:rPr>
        <w:t>围绕需求登记、参观预约、资源申请准备、场景申报和成果对接等事项，通过对话整理草稿、补问缺项、提示材料，支持自然语言修改与表单核对同步。具备条件的，经用户确认后衔接业务提交、进度查询及补正；规则或接口未明确的，先保存需求或草稿并提供对接指引。一个项目可关联多项事项，但不强行合为一个审批单。</w:t>
      </w:r>
    </w:p>
    <w:p w14:paraId="39CB5211">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三类服务以“城市公共交通客流验证”需求串联，并延伸至资源供给登记、场景需求发布和成果对接。原型及后台界面另附，不作为实际运行成果。</w:t>
      </w:r>
    </w:p>
    <w:p w14:paraId="288467A2">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四、数据和知识管理平台建设</w:t>
      </w:r>
    </w:p>
    <w:p w14:paraId="2A0404EA">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以高质量的数据治理为目标，拟建设统一的数据和知识管理平台，围绕完整性、准确性、一致性、时效性和可追溯性开展治理。按场景需要接入结构化目录与非结构化资料，不集中复制全部原始业务数据，不默认将业务资料用于模型训练。</w:t>
      </w:r>
    </w:p>
    <w:p w14:paraId="2A9246AE">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（一）统一接入与资源管理。</w:t>
      </w:r>
      <w:r>
        <w:rPr>
          <w:rFonts w:hint="eastAsia" w:ascii="仿宋_GB2312" w:hAnsi="仿宋_GB2312" w:eastAsia="仿宋_GB2312" w:cs="仿宋_GB2312"/>
          <w:b w:val="0"/>
        </w:rPr>
        <w:t>梳理网站页面、附件、资源目录及业务接口，明确来源、责任人、更新方式、使用范围和权限。对网页、文档、目录和接口分别建立接入任务与来源标识，支持增量同步、失败重试和变更检查，保留原始版本及处理记录，形成可维护的数据资产目录。</w:t>
      </w:r>
    </w:p>
    <w:p w14:paraId="646CCC29">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（二）规范结构化数据治理。</w:t>
      </w:r>
      <w:r>
        <w:rPr>
          <w:rFonts w:hint="eastAsia" w:ascii="仿宋_GB2312" w:hAnsi="仿宋_GB2312" w:eastAsia="仿宋_GB2312" w:cs="仿宋_GB2312"/>
          <w:b w:val="0"/>
        </w:rPr>
        <w:t>围绕资源、场景、项目和服务对象，统一字段含义、分类字典、对象标识、关联关系及统计口径，处理缺失、重复和冲突。开放标识、共享属性、用户权限与可办理状态分别管理。关联关系先以经确认的对象和规则建立，后续按复杂场景需要扩展；治理结果经测试和审核后发布为可复算的查询服务。</w:t>
      </w:r>
    </w:p>
    <w:p w14:paraId="1F4D04EC">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（三）完善非结构化知识治理。</w:t>
      </w:r>
      <w:r>
        <w:rPr>
          <w:rFonts w:hint="eastAsia" w:ascii="仿宋_GB2312" w:hAnsi="仿宋_GB2312" w:eastAsia="仿宋_GB2312" w:cs="仿宋_GB2312"/>
          <w:b w:val="0"/>
        </w:rPr>
        <w:t>对政策指南、网页正文、业务文档和附件开展内容清洗、结构解析、语义分段、分类标注及来源定位，保留标题层级、表格关系和原文位置。按平台服务、政策指南、资源能力、事项流程、案例问答等分类管理知识，区分正式文件、解读、新闻和参考资料，核验有效状态与适用范围。</w:t>
      </w:r>
    </w:p>
    <w:p w14:paraId="768ECCC6">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（四）实行审核发布和持续运营。</w:t>
      </w:r>
      <w:r>
        <w:rPr>
          <w:rFonts w:hint="eastAsia" w:ascii="仿宋_GB2312" w:hAnsi="仿宋_GB2312" w:eastAsia="仿宋_GB2312" w:cs="仿宋_GB2312"/>
          <w:b w:val="0"/>
        </w:rPr>
        <w:t>提供知识编辑、元数据修订、质量检查、权限配置、审核发布、版本回退和引用追溯。业务人员确认关键语义和办理口径，技术人员维护解析、检索和同步规则。变更后同步更新索引、查询配置和前台提示；反馈进入待审核修订。治理成果以查询、检索和经确认的规则服务对外提供，支持中心其他智能应用复用。</w:t>
      </w:r>
    </w:p>
    <w:p w14:paraId="7C17A508">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五、AI工程与技术实现路径</w:t>
      </w:r>
    </w:p>
    <w:p w14:paraId="358B0E71">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围绕具体场景组合工程能力，不以单一模型或单一提示词承接全部任务。拟采用“模型负责理解和表达、检索提供依据、查询负责计算、工作流控制执行”的技术路线。以下为拟验证的实现方向，具体框架、模型及部署方案仍在选型论证。</w:t>
      </w:r>
    </w:p>
    <w:p w14:paraId="112F908C">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（一）意图识别与上下文工程。</w:t>
      </w:r>
      <w:r>
        <w:rPr>
          <w:rFonts w:hint="eastAsia" w:ascii="仿宋_GB2312" w:hAnsi="仿宋_GB2312" w:eastAsia="仿宋_GB2312" w:cs="仿宋_GB2312"/>
          <w:b w:val="0"/>
        </w:rPr>
        <w:t>面向导览、连续咨询和跨场景衔接，结合用户问题、当前页面、所选资源及经授权的项目身份进行意图路由，管理会话摘要、筛选条件和任务状态。简单问题走短流程，复杂需求按步骤补充信息；前端通过结构化事件接收回答、卡片和办理状态，不将整页内容或敏感凭证直接交给模型。</w:t>
      </w:r>
    </w:p>
    <w:p w14:paraId="280B7537">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（二）检索增强与可信问答。</w:t>
      </w:r>
      <w:r>
        <w:rPr>
          <w:rFonts w:hint="eastAsia" w:ascii="仿宋_GB2312" w:hAnsi="仿宋_GB2312" w:eastAsia="仿宋_GB2312" w:cs="仿宋_GB2312"/>
          <w:b w:val="0"/>
        </w:rPr>
        <w:t>面向政策指南、办理条件及资源说明，采用检索增强生成（RAG），组合关键词检索、向量语义检索和相关性重排，在权限及有效版本范围内组织证据，再生成带出处的答复。复杂关联问题按需结合对象关系或知识图谱检索；权威外部资料补充经来源核验后使用，与平台正式知识区分。</w:t>
      </w:r>
      <w:r>
        <w:rPr>
          <w:rStyle w:val="167"/>
          <w:rFonts w:hint="eastAsia" w:ascii="仿宋_GB2312" w:hAnsi="仿宋_GB2312" w:eastAsia="仿宋_GB2312" w:cs="仿宋_GB2312"/>
        </w:rPr>
        <w:footnoteReference w:id="1"/>
      </w:r>
    </w:p>
    <w:p w14:paraId="6DF9129E">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（三）语义建模与受控问数。</w:t>
      </w:r>
      <w:r>
        <w:rPr>
          <w:rFonts w:hint="eastAsia" w:ascii="仿宋_GB2312" w:hAnsi="仿宋_GB2312" w:eastAsia="仿宋_GB2312" w:cs="仿宋_GB2312"/>
          <w:b w:val="0"/>
        </w:rPr>
        <w:t>面向目录统计和连续筛选，建立字段语义、分类字典和指标口径，将自然语言转换为结构化查询条件，由只读查询服务执行并返回结果。优先采用目录接口及受控查询语言；需扩展自然语言生成SQL时，限定审核过的表和字段，增加语法、权限、查询量和超时检查。图表与文字引用同一结果，不由模型估算数量。</w:t>
      </w:r>
      <w:r>
        <w:rPr>
          <w:rStyle w:val="167"/>
          <w:rFonts w:hint="eastAsia" w:ascii="仿宋_GB2312" w:hAnsi="仿宋_GB2312" w:eastAsia="仿宋_GB2312" w:cs="仿宋_GB2312"/>
        </w:rPr>
        <w:footnoteReference w:id="2"/>
      </w:r>
    </w:p>
    <w:p w14:paraId="3C4B7BDB">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（四）资源推荐与受限任务规划。</w:t>
      </w:r>
      <w:r>
        <w:rPr>
          <w:rFonts w:hint="eastAsia" w:ascii="仿宋_GB2312" w:hAnsi="仿宋_GB2312" w:eastAsia="仿宋_GB2312" w:cs="仿宋_GB2312"/>
          <w:b w:val="0"/>
        </w:rPr>
        <w:t>面向找资源、配方案和成果对接，先按资源类型、适用范围等已确认条件过滤，再进行多路检索、相关性排序与关系匹配，保留推荐理由和待核实条件。跨资源探索可采用交替分析与工具调用的ReAct方式，限定工具、步骤与执行预算；不要求所有问题都采用复杂多智能体协作。</w:t>
      </w:r>
    </w:p>
    <w:p w14:paraId="6774BFB0">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（五）结构化抽取与工作流执行。</w:t>
      </w:r>
      <w:r>
        <w:rPr>
          <w:rFonts w:hint="eastAsia" w:ascii="仿宋_GB2312" w:hAnsi="仿宋_GB2312" w:eastAsia="仿宋_GB2312" w:cs="仿宋_GB2312"/>
          <w:b w:val="0"/>
        </w:rPr>
        <w:t>面向预约、需求登记和申请准备，将自然语言或经授权材料提取为结构化字段，按格式、必填项和业务规则校验。以工作流和状态机管理草稿、补问、核对、确认、提交与补正，支持中断恢复和人工接续。优先复用业务API，按需采用MCP等协议封装工具；工具接入不替代后端鉴权，正式操作须确认，写入须防重，未知结果先核查。</w:t>
      </w:r>
      <w:r>
        <w:rPr>
          <w:rStyle w:val="167"/>
          <w:rFonts w:hint="eastAsia" w:ascii="仿宋_GB2312" w:hAnsi="仿宋_GB2312" w:eastAsia="仿宋_GB2312" w:cs="仿宋_GB2312"/>
        </w:rPr>
        <w:footnoteReference w:id="3"/>
      </w:r>
    </w:p>
    <w:p w14:paraId="62AA605F">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（六）文档智能处理与运行评测。</w:t>
      </w:r>
      <w:r>
        <w:rPr>
          <w:rFonts w:hint="eastAsia" w:ascii="仿宋_GB2312" w:hAnsi="仿宋_GB2312" w:eastAsia="仿宋_GB2312" w:cs="仿宋_GB2312"/>
          <w:b w:val="0"/>
        </w:rPr>
        <w:t>面向后台治理，优先解析原生文本，对扫描件及复杂表格按需采用文字识别（OCR）、版面分析和视觉模型辅助，重要抽取结果经人工审核。统一管理模型适配、提示词版本、工具配置、任务日志和效果评测；通过异步处理、按权限及版本隔离的缓存、超时降级等控制响应和成本。试点同步验证答复依据、查询准确性、字段抽取、任务完成和权限边界。</w:t>
      </w:r>
      <w:r>
        <w:rPr>
          <w:rStyle w:val="167"/>
          <w:rFonts w:hint="eastAsia" w:ascii="仿宋_GB2312" w:hAnsi="仿宋_GB2312" w:eastAsia="仿宋_GB2312" w:cs="仿宋_GB2312"/>
        </w:rPr>
        <w:footnoteReference w:id="4"/>
      </w:r>
    </w:p>
    <w:p w14:paraId="208837C9">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六、业务联动与运行保障</w:t>
      </w:r>
    </w:p>
    <w:p w14:paraId="26BBE4E1">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（一）按事项分类衔接。</w:t>
      </w:r>
      <w:r>
        <w:rPr>
          <w:rFonts w:hint="eastAsia" w:ascii="仿宋_GB2312" w:hAnsi="仿宋_GB2312" w:eastAsia="仿宋_GB2312" w:cs="仿宋_GB2312"/>
          <w:b w:val="0"/>
        </w:rPr>
        <w:t>对开放方式明确的资源按原规则引导使用；对授权条件待核实的数据归集需求、组织对接；对条件和接口明确的事项提供辅助办理。登记、提交、受理和审批分别展示，以既有业务记录为准。补正沿用原编号和草稿，未知结果先查询核实。</w:t>
      </w:r>
    </w:p>
    <w:p w14:paraId="4A924354">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（二）落实维护与服务责任。</w:t>
      </w:r>
      <w:r>
        <w:rPr>
          <w:rFonts w:hint="eastAsia" w:ascii="仿宋_GB2312" w:hAnsi="仿宋_GB2312" w:eastAsia="仿宋_GB2312" w:cs="仿宋_GB2312"/>
          <w:b w:val="0"/>
        </w:rPr>
        <w:t>业务归口人员审核内容和事项规则，数据责任方确认来源、字典与口径，技术运营方负责接口、运行和评测。复杂事项经用户同意传递必要摘要、材料和编号，支持人工接续；高频咨询、无结果检索和办理中断汇总后用于改进服务。</w:t>
      </w:r>
    </w:p>
    <w:p w14:paraId="0448B7B4">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rPr>
        <w:t>（三）保障安全可控。</w:t>
      </w:r>
      <w:r>
        <w:rPr>
          <w:rFonts w:hint="eastAsia" w:ascii="仿宋_GB2312" w:hAnsi="仿宋_GB2312" w:eastAsia="仿宋_GB2312" w:cs="仿宋_GB2312"/>
          <w:b w:val="0"/>
        </w:rPr>
        <w:t>区分公开咨询、个人、企业、项目和后台管理权限，在检索、查询、工具执行及返回环节校验。敏感数据最小化使用，不因对话跨越受控环境。外部内容与系统指令隔离，防止越权；关键操作留痕，异常可追踪并支持回退和人工处理。</w:t>
      </w:r>
    </w:p>
    <w:p w14:paraId="1493E3E2">
      <w:pPr>
        <w:pStyle w:val="3"/>
        <w:keepNext/>
        <w:widowControl/>
        <w:snapToGrid w:val="0"/>
        <w:spacing w:before="180" w:after="100" w:line="520" w:lineRule="exact"/>
        <w:ind w:firstLine="0"/>
        <w:rPr>
          <w:rFonts w:hint="eastAsia" w:ascii="仿宋_GB2312" w:hAnsi="仿宋_GB2312" w:eastAsia="仿宋_GB2312" w:cs="仿宋_GB2312"/>
        </w:rPr>
      </w:pPr>
      <w:r>
        <w:rPr>
          <w:rFonts w:hint="eastAsia" w:ascii="仿宋_GB2312" w:hAnsi="仿宋_GB2312" w:eastAsia="仿宋_GB2312" w:cs="仿宋_GB2312"/>
          <w:b/>
          <w:color w:val="111111"/>
          <w:sz w:val="32"/>
        </w:rPr>
        <w:t>七、阶段进展和下一步安排</w:t>
      </w:r>
    </w:p>
    <w:p w14:paraId="1F7B7EDB">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目前，相关工作处于资料梳理、方案编制和原型设计阶段，正在围绕四个方面同步推进：一是梳理数智北京创新中心整个网站的数据资源、栏目内容、业务文档和办理场景，核对来源、字段、流程和接口条件；二是编制高质量数据治理及数据和知识管理平台建设方案，研究分类、质量、权限和更新机制；三是针对合合助手设计问答、问数和边聊边办交互原型，完善任务衔接与关键状态；四是结合实际场景和部署条件开展AI工程选型与技术路线论证，逐步明确模型、检索、查询、编排和接口接入方式。现有示意主要用于方案沟通，不作为系统建成或试点成效。</w:t>
      </w:r>
    </w:p>
    <w:p w14:paraId="04C68BAF">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下一步，拟按照“重点场景优化—试点开发验证—依据效果迭代”的路径推进。一是会同业务人员，从使用频率、资源条件、规则清晰度和接口成熟度等方面筛选重点场景，进一步优化交互、材料、异常处理和业务衔接，明确试点范围及验收用例。</w:t>
      </w:r>
    </w:p>
    <w:p w14:paraId="48667621">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二是围绕选定场景开展试点开发，治理相应资料和目录，接入必要模型与业务接口，以典型任务检验咨询、查询、申请准备和反馈效果。优先验证权威指南问答、目录精准筛选，以及条件清楚的一项登记或申请辅助流程，不以扩大场景数量替代效果验证。</w:t>
      </w:r>
    </w:p>
    <w:p w14:paraId="481651C6">
      <w:pPr>
        <w:keepNext w:val="0"/>
        <w:widowControl/>
        <w:snapToGrid w:val="0"/>
        <w:spacing w:before="0" w:after="60" w:line="490" w:lineRule="exact"/>
        <w:ind w:firstLine="600"/>
        <w:jc w:val="both"/>
        <w:rPr>
          <w:rFonts w:hint="eastAsia" w:ascii="仿宋_GB2312" w:hAnsi="仿宋_GB2312" w:eastAsia="仿宋_GB2312" w:cs="仿宋_GB2312"/>
        </w:rPr>
      </w:pPr>
      <w:r>
        <w:rPr>
          <w:rFonts w:hint="eastAsia" w:ascii="仿宋_GB2312" w:hAnsi="仿宋_GB2312" w:eastAsia="仿宋_GB2312" w:cs="仿宋_GB2312"/>
          <w:b w:val="0"/>
        </w:rPr>
        <w:t>三是组织业务人员和代表性用户试用，重点评估答复依据、查询准确性、信息抽取、响应效率、重复填报和任务完成情况，形成问题及优化清单，迭代数据治理、技术路线和原型设计。对已接通且满足前置条件的事项评价办理效果，试点验证有效后再逐步拓展应用范围。</w:t>
      </w:r>
    </w:p>
    <w:p w14:paraId="2D9F8B32">
      <w:pPr>
        <w:rPr>
          <w:rFonts w:hint="eastAsia" w:ascii="仿宋_GB2312" w:hAnsi="仿宋_GB2312" w:eastAsia="仿宋_GB2312" w:cs="仿宋_GB2312"/>
        </w:rPr>
        <w:sectPr>
          <w:headerReference r:id="rId5" w:type="default"/>
          <w:footerReference r:id="rId6" w:type="default"/>
          <w:pgSz w:w="11906" w:h="16838"/>
          <w:pgMar w:top="1332" w:right="1417" w:bottom="1219" w:left="1417" w:header="595" w:footer="539" w:gutter="0"/>
          <w:cols w:space="720" w:num="1"/>
          <w:docGrid w:linePitch="360" w:charSpace="0"/>
        </w:sectPr>
      </w:pPr>
    </w:p>
    <w:p w14:paraId="68149815">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场景示意1/6</w:t>
      </w:r>
    </w:p>
    <w:p w14:paraId="00DA6A44">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智能问答：从创新诉求到服务路径</w:t>
      </w:r>
    </w:p>
    <w:p w14:paraId="0AB59CC7">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统一演示项目：城市公共交通客流验证项目；仅展示交互设计，不承诺资源可用或申请资格。</w:t>
      </w:r>
    </w:p>
    <w:tbl>
      <w:tblPr>
        <w:tblStyle w:val="32"/>
        <w:tblW w:w="0" w:type="auto"/>
        <w:tblInd w:w="0" w:type="dxa"/>
        <w:tblLayout w:type="fixed"/>
        <w:tblCellMar>
          <w:top w:w="0" w:type="dxa"/>
          <w:left w:w="108" w:type="dxa"/>
          <w:bottom w:w="0" w:type="dxa"/>
          <w:right w:w="108" w:type="dxa"/>
        </w:tblCellMar>
      </w:tblPr>
      <w:tblGrid>
        <w:gridCol w:w="6633"/>
        <w:gridCol w:w="2948"/>
      </w:tblGrid>
      <w:tr w14:paraId="2B82288E">
        <w:tc>
          <w:tcPr>
            <w:tcW w:w="6633" w:type="dxa"/>
            <w:shd w:val="clear" w:color="auto" w:fill="EAF2FC"/>
            <w:vAlign w:val="center"/>
          </w:tcPr>
          <w:p w14:paraId="0AA1FBE6">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创新咨询</w:t>
            </w:r>
          </w:p>
        </w:tc>
        <w:tc>
          <w:tcPr>
            <w:tcW w:w="2948" w:type="dxa"/>
            <w:shd w:val="clear" w:color="auto" w:fill="EAF2FC"/>
            <w:vAlign w:val="center"/>
          </w:tcPr>
          <w:p w14:paraId="72681FEE">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前台服务 · 规划示意</w:t>
            </w:r>
          </w:p>
        </w:tc>
      </w:tr>
    </w:tbl>
    <w:p w14:paraId="72B75043">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5AB7F1D5">
        <w:tc>
          <w:tcPr>
            <w:tcW w:w="765" w:type="dxa"/>
            <w:shd w:val="clear" w:color="auto" w:fill="F0F2F5"/>
            <w:vAlign w:val="center"/>
          </w:tcPr>
          <w:p w14:paraId="0631DC1B">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0C755828">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我们已经有公交客流分析算法，想在创新中心做试验验证，可以获得哪些支持？</w:t>
            </w:r>
          </w:p>
        </w:tc>
      </w:tr>
    </w:tbl>
    <w:p w14:paraId="6A7DA9B8">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495BAC4B">
        <w:tc>
          <w:tcPr>
            <w:tcW w:w="765" w:type="dxa"/>
            <w:shd w:val="clear" w:color="auto" w:fill="EDF4FC"/>
            <w:vAlign w:val="center"/>
          </w:tcPr>
          <w:p w14:paraId="74BBCC52">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合合</w:t>
            </w:r>
          </w:p>
        </w:tc>
        <w:tc>
          <w:tcPr>
            <w:tcW w:w="8816" w:type="dxa"/>
            <w:shd w:val="clear" w:color="auto" w:fill="F5F8FD"/>
            <w:vAlign w:val="center"/>
          </w:tcPr>
          <w:p w14:paraId="4A68C7D6">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可以先梳理数据、算力与验证服务，再核对参与条件。您目前主要需要补充数据，还是同时准备算力和试验安排？</w:t>
            </w:r>
          </w:p>
        </w:tc>
      </w:tr>
    </w:tbl>
    <w:p w14:paraId="1D2CE189">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05CEFDFF">
        <w:trPr>
          <w:cantSplit/>
          <w:tblHeader/>
          <w:jc w:val="center"/>
        </w:trPr>
        <w:tc>
          <w:tcPr>
            <w:tcW w:w="9581" w:type="dxa"/>
            <w:shd w:val="clear" w:color="auto" w:fill="EDF4FC"/>
            <w:vAlign w:val="center"/>
          </w:tcPr>
          <w:p w14:paraId="086BD372">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需求摘要（待用户确认）</w:t>
            </w:r>
          </w:p>
        </w:tc>
      </w:tr>
      <w:tr w14:paraId="245C830A">
        <w:trPr>
          <w:cantSplit/>
          <w:jc w:val="center"/>
        </w:trPr>
        <w:tc>
          <w:tcPr>
            <w:tcW w:w="9581" w:type="dxa"/>
            <w:shd w:val="clear" w:color="auto" w:fill="FFFFFF"/>
            <w:vAlign w:val="center"/>
          </w:tcPr>
          <w:p w14:paraId="1B79A087">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交通领域 / 试验验证 / 数据与算力支持 / 具体条件待核对</w:t>
            </w:r>
          </w:p>
        </w:tc>
      </w:tr>
    </w:tbl>
    <w:p w14:paraId="78415FCE">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2268"/>
        <w:gridCol w:w="7313"/>
      </w:tblGrid>
      <w:tr w14:paraId="31C5EA72">
        <w:trPr>
          <w:cantSplit/>
          <w:tblHeader/>
          <w:jc w:val="center"/>
        </w:trPr>
        <w:tc>
          <w:tcPr>
            <w:tcW w:w="2268" w:type="dxa"/>
            <w:shd w:val="clear" w:color="auto" w:fill="EDF4FC"/>
            <w:vAlign w:val="center"/>
          </w:tcPr>
          <w:p w14:paraId="67BC9CD2">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建议路径</w:t>
            </w:r>
          </w:p>
        </w:tc>
        <w:tc>
          <w:tcPr>
            <w:tcW w:w="7313" w:type="dxa"/>
            <w:shd w:val="clear" w:color="auto" w:fill="EDF4FC"/>
            <w:vAlign w:val="center"/>
          </w:tcPr>
          <w:p w14:paraId="12214EEE">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接续行动</w:t>
            </w:r>
          </w:p>
        </w:tc>
      </w:tr>
      <w:tr w14:paraId="6A03C446">
        <w:trPr>
          <w:cantSplit/>
          <w:jc w:val="center"/>
        </w:trPr>
        <w:tc>
          <w:tcPr>
            <w:tcW w:w="2268" w:type="dxa"/>
            <w:shd w:val="clear" w:color="auto" w:fill="FFFFFF"/>
            <w:vAlign w:val="center"/>
          </w:tcPr>
          <w:p w14:paraId="3CC49433">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查找相关目录</w:t>
            </w:r>
          </w:p>
        </w:tc>
        <w:tc>
          <w:tcPr>
            <w:tcW w:w="7313" w:type="dxa"/>
            <w:shd w:val="clear" w:color="auto" w:fill="FFFFFF"/>
            <w:vAlign w:val="center"/>
          </w:tcPr>
          <w:p w14:paraId="1DCF4CF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检索客流、线路等目录，比较说明与使用条件</w:t>
            </w:r>
          </w:p>
        </w:tc>
      </w:tr>
      <w:tr w14:paraId="1F1F786D">
        <w:trPr>
          <w:cantSplit/>
          <w:jc w:val="center"/>
        </w:trPr>
        <w:tc>
          <w:tcPr>
            <w:tcW w:w="2268" w:type="dxa"/>
            <w:shd w:val="clear" w:color="auto" w:fill="F7F9FC"/>
            <w:vAlign w:val="center"/>
          </w:tcPr>
          <w:p w14:paraId="46B7F19B">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整理算力需求</w:t>
            </w:r>
          </w:p>
        </w:tc>
        <w:tc>
          <w:tcPr>
            <w:tcW w:w="7313" w:type="dxa"/>
            <w:shd w:val="clear" w:color="auto" w:fill="F7F9FC"/>
            <w:vAlign w:val="center"/>
          </w:tcPr>
          <w:p w14:paraId="1153FF8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记录计算任务与周期，进一步确认所需配置</w:t>
            </w:r>
          </w:p>
        </w:tc>
      </w:tr>
      <w:tr w14:paraId="61131A46">
        <w:trPr>
          <w:cantSplit/>
          <w:jc w:val="center"/>
        </w:trPr>
        <w:tc>
          <w:tcPr>
            <w:tcW w:w="2268" w:type="dxa"/>
            <w:shd w:val="clear" w:color="auto" w:fill="FFFFFF"/>
            <w:vAlign w:val="center"/>
          </w:tcPr>
          <w:p w14:paraId="760F65A4">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核对参与路径</w:t>
            </w:r>
          </w:p>
        </w:tc>
        <w:tc>
          <w:tcPr>
            <w:tcW w:w="7313" w:type="dxa"/>
            <w:shd w:val="clear" w:color="auto" w:fill="FFFFFF"/>
            <w:vAlign w:val="center"/>
          </w:tcPr>
          <w:p w14:paraId="1C0EF49B">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查看事项条件与材料说明，转入申请准备或人工对接</w:t>
            </w:r>
          </w:p>
        </w:tc>
      </w:tr>
    </w:tbl>
    <w:p w14:paraId="0BDB4612">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36B7EC88">
        <w:trPr>
          <w:cantSplit/>
          <w:tblHeader/>
          <w:jc w:val="center"/>
        </w:trPr>
        <w:tc>
          <w:tcPr>
            <w:tcW w:w="9581" w:type="dxa"/>
            <w:shd w:val="clear" w:color="auto" w:fill="EDF4FC"/>
            <w:vAlign w:val="center"/>
          </w:tcPr>
          <w:p w14:paraId="1A54CDB6">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同类项目参考</w:t>
            </w:r>
          </w:p>
        </w:tc>
      </w:tr>
      <w:tr w14:paraId="2086F518">
        <w:trPr>
          <w:cantSplit/>
          <w:jc w:val="center"/>
        </w:trPr>
        <w:tc>
          <w:tcPr>
            <w:tcW w:w="9581" w:type="dxa"/>
            <w:shd w:val="clear" w:color="auto" w:fill="FFFFFF"/>
            <w:vAlign w:val="center"/>
          </w:tcPr>
          <w:p w14:paraId="2CA571B2">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城市公交线网优化及客流预测服务。来源为2026-09-02入驻项目快照，仅作需求理解参考，不将项目目标作为已实现成效。</w:t>
            </w:r>
          </w:p>
        </w:tc>
      </w:tr>
    </w:tbl>
    <w:p w14:paraId="5FC5DFCC">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438A03A3">
        <w:tc>
          <w:tcPr>
            <w:tcW w:w="765" w:type="dxa"/>
            <w:shd w:val="clear" w:color="auto" w:fill="F0F2F5"/>
            <w:vAlign w:val="center"/>
          </w:tcPr>
          <w:p w14:paraId="46E302D5">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786770D8">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查到目录后，可以直接下载吗？</w:t>
            </w:r>
          </w:p>
        </w:tc>
      </w:tr>
    </w:tbl>
    <w:p w14:paraId="7DAF9778">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57C9AECE">
        <w:tc>
          <w:tcPr>
            <w:tcW w:w="765" w:type="dxa"/>
            <w:shd w:val="clear" w:color="auto" w:fill="EDF4FC"/>
            <w:vAlign w:val="center"/>
          </w:tcPr>
          <w:p w14:paraId="27F44E51">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合合</w:t>
            </w:r>
          </w:p>
        </w:tc>
        <w:tc>
          <w:tcPr>
            <w:tcW w:w="8816" w:type="dxa"/>
            <w:shd w:val="clear" w:color="auto" w:fill="F5F8FD"/>
            <w:vAlign w:val="center"/>
          </w:tcPr>
          <w:p w14:paraId="119D6E90">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需要查看具体资源的开放方式、使用条件和授权要求。目录可见不等于取得使用权限；条件不明确时，先登记需求或请业务人员核实。</w:t>
            </w:r>
          </w:p>
        </w:tc>
      </w:tr>
    </w:tbl>
    <w:p w14:paraId="472A0A42">
      <w:pPr>
        <w:pStyle w:val="165"/>
        <w:keepNext w:val="0"/>
        <w:widowControl/>
        <w:snapToGrid w:val="0"/>
        <w:spacing w:before="0" w:after="0" w:line="280" w:lineRule="exact"/>
        <w:ind w:firstLine="0"/>
        <w:rPr>
          <w:rFonts w:hint="eastAsia" w:ascii="仿宋_GB2312" w:hAnsi="仿宋_GB2312" w:eastAsia="仿宋_GB2312" w:cs="仿宋_GB2312"/>
        </w:rPr>
      </w:pPr>
    </w:p>
    <w:p w14:paraId="4AC6A7F6">
      <w:pPr>
        <w:pStyle w:val="164"/>
        <w:keepNext w:val="0"/>
        <w:widowControl/>
        <w:snapToGrid w:val="0"/>
        <w:spacing w:before="6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查看资源目录  ·  核对参与条件  ·  转人工咨询</w:t>
      </w:r>
    </w:p>
    <w:p w14:paraId="565ABE91">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工程支撑：页面与会话上下文、意图识别、检索增强问答、证据定位。答复为设计文案，具体条件须经业务审核。</w:t>
      </w:r>
    </w:p>
    <w:p w14:paraId="57101B35">
      <w:pPr>
        <w:rPr>
          <w:rFonts w:hint="eastAsia" w:ascii="仿宋_GB2312" w:hAnsi="仿宋_GB2312" w:eastAsia="仿宋_GB2312" w:cs="仿宋_GB2312"/>
        </w:rPr>
      </w:pPr>
      <w:r>
        <w:rPr>
          <w:rFonts w:hint="eastAsia" w:ascii="仿宋_GB2312" w:hAnsi="仿宋_GB2312" w:eastAsia="仿宋_GB2312" w:cs="仿宋_GB2312"/>
        </w:rPr>
        <w:br w:type="page"/>
      </w:r>
    </w:p>
    <w:p w14:paraId="23F34863">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场景示意2/6</w:t>
      </w:r>
    </w:p>
    <w:p w14:paraId="2DC7264F">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智能问数：连续筛选，口径可核验</w:t>
      </w:r>
    </w:p>
    <w:p w14:paraId="0924BA8C">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数据版本：2026-09-02公开目录快照。以下为离线目录口径，不包含底层客流观测数据。</w:t>
      </w:r>
    </w:p>
    <w:tbl>
      <w:tblPr>
        <w:tblStyle w:val="32"/>
        <w:tblW w:w="0" w:type="auto"/>
        <w:tblInd w:w="0" w:type="dxa"/>
        <w:tblLayout w:type="fixed"/>
        <w:tblCellMar>
          <w:top w:w="0" w:type="dxa"/>
          <w:left w:w="108" w:type="dxa"/>
          <w:bottom w:w="0" w:type="dxa"/>
          <w:right w:w="108" w:type="dxa"/>
        </w:tblCellMar>
      </w:tblPr>
      <w:tblGrid>
        <w:gridCol w:w="6633"/>
        <w:gridCol w:w="2948"/>
      </w:tblGrid>
      <w:tr w14:paraId="430A433E">
        <w:tc>
          <w:tcPr>
            <w:tcW w:w="6633" w:type="dxa"/>
            <w:shd w:val="clear" w:color="auto" w:fill="EAF2FC"/>
            <w:vAlign w:val="center"/>
          </w:tcPr>
          <w:p w14:paraId="54DDC132">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资源目录查询</w:t>
            </w:r>
          </w:p>
        </w:tc>
        <w:tc>
          <w:tcPr>
            <w:tcW w:w="2948" w:type="dxa"/>
            <w:shd w:val="clear" w:color="auto" w:fill="EAF2FC"/>
            <w:vAlign w:val="center"/>
          </w:tcPr>
          <w:p w14:paraId="38662A36">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前台服务 · 规划示意</w:t>
            </w:r>
          </w:p>
        </w:tc>
      </w:tr>
    </w:tbl>
    <w:p w14:paraId="706F8F76">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0B924E3C">
        <w:tc>
          <w:tcPr>
            <w:tcW w:w="765" w:type="dxa"/>
            <w:shd w:val="clear" w:color="auto" w:fill="F0F2F5"/>
            <w:vAlign w:val="center"/>
          </w:tcPr>
          <w:p w14:paraId="52A4FB73">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26FC5BFC">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政府侧交通运输领域有多少数据目录，主要来自哪些部门？</w:t>
            </w:r>
          </w:p>
        </w:tc>
      </w:tr>
    </w:tbl>
    <w:p w14:paraId="274E5DF3">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3197"/>
        <w:gridCol w:w="3192"/>
        <w:gridCol w:w="3192"/>
      </w:tblGrid>
      <w:tr w14:paraId="353D84C6">
        <w:trPr>
          <w:cantSplit/>
          <w:tblHeader/>
          <w:jc w:val="center"/>
        </w:trPr>
        <w:tc>
          <w:tcPr>
            <w:tcW w:w="3197" w:type="dxa"/>
            <w:shd w:val="clear" w:color="auto" w:fill="EDF4FC"/>
            <w:vAlign w:val="center"/>
          </w:tcPr>
          <w:p w14:paraId="3F713CB1">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交通运输领域目录</w:t>
            </w:r>
          </w:p>
        </w:tc>
        <w:tc>
          <w:tcPr>
            <w:tcW w:w="3192" w:type="dxa"/>
            <w:shd w:val="clear" w:color="auto" w:fill="EDF4FC"/>
            <w:vAlign w:val="center"/>
          </w:tcPr>
          <w:p w14:paraId="4B60F483">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提供部门</w:t>
            </w:r>
          </w:p>
        </w:tc>
        <w:tc>
          <w:tcPr>
            <w:tcW w:w="3192" w:type="dxa"/>
            <w:shd w:val="clear" w:color="auto" w:fill="EDF4FC"/>
            <w:vAlign w:val="center"/>
          </w:tcPr>
          <w:p w14:paraId="4DD017C0">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开放标识为“是”</w:t>
            </w:r>
          </w:p>
        </w:tc>
      </w:tr>
      <w:tr w14:paraId="288F6F60">
        <w:trPr>
          <w:cantSplit/>
          <w:jc w:val="center"/>
        </w:trPr>
        <w:tc>
          <w:tcPr>
            <w:tcW w:w="3197" w:type="dxa"/>
            <w:shd w:val="clear" w:color="auto" w:fill="FFFFFF"/>
            <w:vAlign w:val="center"/>
          </w:tcPr>
          <w:p w14:paraId="7347C3A6">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6"/>
              </w:rPr>
              <w:t>614 条</w:t>
            </w:r>
          </w:p>
        </w:tc>
        <w:tc>
          <w:tcPr>
            <w:tcW w:w="3192" w:type="dxa"/>
            <w:shd w:val="clear" w:color="auto" w:fill="FFFFFF"/>
            <w:vAlign w:val="center"/>
          </w:tcPr>
          <w:p w14:paraId="1054AAC7">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6"/>
              </w:rPr>
              <w:t>13 个</w:t>
            </w:r>
          </w:p>
        </w:tc>
        <w:tc>
          <w:tcPr>
            <w:tcW w:w="3192" w:type="dxa"/>
            <w:shd w:val="clear" w:color="auto" w:fill="FFFFFF"/>
            <w:vAlign w:val="center"/>
          </w:tcPr>
          <w:p w14:paraId="66567DDC">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6"/>
              </w:rPr>
              <w:t>51 条</w:t>
            </w:r>
          </w:p>
        </w:tc>
      </w:tr>
    </w:tbl>
    <w:p w14:paraId="4AF93198">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7597"/>
        <w:gridCol w:w="1984"/>
      </w:tblGrid>
      <w:tr w14:paraId="6E867B10">
        <w:trPr>
          <w:cantSplit/>
          <w:tblHeader/>
          <w:jc w:val="center"/>
        </w:trPr>
        <w:tc>
          <w:tcPr>
            <w:tcW w:w="7597" w:type="dxa"/>
            <w:shd w:val="clear" w:color="auto" w:fill="EDF4FC"/>
            <w:vAlign w:val="center"/>
          </w:tcPr>
          <w:p w14:paraId="29B880F3">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来源部门（交通运输领域）</w:t>
            </w:r>
          </w:p>
        </w:tc>
        <w:tc>
          <w:tcPr>
            <w:tcW w:w="1984" w:type="dxa"/>
            <w:shd w:val="clear" w:color="auto" w:fill="EDF4FC"/>
            <w:vAlign w:val="center"/>
          </w:tcPr>
          <w:p w14:paraId="31B55B12">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目录数</w:t>
            </w:r>
          </w:p>
        </w:tc>
      </w:tr>
      <w:tr w14:paraId="2FA04709">
        <w:trPr>
          <w:cantSplit/>
          <w:jc w:val="center"/>
        </w:trPr>
        <w:tc>
          <w:tcPr>
            <w:tcW w:w="7597" w:type="dxa"/>
            <w:shd w:val="clear" w:color="auto" w:fill="FFFFFF"/>
            <w:vAlign w:val="center"/>
          </w:tcPr>
          <w:p w14:paraId="5F5E9A7B">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北京市交通委员会</w:t>
            </w:r>
          </w:p>
        </w:tc>
        <w:tc>
          <w:tcPr>
            <w:tcW w:w="1984" w:type="dxa"/>
            <w:shd w:val="clear" w:color="auto" w:fill="FFFFFF"/>
            <w:vAlign w:val="center"/>
          </w:tcPr>
          <w:p w14:paraId="47A2C4B8">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569</w:t>
            </w:r>
          </w:p>
        </w:tc>
      </w:tr>
      <w:tr w14:paraId="7147D6F1">
        <w:trPr>
          <w:cantSplit/>
          <w:jc w:val="center"/>
        </w:trPr>
        <w:tc>
          <w:tcPr>
            <w:tcW w:w="7597" w:type="dxa"/>
            <w:shd w:val="clear" w:color="auto" w:fill="F7F9FC"/>
            <w:vAlign w:val="center"/>
          </w:tcPr>
          <w:p w14:paraId="57C6BB65">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北京市规划和自然资源委员会</w:t>
            </w:r>
          </w:p>
        </w:tc>
        <w:tc>
          <w:tcPr>
            <w:tcW w:w="1984" w:type="dxa"/>
            <w:shd w:val="clear" w:color="auto" w:fill="F7F9FC"/>
            <w:vAlign w:val="center"/>
          </w:tcPr>
          <w:p w14:paraId="2BE2E8F6">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17</w:t>
            </w:r>
          </w:p>
        </w:tc>
      </w:tr>
      <w:tr w14:paraId="16457961">
        <w:trPr>
          <w:cantSplit/>
          <w:jc w:val="center"/>
        </w:trPr>
        <w:tc>
          <w:tcPr>
            <w:tcW w:w="7597" w:type="dxa"/>
            <w:shd w:val="clear" w:color="auto" w:fill="FFFFFF"/>
            <w:vAlign w:val="center"/>
          </w:tcPr>
          <w:p w14:paraId="1F594907">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北京市住房和城乡建设委员会</w:t>
            </w:r>
          </w:p>
        </w:tc>
        <w:tc>
          <w:tcPr>
            <w:tcW w:w="1984" w:type="dxa"/>
            <w:shd w:val="clear" w:color="auto" w:fill="FFFFFF"/>
            <w:vAlign w:val="center"/>
          </w:tcPr>
          <w:p w14:paraId="0A8B0536">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7</w:t>
            </w:r>
          </w:p>
        </w:tc>
      </w:tr>
      <w:tr w14:paraId="18B27232">
        <w:trPr>
          <w:cantSplit/>
          <w:jc w:val="center"/>
        </w:trPr>
        <w:tc>
          <w:tcPr>
            <w:tcW w:w="7597" w:type="dxa"/>
            <w:shd w:val="clear" w:color="auto" w:fill="F7F9FC"/>
            <w:vAlign w:val="center"/>
          </w:tcPr>
          <w:p w14:paraId="185C1CD2">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北京市城市管理委员会</w:t>
            </w:r>
          </w:p>
        </w:tc>
        <w:tc>
          <w:tcPr>
            <w:tcW w:w="1984" w:type="dxa"/>
            <w:shd w:val="clear" w:color="auto" w:fill="F7F9FC"/>
            <w:vAlign w:val="center"/>
          </w:tcPr>
          <w:p w14:paraId="07FAB2D7">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6</w:t>
            </w:r>
          </w:p>
        </w:tc>
      </w:tr>
      <w:tr w14:paraId="6365EAC0">
        <w:trPr>
          <w:cantSplit/>
          <w:jc w:val="center"/>
        </w:trPr>
        <w:tc>
          <w:tcPr>
            <w:tcW w:w="7597" w:type="dxa"/>
            <w:shd w:val="clear" w:color="auto" w:fill="FFFFFF"/>
            <w:vAlign w:val="center"/>
          </w:tcPr>
          <w:p w14:paraId="09D05B12">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北京市重点站区管委会</w:t>
            </w:r>
          </w:p>
        </w:tc>
        <w:tc>
          <w:tcPr>
            <w:tcW w:w="1984" w:type="dxa"/>
            <w:shd w:val="clear" w:color="auto" w:fill="FFFFFF"/>
            <w:vAlign w:val="center"/>
          </w:tcPr>
          <w:p w14:paraId="0EF9A166">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5</w:t>
            </w:r>
          </w:p>
        </w:tc>
      </w:tr>
      <w:tr w14:paraId="023C1B89">
        <w:trPr>
          <w:cantSplit/>
          <w:jc w:val="center"/>
        </w:trPr>
        <w:tc>
          <w:tcPr>
            <w:tcW w:w="7597" w:type="dxa"/>
            <w:shd w:val="clear" w:color="auto" w:fill="F7F9FC"/>
            <w:vAlign w:val="center"/>
          </w:tcPr>
          <w:p w14:paraId="7619F235">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其他8个部门合计</w:t>
            </w:r>
          </w:p>
        </w:tc>
        <w:tc>
          <w:tcPr>
            <w:tcW w:w="1984" w:type="dxa"/>
            <w:shd w:val="clear" w:color="auto" w:fill="F7F9FC"/>
            <w:vAlign w:val="center"/>
          </w:tcPr>
          <w:p w14:paraId="5A15D8F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10</w:t>
            </w:r>
          </w:p>
        </w:tc>
      </w:tr>
    </w:tbl>
    <w:p w14:paraId="1BA74C03">
      <w:pPr>
        <w:keepNext w:val="0"/>
        <w:widowControl/>
        <w:snapToGrid w:val="0"/>
        <w:spacing w:before="0" w:after="0" w:line="80" w:lineRule="exact"/>
        <w:ind w:firstLine="0"/>
        <w:rPr>
          <w:rFonts w:hint="eastAsia" w:ascii="仿宋_GB2312" w:hAnsi="仿宋_GB2312" w:eastAsia="仿宋_GB2312" w:cs="仿宋_GB2312"/>
        </w:rPr>
      </w:pPr>
    </w:p>
    <w:p w14:paraId="6A4D2230">
      <w:pPr>
        <w:pStyle w:val="164"/>
        <w:keepNext/>
        <w:widowControl/>
        <w:snapToGrid w:val="0"/>
        <w:spacing w:before="6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连续追问与条件变化</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3061"/>
        <w:gridCol w:w="4989"/>
        <w:gridCol w:w="1531"/>
      </w:tblGrid>
      <w:tr w14:paraId="1F0D8F3A">
        <w:trPr>
          <w:cantSplit/>
          <w:tblHeader/>
          <w:jc w:val="center"/>
        </w:trPr>
        <w:tc>
          <w:tcPr>
            <w:tcW w:w="3061" w:type="dxa"/>
            <w:shd w:val="clear" w:color="auto" w:fill="EDF4FC"/>
            <w:vAlign w:val="center"/>
          </w:tcPr>
          <w:p w14:paraId="053E5C1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追问</w:t>
            </w:r>
          </w:p>
        </w:tc>
        <w:tc>
          <w:tcPr>
            <w:tcW w:w="4989" w:type="dxa"/>
            <w:shd w:val="clear" w:color="auto" w:fill="EDF4FC"/>
            <w:vAlign w:val="center"/>
          </w:tcPr>
          <w:p w14:paraId="66CD8C0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条件变化</w:t>
            </w:r>
          </w:p>
        </w:tc>
        <w:tc>
          <w:tcPr>
            <w:tcW w:w="1531" w:type="dxa"/>
            <w:shd w:val="clear" w:color="auto" w:fill="EDF4FC"/>
            <w:vAlign w:val="center"/>
          </w:tcPr>
          <w:p w14:paraId="62B55DD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结果</w:t>
            </w:r>
          </w:p>
        </w:tc>
      </w:tr>
      <w:tr w14:paraId="0E1CA9C6">
        <w:trPr>
          <w:cantSplit/>
          <w:jc w:val="center"/>
        </w:trPr>
        <w:tc>
          <w:tcPr>
            <w:tcW w:w="3061" w:type="dxa"/>
            <w:shd w:val="clear" w:color="auto" w:fill="FFFFFF"/>
            <w:vAlign w:val="center"/>
          </w:tcPr>
          <w:p w14:paraId="19DC18D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只看市交通委</w:t>
            </w:r>
          </w:p>
        </w:tc>
        <w:tc>
          <w:tcPr>
            <w:tcW w:w="4989" w:type="dxa"/>
            <w:shd w:val="clear" w:color="auto" w:fill="FFFFFF"/>
            <w:vAlign w:val="center"/>
          </w:tcPr>
          <w:p w14:paraId="5B891F9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保留交通运输，增加部门</w:t>
            </w:r>
          </w:p>
        </w:tc>
        <w:tc>
          <w:tcPr>
            <w:tcW w:w="1531" w:type="dxa"/>
            <w:shd w:val="clear" w:color="auto" w:fill="FFFFFF"/>
            <w:vAlign w:val="center"/>
          </w:tcPr>
          <w:p w14:paraId="6E5643A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569条</w:t>
            </w:r>
          </w:p>
        </w:tc>
      </w:tr>
      <w:tr w14:paraId="547CA78E">
        <w:trPr>
          <w:cantSplit/>
          <w:jc w:val="center"/>
        </w:trPr>
        <w:tc>
          <w:tcPr>
            <w:tcW w:w="3061" w:type="dxa"/>
            <w:shd w:val="clear" w:color="auto" w:fill="F7F9FC"/>
            <w:vAlign w:val="center"/>
          </w:tcPr>
          <w:p w14:paraId="77E5483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其中开放标识为“是”的有哪些</w:t>
            </w:r>
          </w:p>
        </w:tc>
        <w:tc>
          <w:tcPr>
            <w:tcW w:w="4989" w:type="dxa"/>
            <w:shd w:val="clear" w:color="auto" w:fill="F7F9FC"/>
            <w:vAlign w:val="center"/>
          </w:tcPr>
          <w:p w14:paraId="589CF4B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保留领域、部门，增加开放标识</w:t>
            </w:r>
          </w:p>
        </w:tc>
        <w:tc>
          <w:tcPr>
            <w:tcW w:w="1531" w:type="dxa"/>
            <w:shd w:val="clear" w:color="auto" w:fill="F7F9FC"/>
            <w:vAlign w:val="center"/>
          </w:tcPr>
          <w:p w14:paraId="5526578E">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38条</w:t>
            </w:r>
          </w:p>
        </w:tc>
      </w:tr>
      <w:tr w14:paraId="3DE665A3">
        <w:trPr>
          <w:cantSplit/>
          <w:jc w:val="center"/>
        </w:trPr>
        <w:tc>
          <w:tcPr>
            <w:tcW w:w="3061" w:type="dxa"/>
            <w:shd w:val="clear" w:color="auto" w:fill="FFFFFF"/>
            <w:vAlign w:val="center"/>
          </w:tcPr>
          <w:p w14:paraId="10B7C5B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市交通委全部领域有多少</w:t>
            </w:r>
          </w:p>
        </w:tc>
        <w:tc>
          <w:tcPr>
            <w:tcW w:w="4989" w:type="dxa"/>
            <w:shd w:val="clear" w:color="auto" w:fill="FFFFFF"/>
            <w:vAlign w:val="center"/>
          </w:tcPr>
          <w:p w14:paraId="58DD679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清除领域和开放筛选，仅保留部门</w:t>
            </w:r>
          </w:p>
        </w:tc>
        <w:tc>
          <w:tcPr>
            <w:tcW w:w="1531" w:type="dxa"/>
            <w:shd w:val="clear" w:color="auto" w:fill="FFFFFF"/>
            <w:vAlign w:val="center"/>
          </w:tcPr>
          <w:p w14:paraId="0370932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583条</w:t>
            </w:r>
          </w:p>
        </w:tc>
      </w:tr>
    </w:tbl>
    <w:p w14:paraId="0CF056E9">
      <w:pPr>
        <w:keepNext w:val="0"/>
        <w:widowControl/>
        <w:snapToGrid w:val="0"/>
        <w:spacing w:before="0" w:after="0" w:line="80" w:lineRule="exact"/>
        <w:ind w:firstLine="0"/>
        <w:rPr>
          <w:rFonts w:hint="eastAsia" w:ascii="仿宋_GB2312" w:hAnsi="仿宋_GB2312" w:eastAsia="仿宋_GB2312" w:cs="仿宋_GB2312"/>
        </w:rPr>
      </w:pPr>
    </w:p>
    <w:p w14:paraId="655C1742">
      <w:pPr>
        <w:pStyle w:val="164"/>
        <w:keepNext w:val="0"/>
        <w:widowControl/>
        <w:snapToGrid w:val="0"/>
        <w:spacing w:before="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查看统计口径  ·  查看目录明细  ·  继续筛选</w:t>
      </w:r>
    </w:p>
    <w:p w14:paraId="2DEE28F2">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来源：同批次工作簿“政府侧数据”表及配套目录测试样例；五条数量测试与13个部门复核一致。614条不代表全部适用于客流验证；开放标识、共享属性和用户授权分别核验。</w:t>
      </w:r>
    </w:p>
    <w:p w14:paraId="3FCEF91F">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工程支撑：分类字典、语义模型、受控只读查询、筛选上下文、图表与明细同源。</w:t>
      </w:r>
    </w:p>
    <w:p w14:paraId="3BBF9B4F">
      <w:pPr>
        <w:rPr>
          <w:rFonts w:hint="eastAsia" w:ascii="仿宋_GB2312" w:hAnsi="仿宋_GB2312" w:eastAsia="仿宋_GB2312" w:cs="仿宋_GB2312"/>
        </w:rPr>
      </w:pPr>
      <w:r>
        <w:rPr>
          <w:rFonts w:hint="eastAsia" w:ascii="仿宋_GB2312" w:hAnsi="仿宋_GB2312" w:eastAsia="仿宋_GB2312" w:cs="仿宋_GB2312"/>
        </w:rPr>
        <w:br w:type="page"/>
      </w:r>
    </w:p>
    <w:p w14:paraId="2FBDCB80">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场景示意3/6</w:t>
      </w:r>
    </w:p>
    <w:p w14:paraId="1F7E7F08">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边聊边办：对话与草稿联动</w:t>
      </w:r>
    </w:p>
    <w:p w14:paraId="29E160F9">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沿用同一演示项目和所选资源。本页展示申请准备，不生成正式业务回执。</w:t>
      </w:r>
    </w:p>
    <w:tbl>
      <w:tblPr>
        <w:tblStyle w:val="32"/>
        <w:tblW w:w="0" w:type="auto"/>
        <w:tblInd w:w="0" w:type="dxa"/>
        <w:tblLayout w:type="fixed"/>
        <w:tblCellMar>
          <w:top w:w="0" w:type="dxa"/>
          <w:left w:w="108" w:type="dxa"/>
          <w:bottom w:w="0" w:type="dxa"/>
          <w:right w:w="108" w:type="dxa"/>
        </w:tblCellMar>
      </w:tblPr>
      <w:tblGrid>
        <w:gridCol w:w="6633"/>
        <w:gridCol w:w="2948"/>
      </w:tblGrid>
      <w:tr w14:paraId="506D43D3">
        <w:tc>
          <w:tcPr>
            <w:tcW w:w="6633" w:type="dxa"/>
            <w:shd w:val="clear" w:color="auto" w:fill="EAF2FC"/>
            <w:vAlign w:val="center"/>
          </w:tcPr>
          <w:p w14:paraId="50BFF354">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申请准备</w:t>
            </w:r>
          </w:p>
        </w:tc>
        <w:tc>
          <w:tcPr>
            <w:tcW w:w="2948" w:type="dxa"/>
            <w:shd w:val="clear" w:color="auto" w:fill="EAF2FC"/>
            <w:vAlign w:val="center"/>
          </w:tcPr>
          <w:p w14:paraId="686FD67B">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草稿阶段 · 规划示意</w:t>
            </w:r>
          </w:p>
        </w:tc>
      </w:tr>
    </w:tbl>
    <w:p w14:paraId="0C41855C">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49201BBB">
        <w:trPr>
          <w:cantSplit/>
          <w:tblHeader/>
          <w:jc w:val="center"/>
        </w:trPr>
        <w:tc>
          <w:tcPr>
            <w:tcW w:w="9581" w:type="dxa"/>
            <w:shd w:val="clear" w:color="auto" w:fill="EDF4FC"/>
            <w:vAlign w:val="center"/>
          </w:tcPr>
          <w:p w14:paraId="22C867EC">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当前范围与授权边界</w:t>
            </w:r>
          </w:p>
        </w:tc>
      </w:tr>
      <w:tr w14:paraId="64C70542">
        <w:trPr>
          <w:cantSplit/>
          <w:jc w:val="center"/>
        </w:trPr>
        <w:tc>
          <w:tcPr>
            <w:tcW w:w="9581" w:type="dxa"/>
            <w:shd w:val="clear" w:color="auto" w:fill="FFFFFF"/>
            <w:vAlign w:val="center"/>
          </w:tcPr>
          <w:p w14:paraId="45FA3931">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按用户要求取消“仅看开放”筛选。轨道交通进出站客流信息：开放标识“否”，共享属性“有条件共享”；未据此取得使用授权。</w:t>
            </w:r>
          </w:p>
        </w:tc>
      </w:tr>
    </w:tbl>
    <w:p w14:paraId="425561C1">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42B9A902">
        <w:tc>
          <w:tcPr>
            <w:tcW w:w="765" w:type="dxa"/>
            <w:shd w:val="clear" w:color="auto" w:fill="F0F2F5"/>
            <w:vAlign w:val="center"/>
          </w:tcPr>
          <w:p w14:paraId="67479265">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75BFD545">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把轨道交通进出站客流信息和GPU卡算力服务整理成申请准备清单，项目是城市公共交通客流验证，计划用两个月。</w:t>
            </w:r>
          </w:p>
        </w:tc>
      </w:tr>
    </w:tbl>
    <w:p w14:paraId="6BE5FF97">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431CF1DE">
        <w:tc>
          <w:tcPr>
            <w:tcW w:w="765" w:type="dxa"/>
            <w:shd w:val="clear" w:color="auto" w:fill="EDF4FC"/>
            <w:vAlign w:val="center"/>
          </w:tcPr>
          <w:p w14:paraId="2E5D8A66">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合合</w:t>
            </w:r>
          </w:p>
        </w:tc>
        <w:tc>
          <w:tcPr>
            <w:tcW w:w="8816" w:type="dxa"/>
            <w:shd w:val="clear" w:color="auto" w:fill="F5F8FD"/>
            <w:vAlign w:val="center"/>
          </w:tcPr>
          <w:p w14:paraId="2F5CC6AE">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已整理资源与周期。数据部分先形成使用需求，算力部分准备相应申请；后续按各自规则核对，尚需确认主体、具体规格和材料。</w:t>
            </w:r>
          </w:p>
        </w:tc>
      </w:tr>
    </w:tbl>
    <w:p w14:paraId="24C4430D">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17AD90DC">
        <w:tc>
          <w:tcPr>
            <w:tcW w:w="765" w:type="dxa"/>
            <w:shd w:val="clear" w:color="auto" w:fill="F0F2F5"/>
            <w:vAlign w:val="center"/>
          </w:tcPr>
          <w:p w14:paraId="58D8254B">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6CBD0205">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使用周期改成3个月，其他信息不变。</w:t>
            </w:r>
          </w:p>
        </w:tc>
      </w:tr>
    </w:tbl>
    <w:p w14:paraId="78884783">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1871"/>
        <w:gridCol w:w="7710"/>
      </w:tblGrid>
      <w:tr w14:paraId="149B459C">
        <w:trPr>
          <w:cantSplit/>
          <w:tblHeader/>
          <w:jc w:val="center"/>
        </w:trPr>
        <w:tc>
          <w:tcPr>
            <w:tcW w:w="1871" w:type="dxa"/>
            <w:shd w:val="clear" w:color="auto" w:fill="EDF4FC"/>
            <w:vAlign w:val="center"/>
          </w:tcPr>
          <w:p w14:paraId="37F443F4">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草稿字段</w:t>
            </w:r>
          </w:p>
        </w:tc>
        <w:tc>
          <w:tcPr>
            <w:tcW w:w="7710" w:type="dxa"/>
            <w:shd w:val="clear" w:color="auto" w:fill="EDF4FC"/>
            <w:vAlign w:val="center"/>
          </w:tcPr>
          <w:p w14:paraId="53112EFB">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当前内容</w:t>
            </w:r>
          </w:p>
        </w:tc>
      </w:tr>
      <w:tr w14:paraId="25D3E04A">
        <w:trPr>
          <w:cantSplit/>
          <w:jc w:val="center"/>
        </w:trPr>
        <w:tc>
          <w:tcPr>
            <w:tcW w:w="1871" w:type="dxa"/>
            <w:shd w:val="clear" w:color="auto" w:fill="FFFFFF"/>
            <w:vAlign w:val="center"/>
          </w:tcPr>
          <w:p w14:paraId="5F4CC44F">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项目</w:t>
            </w:r>
          </w:p>
        </w:tc>
        <w:tc>
          <w:tcPr>
            <w:tcW w:w="7710" w:type="dxa"/>
            <w:shd w:val="clear" w:color="auto" w:fill="FFFFFF"/>
            <w:vAlign w:val="center"/>
          </w:tcPr>
          <w:p w14:paraId="7A687F7B">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城市公共交通客流验证项目（演示）</w:t>
            </w:r>
          </w:p>
        </w:tc>
      </w:tr>
      <w:tr w14:paraId="644BD5E7">
        <w:trPr>
          <w:cantSplit/>
          <w:jc w:val="center"/>
        </w:trPr>
        <w:tc>
          <w:tcPr>
            <w:tcW w:w="1871" w:type="dxa"/>
            <w:shd w:val="clear" w:color="auto" w:fill="F7F9FC"/>
            <w:vAlign w:val="center"/>
          </w:tcPr>
          <w:p w14:paraId="1AAA53C3">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项目标识</w:t>
            </w:r>
          </w:p>
        </w:tc>
        <w:tc>
          <w:tcPr>
            <w:tcW w:w="7710" w:type="dxa"/>
            <w:shd w:val="clear" w:color="auto" w:fill="F7F9FC"/>
            <w:vAlign w:val="center"/>
          </w:tcPr>
          <w:p w14:paraId="69E553E8">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DEMO-PROJECT-001</w:t>
            </w:r>
          </w:p>
        </w:tc>
      </w:tr>
      <w:tr w14:paraId="05033CD7">
        <w:trPr>
          <w:cantSplit/>
          <w:jc w:val="center"/>
        </w:trPr>
        <w:tc>
          <w:tcPr>
            <w:tcW w:w="1871" w:type="dxa"/>
            <w:shd w:val="clear" w:color="auto" w:fill="FFFFFF"/>
            <w:vAlign w:val="center"/>
          </w:tcPr>
          <w:p w14:paraId="38BCB0F2">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数据需求</w:t>
            </w:r>
          </w:p>
        </w:tc>
        <w:tc>
          <w:tcPr>
            <w:tcW w:w="7710" w:type="dxa"/>
            <w:shd w:val="clear" w:color="auto" w:fill="FFFFFF"/>
            <w:vAlign w:val="center"/>
          </w:tcPr>
          <w:p w14:paraId="1044DA6C">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轨道交通进出站客流信息 / GOV_DATA:5049</w:t>
            </w:r>
          </w:p>
        </w:tc>
      </w:tr>
      <w:tr w14:paraId="508BE32B">
        <w:trPr>
          <w:cantSplit/>
          <w:jc w:val="center"/>
        </w:trPr>
        <w:tc>
          <w:tcPr>
            <w:tcW w:w="1871" w:type="dxa"/>
            <w:shd w:val="clear" w:color="auto" w:fill="F7F9FC"/>
            <w:vAlign w:val="center"/>
          </w:tcPr>
          <w:p w14:paraId="1A920058">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算力需求</w:t>
            </w:r>
          </w:p>
        </w:tc>
        <w:tc>
          <w:tcPr>
            <w:tcW w:w="7710" w:type="dxa"/>
            <w:shd w:val="clear" w:color="auto" w:fill="F7F9FC"/>
            <w:vAlign w:val="center"/>
          </w:tcPr>
          <w:p w14:paraId="3C4AA863">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GPU卡算力服务 / CLOUD_NETWORK_CALC:7</w:t>
            </w:r>
          </w:p>
        </w:tc>
      </w:tr>
      <w:tr w14:paraId="75F8F50A">
        <w:trPr>
          <w:cantSplit/>
          <w:jc w:val="center"/>
        </w:trPr>
        <w:tc>
          <w:tcPr>
            <w:tcW w:w="1871" w:type="dxa"/>
            <w:shd w:val="clear" w:color="auto" w:fill="FFFFFF"/>
            <w:vAlign w:val="center"/>
          </w:tcPr>
          <w:p w14:paraId="7E6D35CA">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使用周期</w:t>
            </w:r>
          </w:p>
        </w:tc>
        <w:tc>
          <w:tcPr>
            <w:tcW w:w="7710" w:type="dxa"/>
            <w:shd w:val="clear" w:color="auto" w:fill="FFFFFF"/>
            <w:vAlign w:val="center"/>
          </w:tcPr>
          <w:p w14:paraId="51EACB8E">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2个月 → 3个月（仅更新当前草稿）</w:t>
            </w:r>
          </w:p>
        </w:tc>
      </w:tr>
      <w:tr w14:paraId="1D55A1CF">
        <w:trPr>
          <w:cantSplit/>
          <w:jc w:val="center"/>
        </w:trPr>
        <w:tc>
          <w:tcPr>
            <w:tcW w:w="1871" w:type="dxa"/>
            <w:shd w:val="clear" w:color="auto" w:fill="F7F9FC"/>
            <w:vAlign w:val="center"/>
          </w:tcPr>
          <w:p w14:paraId="2048013A">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待补与待核实</w:t>
            </w:r>
          </w:p>
        </w:tc>
        <w:tc>
          <w:tcPr>
            <w:tcW w:w="7710" w:type="dxa"/>
            <w:shd w:val="clear" w:color="auto" w:fill="F7F9FC"/>
            <w:vAlign w:val="center"/>
          </w:tcPr>
          <w:p w14:paraId="19E1691B">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主体与项目条件、算力规格、资源使用条件及所需材料</w:t>
            </w:r>
          </w:p>
        </w:tc>
      </w:tr>
    </w:tbl>
    <w:p w14:paraId="3E3C3DBD">
      <w:pPr>
        <w:keepNext w:val="0"/>
        <w:widowControl/>
        <w:snapToGrid w:val="0"/>
        <w:spacing w:before="0" w:after="0" w:line="80" w:lineRule="exact"/>
        <w:ind w:firstLine="0"/>
        <w:rPr>
          <w:rFonts w:hint="eastAsia" w:ascii="仿宋_GB2312" w:hAnsi="仿宋_GB2312" w:eastAsia="仿宋_GB2312" w:cs="仿宋_GB2312"/>
        </w:rPr>
      </w:pPr>
    </w:p>
    <w:p w14:paraId="49E2A210">
      <w:pPr>
        <w:pStyle w:val="164"/>
        <w:keepNext w:val="0"/>
        <w:widowControl/>
        <w:snapToGrid w:val="0"/>
        <w:spacing w:before="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保存草稿  ·  补充信息  ·  核对信息〔尚未完成〕</w:t>
      </w:r>
    </w:p>
    <w:p w14:paraId="513D8B8C">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来源：资源名称、标识及属性来自2026-09-02目录快照。项目与周期为虚构示例；不编造型号、显存、库存、价格、审批时限或材料上传成功状态。</w:t>
      </w:r>
    </w:p>
    <w:p w14:paraId="47BCFF9E">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工程支撑：结构化字段抽取、缺项补问、字段校验、草稿版本管理、对话与表单状态同步。</w:t>
      </w:r>
    </w:p>
    <w:p w14:paraId="28781795">
      <w:pPr>
        <w:rPr>
          <w:rFonts w:hint="eastAsia" w:ascii="仿宋_GB2312" w:hAnsi="仿宋_GB2312" w:eastAsia="仿宋_GB2312" w:cs="仿宋_GB2312"/>
        </w:rPr>
      </w:pPr>
      <w:r>
        <w:rPr>
          <w:rFonts w:hint="eastAsia" w:ascii="仿宋_GB2312" w:hAnsi="仿宋_GB2312" w:eastAsia="仿宋_GB2312" w:cs="仿宋_GB2312"/>
        </w:rPr>
        <w:br w:type="page"/>
      </w:r>
    </w:p>
    <w:p w14:paraId="19DD529D">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场景示意4/6</w:t>
      </w:r>
    </w:p>
    <w:p w14:paraId="4C71A746">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办理反馈：分类衔接、同号查询与补正</w:t>
      </w:r>
    </w:p>
    <w:p w14:paraId="23050852">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一个方案可以关联多项事项，不等于一个审批单。编号、材料状态和业务反馈全部为流程演示。</w:t>
      </w:r>
    </w:p>
    <w:tbl>
      <w:tblPr>
        <w:tblStyle w:val="32"/>
        <w:tblW w:w="0" w:type="auto"/>
        <w:tblInd w:w="0" w:type="dxa"/>
        <w:tblLayout w:type="fixed"/>
        <w:tblCellMar>
          <w:top w:w="0" w:type="dxa"/>
          <w:left w:w="108" w:type="dxa"/>
          <w:bottom w:w="0" w:type="dxa"/>
          <w:right w:w="108" w:type="dxa"/>
        </w:tblCellMar>
      </w:tblPr>
      <w:tblGrid>
        <w:gridCol w:w="6633"/>
        <w:gridCol w:w="2948"/>
      </w:tblGrid>
      <w:tr w14:paraId="7A3A295F">
        <w:tc>
          <w:tcPr>
            <w:tcW w:w="6633" w:type="dxa"/>
            <w:shd w:val="clear" w:color="auto" w:fill="EAF2FC"/>
            <w:vAlign w:val="center"/>
          </w:tcPr>
          <w:p w14:paraId="57CDFE47">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核对与反馈</w:t>
            </w:r>
          </w:p>
        </w:tc>
        <w:tc>
          <w:tcPr>
            <w:tcW w:w="2948" w:type="dxa"/>
            <w:shd w:val="clear" w:color="auto" w:fill="EAF2FC"/>
            <w:vAlign w:val="center"/>
          </w:tcPr>
          <w:p w14:paraId="542EB751">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模拟流程 · 非真实回执</w:t>
            </w:r>
          </w:p>
        </w:tc>
      </w:tr>
    </w:tbl>
    <w:p w14:paraId="43959F63">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543306DE">
        <w:trPr>
          <w:cantSplit/>
          <w:tblHeader/>
          <w:jc w:val="center"/>
        </w:trPr>
        <w:tc>
          <w:tcPr>
            <w:tcW w:w="9581" w:type="dxa"/>
            <w:shd w:val="clear" w:color="auto" w:fill="EDF4FC"/>
            <w:vAlign w:val="center"/>
          </w:tcPr>
          <w:p w14:paraId="4E695D3C">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提交前核对</w:t>
            </w:r>
          </w:p>
        </w:tc>
      </w:tr>
      <w:tr w14:paraId="1EFE4319">
        <w:trPr>
          <w:cantSplit/>
          <w:jc w:val="center"/>
        </w:trPr>
        <w:tc>
          <w:tcPr>
            <w:tcW w:w="9581" w:type="dxa"/>
            <w:shd w:val="clear" w:color="auto" w:fill="FFFFFF"/>
            <w:vAlign w:val="center"/>
          </w:tcPr>
          <w:p w14:paraId="10F89C95">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主体、字段和必需材料校验通过后，由用户核对并明确确认。缺项返回对应字段；规则或接口未明确时只能保存草稿。</w:t>
            </w:r>
          </w:p>
        </w:tc>
      </w:tr>
    </w:tbl>
    <w:p w14:paraId="1CA0B846">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1701"/>
        <w:gridCol w:w="7880"/>
      </w:tblGrid>
      <w:tr w14:paraId="20B11F9D">
        <w:trPr>
          <w:cantSplit/>
          <w:tblHeader/>
          <w:jc w:val="center"/>
        </w:trPr>
        <w:tc>
          <w:tcPr>
            <w:tcW w:w="1701" w:type="dxa"/>
            <w:shd w:val="clear" w:color="auto" w:fill="EDF4FC"/>
            <w:vAlign w:val="center"/>
          </w:tcPr>
          <w:p w14:paraId="3CBD76B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关联信息</w:t>
            </w:r>
          </w:p>
        </w:tc>
        <w:tc>
          <w:tcPr>
            <w:tcW w:w="7880" w:type="dxa"/>
            <w:shd w:val="clear" w:color="auto" w:fill="EDF4FC"/>
            <w:vAlign w:val="center"/>
          </w:tcPr>
          <w:p w14:paraId="1B701C4F">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一致性要求</w:t>
            </w:r>
          </w:p>
        </w:tc>
      </w:tr>
      <w:tr w14:paraId="40DBF960">
        <w:trPr>
          <w:cantSplit/>
          <w:jc w:val="center"/>
        </w:trPr>
        <w:tc>
          <w:tcPr>
            <w:tcW w:w="1701" w:type="dxa"/>
            <w:shd w:val="clear" w:color="auto" w:fill="FFFFFF"/>
            <w:vAlign w:val="center"/>
          </w:tcPr>
          <w:p w14:paraId="59B3D89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项目</w:t>
            </w:r>
          </w:p>
        </w:tc>
        <w:tc>
          <w:tcPr>
            <w:tcW w:w="7880" w:type="dxa"/>
            <w:shd w:val="clear" w:color="auto" w:fill="FFFFFF"/>
            <w:vAlign w:val="center"/>
          </w:tcPr>
          <w:p w14:paraId="78236798">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DEMO-PROJECT-001 / 城市公共交通客流验证项目（演示）</w:t>
            </w:r>
          </w:p>
        </w:tc>
      </w:tr>
      <w:tr w14:paraId="4C2CB917">
        <w:trPr>
          <w:cantSplit/>
          <w:jc w:val="center"/>
        </w:trPr>
        <w:tc>
          <w:tcPr>
            <w:tcW w:w="1701" w:type="dxa"/>
            <w:shd w:val="clear" w:color="auto" w:fill="F7F9FC"/>
            <w:vAlign w:val="center"/>
          </w:tcPr>
          <w:p w14:paraId="70D6934E">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方案与周期</w:t>
            </w:r>
          </w:p>
        </w:tc>
        <w:tc>
          <w:tcPr>
            <w:tcW w:w="7880" w:type="dxa"/>
            <w:shd w:val="clear" w:color="auto" w:fill="F7F9FC"/>
            <w:vAlign w:val="center"/>
          </w:tcPr>
          <w:p w14:paraId="02E79A2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DEMO-PLAN-001 / 数据使用需求＋算力申请准备 / 3个月</w:t>
            </w:r>
          </w:p>
        </w:tc>
      </w:tr>
    </w:tbl>
    <w:p w14:paraId="50F2A6F3">
      <w:pPr>
        <w:keepNext w:val="0"/>
        <w:widowControl/>
        <w:snapToGrid w:val="0"/>
        <w:spacing w:before="0" w:after="0" w:line="80" w:lineRule="exact"/>
        <w:ind w:firstLine="0"/>
        <w:rPr>
          <w:rFonts w:hint="eastAsia" w:ascii="仿宋_GB2312" w:hAnsi="仿宋_GB2312" w:eastAsia="仿宋_GB2312" w:cs="仿宋_GB2312"/>
        </w:rPr>
      </w:pPr>
    </w:p>
    <w:p w14:paraId="6DF2CD4B">
      <w:pPr>
        <w:pStyle w:val="164"/>
        <w:keepNext/>
        <w:widowControl/>
        <w:snapToGrid w:val="0"/>
        <w:spacing w:before="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用户确认后的模拟反馈</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2891"/>
        <w:gridCol w:w="4422"/>
        <w:gridCol w:w="2268"/>
      </w:tblGrid>
      <w:tr w14:paraId="6D20CE7C">
        <w:trPr>
          <w:cantSplit/>
          <w:tblHeader/>
          <w:jc w:val="center"/>
        </w:trPr>
        <w:tc>
          <w:tcPr>
            <w:tcW w:w="2891" w:type="dxa"/>
            <w:shd w:val="clear" w:color="auto" w:fill="EDF4FC"/>
            <w:vAlign w:val="center"/>
          </w:tcPr>
          <w:p w14:paraId="0995AD8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事项与编号</w:t>
            </w:r>
          </w:p>
        </w:tc>
        <w:tc>
          <w:tcPr>
            <w:tcW w:w="4422" w:type="dxa"/>
            <w:shd w:val="clear" w:color="auto" w:fill="EDF4FC"/>
            <w:vAlign w:val="center"/>
          </w:tcPr>
          <w:p w14:paraId="71B1AAB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当前反馈</w:t>
            </w:r>
          </w:p>
        </w:tc>
        <w:tc>
          <w:tcPr>
            <w:tcW w:w="2268" w:type="dxa"/>
            <w:shd w:val="clear" w:color="auto" w:fill="EDF4FC"/>
            <w:vAlign w:val="center"/>
          </w:tcPr>
          <w:p w14:paraId="48CCC7D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下一步</w:t>
            </w:r>
          </w:p>
        </w:tc>
      </w:tr>
      <w:tr w14:paraId="2CB7D3A1">
        <w:trPr>
          <w:cantSplit/>
          <w:jc w:val="center"/>
        </w:trPr>
        <w:tc>
          <w:tcPr>
            <w:tcW w:w="2891" w:type="dxa"/>
            <w:shd w:val="clear" w:color="auto" w:fill="FFFFFF"/>
            <w:vAlign w:val="center"/>
          </w:tcPr>
          <w:p w14:paraId="6817572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数据使用需求</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DEMO-DM-001</w:t>
            </w:r>
          </w:p>
        </w:tc>
        <w:tc>
          <w:tcPr>
            <w:tcW w:w="4422" w:type="dxa"/>
            <w:shd w:val="clear" w:color="auto" w:fill="FFFFFF"/>
            <w:vAlign w:val="center"/>
          </w:tcPr>
          <w:p w14:paraId="644FECF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已登记，待对接（演示）</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不代表取得数据授权</w:t>
            </w:r>
          </w:p>
        </w:tc>
        <w:tc>
          <w:tcPr>
            <w:tcW w:w="2268" w:type="dxa"/>
            <w:shd w:val="clear" w:color="auto" w:fill="FFFFFF"/>
            <w:vAlign w:val="center"/>
          </w:tcPr>
          <w:p w14:paraId="6A5E878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查询对接进度</w:t>
            </w:r>
          </w:p>
        </w:tc>
      </w:tr>
      <w:tr w14:paraId="33DCB50E">
        <w:trPr>
          <w:cantSplit/>
          <w:jc w:val="center"/>
        </w:trPr>
        <w:tc>
          <w:tcPr>
            <w:tcW w:w="2891" w:type="dxa"/>
            <w:shd w:val="clear" w:color="auto" w:fill="F7F9FC"/>
            <w:vAlign w:val="center"/>
          </w:tcPr>
          <w:p w14:paraId="6227EF9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算力申请</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DEMO-CR-001</w:t>
            </w:r>
          </w:p>
        </w:tc>
        <w:tc>
          <w:tcPr>
            <w:tcW w:w="4422" w:type="dxa"/>
            <w:shd w:val="clear" w:color="auto" w:fill="F7F9FC"/>
            <w:vAlign w:val="center"/>
          </w:tcPr>
          <w:p w14:paraId="3D79BD9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待补正（模拟业务反馈）</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需进一步说明计算任务用途</w:t>
            </w:r>
          </w:p>
        </w:tc>
        <w:tc>
          <w:tcPr>
            <w:tcW w:w="2268" w:type="dxa"/>
            <w:shd w:val="clear" w:color="auto" w:fill="F7F9FC"/>
            <w:vAlign w:val="center"/>
          </w:tcPr>
          <w:p w14:paraId="44259C5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补充用途说明</w:t>
            </w:r>
          </w:p>
        </w:tc>
      </w:tr>
    </w:tbl>
    <w:p w14:paraId="5F100A15">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06147728">
        <w:tc>
          <w:tcPr>
            <w:tcW w:w="765" w:type="dxa"/>
            <w:shd w:val="clear" w:color="auto" w:fill="F0F2F5"/>
            <w:vAlign w:val="center"/>
          </w:tcPr>
          <w:p w14:paraId="6CC3A687">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用户</w:t>
            </w:r>
          </w:p>
        </w:tc>
        <w:tc>
          <w:tcPr>
            <w:tcW w:w="8816" w:type="dxa"/>
            <w:shd w:val="clear" w:color="auto" w:fill="FFFFFF"/>
            <w:vAlign w:val="center"/>
          </w:tcPr>
          <w:p w14:paraId="6E22E9F4">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算力申请需要补什么？</w:t>
            </w:r>
          </w:p>
        </w:tc>
      </w:tr>
    </w:tbl>
    <w:p w14:paraId="1EF9A907">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4088E163">
        <w:tc>
          <w:tcPr>
            <w:tcW w:w="765" w:type="dxa"/>
            <w:shd w:val="clear" w:color="auto" w:fill="EDF4FC"/>
            <w:vAlign w:val="center"/>
          </w:tcPr>
          <w:p w14:paraId="282E3E52">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合合</w:t>
            </w:r>
          </w:p>
        </w:tc>
        <w:tc>
          <w:tcPr>
            <w:tcW w:w="8816" w:type="dxa"/>
            <w:shd w:val="clear" w:color="auto" w:fill="F5F8FD"/>
            <w:vAlign w:val="center"/>
          </w:tcPr>
          <w:p w14:paraId="2BEB3082">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演示反馈提示DEMO-CR-001需补充计算任务用途。保留原项目、资源和3个月周期，只补这一项；您核对后提交补正，不新建另一张申请。</w:t>
            </w:r>
          </w:p>
        </w:tc>
      </w:tr>
    </w:tbl>
    <w:p w14:paraId="0AB34707">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2110AC9D">
        <w:trPr>
          <w:cantSplit/>
          <w:tblHeader/>
          <w:jc w:val="center"/>
        </w:trPr>
        <w:tc>
          <w:tcPr>
            <w:tcW w:w="9581" w:type="dxa"/>
            <w:shd w:val="clear" w:color="auto" w:fill="EDF4FC"/>
            <w:vAlign w:val="center"/>
          </w:tcPr>
          <w:p w14:paraId="313DDF47">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异常分支：提交结果未知</w:t>
            </w:r>
          </w:p>
        </w:tc>
      </w:tr>
      <w:tr w14:paraId="0FBA1EB1">
        <w:trPr>
          <w:cantSplit/>
          <w:jc w:val="center"/>
        </w:trPr>
        <w:tc>
          <w:tcPr>
            <w:tcW w:w="9581" w:type="dxa"/>
            <w:shd w:val="clear" w:color="auto" w:fill="FFFFFF"/>
            <w:vAlign w:val="center"/>
          </w:tcPr>
          <w:p w14:paraId="142835EF">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按原请求标识查询确认。已确认事项保留结果，未确认项单独提示，不自动重建申请，也不将整个方案显示为全部成功。</w:t>
            </w:r>
          </w:p>
        </w:tc>
      </w:tr>
    </w:tbl>
    <w:p w14:paraId="27CE5B8D">
      <w:pPr>
        <w:keepNext w:val="0"/>
        <w:widowControl/>
        <w:snapToGrid w:val="0"/>
        <w:spacing w:before="0" w:after="0" w:line="80" w:lineRule="exact"/>
        <w:ind w:firstLine="0"/>
        <w:rPr>
          <w:rFonts w:hint="eastAsia" w:ascii="仿宋_GB2312" w:hAnsi="仿宋_GB2312" w:eastAsia="仿宋_GB2312" w:cs="仿宋_GB2312"/>
        </w:rPr>
      </w:pPr>
    </w:p>
    <w:p w14:paraId="7A2471F9">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工程支撑：工作流与状态机、用户确认、受控API或MCP工具、幂等防重、状态回传、人工接续。实际事项、拆单规则及权限由业务方确认。</w:t>
      </w:r>
    </w:p>
    <w:p w14:paraId="584C8C7F">
      <w:pPr>
        <w:rPr>
          <w:rFonts w:hint="eastAsia" w:ascii="仿宋_GB2312" w:hAnsi="仿宋_GB2312" w:eastAsia="仿宋_GB2312" w:cs="仿宋_GB2312"/>
        </w:rPr>
      </w:pPr>
      <w:r>
        <w:rPr>
          <w:rFonts w:hint="eastAsia" w:ascii="仿宋_GB2312" w:hAnsi="仿宋_GB2312" w:eastAsia="仿宋_GB2312" w:cs="仿宋_GB2312"/>
        </w:rPr>
        <w:br w:type="page"/>
      </w:r>
    </w:p>
    <w:p w14:paraId="071BC2A7">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场景示意5/6</w:t>
      </w:r>
    </w:p>
    <w:p w14:paraId="1494C62A">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结构化治理：统一语义与查询口径</w:t>
      </w:r>
    </w:p>
    <w:p w14:paraId="74066AE8">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使用者：授权数据治理人员和业务审核人员；该管理入口不向前台普通用户开放。</w:t>
      </w:r>
    </w:p>
    <w:tbl>
      <w:tblPr>
        <w:tblStyle w:val="32"/>
        <w:tblW w:w="0" w:type="auto"/>
        <w:tblInd w:w="0" w:type="dxa"/>
        <w:tblLayout w:type="fixed"/>
        <w:tblCellMar>
          <w:top w:w="0" w:type="dxa"/>
          <w:left w:w="108" w:type="dxa"/>
          <w:bottom w:w="0" w:type="dxa"/>
          <w:right w:w="108" w:type="dxa"/>
        </w:tblCellMar>
      </w:tblPr>
      <w:tblGrid>
        <w:gridCol w:w="6633"/>
        <w:gridCol w:w="2948"/>
      </w:tblGrid>
      <w:tr w14:paraId="5AB431C2">
        <w:tc>
          <w:tcPr>
            <w:tcW w:w="6633" w:type="dxa"/>
            <w:shd w:val="clear" w:color="auto" w:fill="EAF2FC"/>
            <w:vAlign w:val="center"/>
          </w:tcPr>
          <w:p w14:paraId="670ACE06">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结构化目录治理</w:t>
            </w:r>
          </w:p>
        </w:tc>
        <w:tc>
          <w:tcPr>
            <w:tcW w:w="2948" w:type="dxa"/>
            <w:shd w:val="clear" w:color="auto" w:fill="EAF2FC"/>
            <w:vAlign w:val="center"/>
          </w:tcPr>
          <w:p w14:paraId="7EF77ACE">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后台管理 · 规划示意</w:t>
            </w:r>
          </w:p>
        </w:tc>
      </w:tr>
    </w:tbl>
    <w:p w14:paraId="5FA4AA6C">
      <w:pPr>
        <w:pStyle w:val="165"/>
        <w:keepNext w:val="0"/>
        <w:widowControl/>
        <w:snapToGrid w:val="0"/>
        <w:spacing w:before="0" w:after="0" w:line="280" w:lineRule="exact"/>
        <w:ind w:firstLine="0"/>
        <w:rPr>
          <w:rFonts w:hint="eastAsia" w:ascii="仿宋_GB2312" w:hAnsi="仿宋_GB2312" w:eastAsia="仿宋_GB2312" w:cs="仿宋_GB2312"/>
        </w:rPr>
      </w:pPr>
    </w:p>
    <w:p w14:paraId="3D3D5E18">
      <w:pPr>
        <w:pStyle w:val="164"/>
        <w:keepNext w:val="0"/>
        <w:widowControl/>
        <w:snapToGrid w:val="0"/>
        <w:spacing w:before="0" w:after="16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接入 → 字段识别 → 语义映射 → 质量检查 → 业务审核 → 服务发布</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2608"/>
        <w:gridCol w:w="2041"/>
        <w:gridCol w:w="4932"/>
      </w:tblGrid>
      <w:tr w14:paraId="59D26053">
        <w:trPr>
          <w:cantSplit/>
          <w:tblHeader/>
          <w:jc w:val="center"/>
        </w:trPr>
        <w:tc>
          <w:tcPr>
            <w:tcW w:w="2608" w:type="dxa"/>
            <w:shd w:val="clear" w:color="auto" w:fill="EDF4FC"/>
            <w:vAlign w:val="center"/>
          </w:tcPr>
          <w:p w14:paraId="5078648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来源字段</w:t>
            </w:r>
          </w:p>
        </w:tc>
        <w:tc>
          <w:tcPr>
            <w:tcW w:w="2041" w:type="dxa"/>
            <w:shd w:val="clear" w:color="auto" w:fill="EDF4FC"/>
            <w:vAlign w:val="center"/>
          </w:tcPr>
          <w:p w14:paraId="79AF09C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业务语义</w:t>
            </w:r>
          </w:p>
        </w:tc>
        <w:tc>
          <w:tcPr>
            <w:tcW w:w="4932" w:type="dxa"/>
            <w:shd w:val="clear" w:color="auto" w:fill="EDF4FC"/>
            <w:vAlign w:val="center"/>
          </w:tcPr>
          <w:p w14:paraId="335385A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治理约束</w:t>
            </w:r>
          </w:p>
        </w:tc>
      </w:tr>
      <w:tr w14:paraId="09EFF450">
        <w:trPr>
          <w:cantSplit/>
          <w:jc w:val="center"/>
        </w:trPr>
        <w:tc>
          <w:tcPr>
            <w:tcW w:w="2608" w:type="dxa"/>
            <w:shd w:val="clear" w:color="auto" w:fill="FFFFFF"/>
            <w:vAlign w:val="center"/>
          </w:tcPr>
          <w:p w14:paraId="1F89EC25">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来源表＋id</w:t>
            </w:r>
          </w:p>
        </w:tc>
        <w:tc>
          <w:tcPr>
            <w:tcW w:w="2041" w:type="dxa"/>
            <w:shd w:val="clear" w:color="auto" w:fill="FFFFFF"/>
            <w:vAlign w:val="center"/>
          </w:tcPr>
          <w:p w14:paraId="6AA50F9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稳定对象标识</w:t>
            </w:r>
          </w:p>
        </w:tc>
        <w:tc>
          <w:tcPr>
            <w:tcW w:w="4932" w:type="dxa"/>
            <w:shd w:val="clear" w:color="auto" w:fill="FFFFFF"/>
            <w:vAlign w:val="center"/>
          </w:tcPr>
          <w:p w14:paraId="20BB887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保留来源，不能仅按名称合并</w:t>
            </w:r>
          </w:p>
        </w:tc>
      </w:tr>
      <w:tr w14:paraId="11484DA2">
        <w:trPr>
          <w:cantSplit/>
          <w:jc w:val="center"/>
        </w:trPr>
        <w:tc>
          <w:tcPr>
            <w:tcW w:w="2608" w:type="dxa"/>
            <w:shd w:val="clear" w:color="auto" w:fill="F7F9FC"/>
            <w:vAlign w:val="center"/>
          </w:tcPr>
          <w:p w14:paraId="73B3825E">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domain_name</w:t>
            </w:r>
          </w:p>
        </w:tc>
        <w:tc>
          <w:tcPr>
            <w:tcW w:w="2041" w:type="dxa"/>
            <w:shd w:val="clear" w:color="auto" w:fill="F7F9FC"/>
            <w:vAlign w:val="center"/>
          </w:tcPr>
          <w:p w14:paraId="48771435">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所属领域</w:t>
            </w:r>
          </w:p>
        </w:tc>
        <w:tc>
          <w:tcPr>
            <w:tcW w:w="4932" w:type="dxa"/>
            <w:shd w:val="clear" w:color="auto" w:fill="F7F9FC"/>
            <w:vAlign w:val="center"/>
          </w:tcPr>
          <w:p w14:paraId="2812F52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统一分类字典，处理空值与冲突</w:t>
            </w:r>
          </w:p>
        </w:tc>
      </w:tr>
      <w:tr w14:paraId="78FADA5B">
        <w:trPr>
          <w:cantSplit/>
          <w:jc w:val="center"/>
        </w:trPr>
        <w:tc>
          <w:tcPr>
            <w:tcW w:w="2608" w:type="dxa"/>
            <w:shd w:val="clear" w:color="auto" w:fill="FFFFFF"/>
            <w:vAlign w:val="center"/>
          </w:tcPr>
          <w:p w14:paraId="6D8F2A2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dept_name</w:t>
            </w:r>
          </w:p>
        </w:tc>
        <w:tc>
          <w:tcPr>
            <w:tcW w:w="2041" w:type="dxa"/>
            <w:shd w:val="clear" w:color="auto" w:fill="FFFFFF"/>
            <w:vAlign w:val="center"/>
          </w:tcPr>
          <w:p w14:paraId="4313B2D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提供部门</w:t>
            </w:r>
          </w:p>
        </w:tc>
        <w:tc>
          <w:tcPr>
            <w:tcW w:w="4932" w:type="dxa"/>
            <w:shd w:val="clear" w:color="auto" w:fill="FFFFFF"/>
            <w:vAlign w:val="center"/>
          </w:tcPr>
          <w:p w14:paraId="6E0271D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统一名称，维护机构对应关系</w:t>
            </w:r>
          </w:p>
        </w:tc>
      </w:tr>
      <w:tr w14:paraId="42DFF171">
        <w:trPr>
          <w:cantSplit/>
          <w:jc w:val="center"/>
        </w:trPr>
        <w:tc>
          <w:tcPr>
            <w:tcW w:w="2608" w:type="dxa"/>
            <w:shd w:val="clear" w:color="auto" w:fill="F7F9FC"/>
            <w:vAlign w:val="center"/>
          </w:tcPr>
          <w:p w14:paraId="5BE1DBD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is_open</w:t>
            </w:r>
          </w:p>
        </w:tc>
        <w:tc>
          <w:tcPr>
            <w:tcW w:w="2041" w:type="dxa"/>
            <w:shd w:val="clear" w:color="auto" w:fill="F7F9FC"/>
            <w:vAlign w:val="center"/>
          </w:tcPr>
          <w:p w14:paraId="2751625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开放标识</w:t>
            </w:r>
          </w:p>
        </w:tc>
        <w:tc>
          <w:tcPr>
            <w:tcW w:w="4932" w:type="dxa"/>
            <w:shd w:val="clear" w:color="auto" w:fill="F7F9FC"/>
            <w:vAlign w:val="center"/>
          </w:tcPr>
          <w:p w14:paraId="1E607C5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保留来源值，不代替用户授权</w:t>
            </w:r>
          </w:p>
        </w:tc>
      </w:tr>
      <w:tr w14:paraId="20E60EFD">
        <w:trPr>
          <w:cantSplit/>
          <w:jc w:val="center"/>
        </w:trPr>
        <w:tc>
          <w:tcPr>
            <w:tcW w:w="2608" w:type="dxa"/>
            <w:shd w:val="clear" w:color="auto" w:fill="FFFFFF"/>
            <w:vAlign w:val="center"/>
          </w:tcPr>
          <w:p w14:paraId="609621D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is_shared</w:t>
            </w:r>
          </w:p>
        </w:tc>
        <w:tc>
          <w:tcPr>
            <w:tcW w:w="2041" w:type="dxa"/>
            <w:shd w:val="clear" w:color="auto" w:fill="FFFFFF"/>
            <w:vAlign w:val="center"/>
          </w:tcPr>
          <w:p w14:paraId="53DC466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共享属性</w:t>
            </w:r>
          </w:p>
        </w:tc>
        <w:tc>
          <w:tcPr>
            <w:tcW w:w="4932" w:type="dxa"/>
            <w:shd w:val="clear" w:color="auto" w:fill="FFFFFF"/>
            <w:vAlign w:val="center"/>
          </w:tcPr>
          <w:p w14:paraId="0DC99E2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与开放标识分开解释和使用</w:t>
            </w:r>
          </w:p>
        </w:tc>
      </w:tr>
    </w:tbl>
    <w:p w14:paraId="41ED7188">
      <w:pPr>
        <w:keepNext w:val="0"/>
        <w:widowControl/>
        <w:snapToGrid w:val="0"/>
        <w:spacing w:before="0" w:after="0" w:line="80" w:lineRule="exact"/>
        <w:ind w:firstLine="0"/>
        <w:rPr>
          <w:rFonts w:hint="eastAsia" w:ascii="仿宋_GB2312" w:hAnsi="仿宋_GB2312" w:eastAsia="仿宋_GB2312" w:cs="仿宋_GB2312"/>
        </w:rPr>
      </w:pPr>
    </w:p>
    <w:p w14:paraId="1B5A447D">
      <w:pPr>
        <w:pStyle w:val="164"/>
        <w:keepNext/>
        <w:widowControl/>
        <w:snapToGrid w:val="0"/>
        <w:spacing w:before="0" w:after="100" w:line="35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3"/>
        </w:rPr>
        <w:t>发布前的标准查询测试（快照示例）</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7540"/>
        <w:gridCol w:w="2041"/>
      </w:tblGrid>
      <w:tr w14:paraId="046C322F">
        <w:trPr>
          <w:cantSplit/>
          <w:tblHeader/>
          <w:jc w:val="center"/>
        </w:trPr>
        <w:tc>
          <w:tcPr>
            <w:tcW w:w="7540" w:type="dxa"/>
            <w:shd w:val="clear" w:color="auto" w:fill="EDF4FC"/>
            <w:vAlign w:val="center"/>
          </w:tcPr>
          <w:p w14:paraId="6D15CF58">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测试条件</w:t>
            </w:r>
          </w:p>
        </w:tc>
        <w:tc>
          <w:tcPr>
            <w:tcW w:w="2041" w:type="dxa"/>
            <w:shd w:val="clear" w:color="auto" w:fill="EDF4FC"/>
            <w:vAlign w:val="center"/>
          </w:tcPr>
          <w:p w14:paraId="4ACB7B76">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离线复核结果</w:t>
            </w:r>
          </w:p>
        </w:tc>
      </w:tr>
      <w:tr w14:paraId="60BAE554">
        <w:trPr>
          <w:cantSplit/>
          <w:jc w:val="center"/>
        </w:trPr>
        <w:tc>
          <w:tcPr>
            <w:tcW w:w="7540" w:type="dxa"/>
            <w:shd w:val="clear" w:color="auto" w:fill="FFFFFF"/>
            <w:vAlign w:val="center"/>
          </w:tcPr>
          <w:p w14:paraId="6E0FBB19">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交通运输领域</w:t>
            </w:r>
          </w:p>
        </w:tc>
        <w:tc>
          <w:tcPr>
            <w:tcW w:w="2041" w:type="dxa"/>
            <w:shd w:val="clear" w:color="auto" w:fill="FFFFFF"/>
            <w:vAlign w:val="center"/>
          </w:tcPr>
          <w:p w14:paraId="2754D6C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614</w:t>
            </w:r>
          </w:p>
        </w:tc>
      </w:tr>
      <w:tr w14:paraId="7799570A">
        <w:trPr>
          <w:cantSplit/>
          <w:jc w:val="center"/>
        </w:trPr>
        <w:tc>
          <w:tcPr>
            <w:tcW w:w="7540" w:type="dxa"/>
            <w:shd w:val="clear" w:color="auto" w:fill="F7F9FC"/>
            <w:vAlign w:val="center"/>
          </w:tcPr>
          <w:p w14:paraId="27C23039">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交通运输＋市交通委</w:t>
            </w:r>
          </w:p>
        </w:tc>
        <w:tc>
          <w:tcPr>
            <w:tcW w:w="2041" w:type="dxa"/>
            <w:shd w:val="clear" w:color="auto" w:fill="F7F9FC"/>
            <w:vAlign w:val="center"/>
          </w:tcPr>
          <w:p w14:paraId="1F2B04F4">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569</w:t>
            </w:r>
          </w:p>
        </w:tc>
      </w:tr>
      <w:tr w14:paraId="69AED868">
        <w:trPr>
          <w:cantSplit/>
          <w:jc w:val="center"/>
        </w:trPr>
        <w:tc>
          <w:tcPr>
            <w:tcW w:w="7540" w:type="dxa"/>
            <w:shd w:val="clear" w:color="auto" w:fill="FFFFFF"/>
            <w:vAlign w:val="center"/>
          </w:tcPr>
          <w:p w14:paraId="25BD7585">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交通运输＋市交通委＋开放标识“是”</w:t>
            </w:r>
          </w:p>
        </w:tc>
        <w:tc>
          <w:tcPr>
            <w:tcW w:w="2041" w:type="dxa"/>
            <w:shd w:val="clear" w:color="auto" w:fill="FFFFFF"/>
            <w:vAlign w:val="center"/>
          </w:tcPr>
          <w:p w14:paraId="45BF84F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38</w:t>
            </w:r>
          </w:p>
        </w:tc>
      </w:tr>
      <w:tr w14:paraId="355FE851">
        <w:trPr>
          <w:cantSplit/>
          <w:jc w:val="center"/>
        </w:trPr>
        <w:tc>
          <w:tcPr>
            <w:tcW w:w="7540" w:type="dxa"/>
            <w:shd w:val="clear" w:color="auto" w:fill="F7F9FC"/>
            <w:vAlign w:val="center"/>
          </w:tcPr>
          <w:p w14:paraId="5B1E22BA">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市交通委全部领域</w:t>
            </w:r>
          </w:p>
        </w:tc>
        <w:tc>
          <w:tcPr>
            <w:tcW w:w="2041" w:type="dxa"/>
            <w:shd w:val="clear" w:color="auto" w:fill="F7F9FC"/>
            <w:vAlign w:val="center"/>
          </w:tcPr>
          <w:p w14:paraId="15AAA17D">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583</w:t>
            </w:r>
          </w:p>
        </w:tc>
      </w:tr>
    </w:tbl>
    <w:p w14:paraId="6344BAC9">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52E3EE62">
        <w:trPr>
          <w:cantSplit/>
          <w:tblHeader/>
          <w:jc w:val="center"/>
        </w:trPr>
        <w:tc>
          <w:tcPr>
            <w:tcW w:w="9581" w:type="dxa"/>
            <w:shd w:val="clear" w:color="auto" w:fill="EDF4FC"/>
            <w:vAlign w:val="center"/>
          </w:tcPr>
          <w:p w14:paraId="09CA2E54">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审核发布与回退</w:t>
            </w:r>
          </w:p>
        </w:tc>
      </w:tr>
      <w:tr w14:paraId="53CD4367">
        <w:trPr>
          <w:cantSplit/>
          <w:jc w:val="center"/>
        </w:trPr>
        <w:tc>
          <w:tcPr>
            <w:tcW w:w="9581" w:type="dxa"/>
            <w:shd w:val="clear" w:color="auto" w:fill="FFFFFF"/>
            <w:vAlign w:val="center"/>
          </w:tcPr>
          <w:p w14:paraId="7C9C6D6A">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字段语义、统计口径、权限及版本经业务确认后发布；新版本重复运行标准用例，保留变更记录与回退版本。离线数量一致不等于生产接口验收。</w:t>
            </w:r>
          </w:p>
        </w:tc>
      </w:tr>
    </w:tbl>
    <w:p w14:paraId="39877AE5">
      <w:pPr>
        <w:keepNext w:val="0"/>
        <w:widowControl/>
        <w:snapToGrid w:val="0"/>
        <w:spacing w:before="0" w:after="0" w:line="80" w:lineRule="exact"/>
        <w:ind w:firstLine="0"/>
        <w:rPr>
          <w:rFonts w:hint="eastAsia" w:ascii="仿宋_GB2312" w:hAnsi="仿宋_GB2312" w:eastAsia="仿宋_GB2312" w:cs="仿宋_GB2312"/>
        </w:rPr>
      </w:pPr>
    </w:p>
    <w:p w14:paraId="64C74AE7">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来源：字段与数量来自2026-09-02政府侧目录快照。管理流程为方案设计；工程支撑包括接入同步、元数据映射、质量规则、语义模型与发布测试。</w:t>
      </w:r>
    </w:p>
    <w:p w14:paraId="7BBC5BEE">
      <w:pPr>
        <w:rPr>
          <w:rFonts w:hint="eastAsia" w:ascii="仿宋_GB2312" w:hAnsi="仿宋_GB2312" w:eastAsia="仿宋_GB2312" w:cs="仿宋_GB2312"/>
        </w:rPr>
      </w:pPr>
      <w:r>
        <w:rPr>
          <w:rFonts w:hint="eastAsia" w:ascii="仿宋_GB2312" w:hAnsi="仿宋_GB2312" w:eastAsia="仿宋_GB2312" w:cs="仿宋_GB2312"/>
        </w:rPr>
        <w:br w:type="page"/>
      </w:r>
    </w:p>
    <w:p w14:paraId="0059CF19">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附件1 · 场景示意6/6</w:t>
      </w:r>
    </w:p>
    <w:p w14:paraId="43F7A690">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知识治理：解析、审核与依据追溯</w:t>
      </w:r>
    </w:p>
    <w:p w14:paraId="3A50C708">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使用者：知识运营与业务审核人员。保留原文、候选知识、测试答案和发布版本之间的对应关系。</w:t>
      </w:r>
    </w:p>
    <w:tbl>
      <w:tblPr>
        <w:tblStyle w:val="32"/>
        <w:tblW w:w="0" w:type="auto"/>
        <w:tblInd w:w="0" w:type="dxa"/>
        <w:tblLayout w:type="fixed"/>
        <w:tblCellMar>
          <w:top w:w="0" w:type="dxa"/>
          <w:left w:w="108" w:type="dxa"/>
          <w:bottom w:w="0" w:type="dxa"/>
          <w:right w:w="108" w:type="dxa"/>
        </w:tblCellMar>
      </w:tblPr>
      <w:tblGrid>
        <w:gridCol w:w="6633"/>
        <w:gridCol w:w="2948"/>
      </w:tblGrid>
      <w:tr w14:paraId="6809830E">
        <w:tc>
          <w:tcPr>
            <w:tcW w:w="6633" w:type="dxa"/>
            <w:shd w:val="clear" w:color="auto" w:fill="EAF2FC"/>
            <w:vAlign w:val="center"/>
          </w:tcPr>
          <w:p w14:paraId="0846EF6B">
            <w:pPr>
              <w:keepNext w:val="0"/>
              <w:widowControl/>
              <w:snapToGrid w:val="0"/>
              <w:spacing w:before="0" w:after="20" w:line="39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6"/>
              </w:rPr>
              <w:t>合合助手  /  知识治理与证据验证</w:t>
            </w:r>
          </w:p>
        </w:tc>
        <w:tc>
          <w:tcPr>
            <w:tcW w:w="2948" w:type="dxa"/>
            <w:shd w:val="clear" w:color="auto" w:fill="EAF2FC"/>
            <w:vAlign w:val="center"/>
          </w:tcPr>
          <w:p w14:paraId="4B662172">
            <w:pPr>
              <w:keepNext w:val="0"/>
              <w:widowControl/>
              <w:snapToGrid w:val="0"/>
              <w:spacing w:before="0" w:after="20" w:line="315" w:lineRule="exact"/>
              <w:ind w:firstLine="0"/>
              <w:jc w:val="right"/>
              <w:rPr>
                <w:rFonts w:hint="eastAsia" w:ascii="仿宋_GB2312" w:hAnsi="仿宋_GB2312" w:eastAsia="仿宋_GB2312" w:cs="仿宋_GB2312"/>
              </w:rPr>
            </w:pPr>
            <w:r>
              <w:rPr>
                <w:rFonts w:hint="eastAsia" w:ascii="仿宋_GB2312" w:hAnsi="仿宋_GB2312" w:eastAsia="仿宋_GB2312" w:cs="仿宋_GB2312"/>
                <w:b w:val="0"/>
                <w:color w:val="566575"/>
                <w:sz w:val="21"/>
              </w:rPr>
              <w:t>后台管理 · 规划示意</w:t>
            </w:r>
          </w:p>
        </w:tc>
      </w:tr>
    </w:tbl>
    <w:p w14:paraId="24E83B19">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4C9E0EB0">
        <w:trPr>
          <w:cantSplit/>
          <w:tblHeader/>
          <w:jc w:val="center"/>
        </w:trPr>
        <w:tc>
          <w:tcPr>
            <w:tcW w:w="9581" w:type="dxa"/>
            <w:shd w:val="clear" w:color="auto" w:fill="EDF4FC"/>
            <w:vAlign w:val="center"/>
          </w:tcPr>
          <w:p w14:paraId="0B3555A0">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来源资料</w:t>
            </w:r>
          </w:p>
        </w:tc>
      </w:tr>
      <w:tr w14:paraId="5ADA587A">
        <w:trPr>
          <w:cantSplit/>
          <w:jc w:val="center"/>
        </w:trPr>
        <w:tc>
          <w:tcPr>
            <w:tcW w:w="9581" w:type="dxa"/>
            <w:shd w:val="clear" w:color="auto" w:fill="FFFFFF"/>
            <w:vAlign w:val="center"/>
          </w:tcPr>
          <w:p w14:paraId="17D983FB">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《北京市公共数据资源授权运营管理办法》，京政数发〔2026〕6号。成文2026-07-02，公开发布2026-07-09。本页展示候选知识处理过程，不代表资料已正式入库。</w:t>
            </w:r>
          </w:p>
        </w:tc>
      </w:tr>
    </w:tbl>
    <w:p w14:paraId="61038C0D">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2835"/>
        <w:gridCol w:w="6746"/>
      </w:tblGrid>
      <w:tr w14:paraId="37C4F430">
        <w:trPr>
          <w:cantSplit/>
          <w:tblHeader/>
          <w:jc w:val="center"/>
        </w:trPr>
        <w:tc>
          <w:tcPr>
            <w:tcW w:w="2835" w:type="dxa"/>
            <w:shd w:val="clear" w:color="auto" w:fill="EDF4FC"/>
            <w:vAlign w:val="center"/>
          </w:tcPr>
          <w:p w14:paraId="745DBC1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原文定位</w:t>
            </w:r>
          </w:p>
        </w:tc>
        <w:tc>
          <w:tcPr>
            <w:tcW w:w="6746" w:type="dxa"/>
            <w:shd w:val="clear" w:color="auto" w:fill="EDF4FC"/>
            <w:vAlign w:val="center"/>
          </w:tcPr>
          <w:p w14:paraId="5BCEF34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候选知识卡（待审核）</w:t>
            </w:r>
          </w:p>
        </w:tc>
      </w:tr>
      <w:tr w14:paraId="2D3D85AD">
        <w:trPr>
          <w:cantSplit/>
          <w:jc w:val="center"/>
        </w:trPr>
        <w:tc>
          <w:tcPr>
            <w:tcW w:w="2835" w:type="dxa"/>
            <w:shd w:val="clear" w:color="auto" w:fill="FFFFFF"/>
            <w:vAlign w:val="center"/>
          </w:tcPr>
          <w:p w14:paraId="703CFB3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第十八条</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需求受理反馈</w:t>
            </w:r>
          </w:p>
        </w:tc>
        <w:tc>
          <w:tcPr>
            <w:tcW w:w="6746" w:type="dxa"/>
            <w:shd w:val="clear" w:color="auto" w:fill="FFFFFF"/>
            <w:vAlign w:val="center"/>
          </w:tcPr>
          <w:p w14:paraId="30EE68A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主题：社会主体数据使用需求归集</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适用：需求登记和服务对接</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边界：不能据此直接判定使用授权</w:t>
            </w:r>
          </w:p>
        </w:tc>
      </w:tr>
      <w:tr w14:paraId="2C2A7309">
        <w:trPr>
          <w:cantSplit/>
          <w:jc w:val="center"/>
        </w:trPr>
        <w:tc>
          <w:tcPr>
            <w:tcW w:w="2835" w:type="dxa"/>
            <w:shd w:val="clear" w:color="auto" w:fill="F7F9FC"/>
            <w:vAlign w:val="center"/>
          </w:tcPr>
          <w:p w14:paraId="36B4BAB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第二十三条</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产品与服务再开发</w:t>
            </w:r>
          </w:p>
        </w:tc>
        <w:tc>
          <w:tcPr>
            <w:tcW w:w="6746" w:type="dxa"/>
            <w:shd w:val="clear" w:color="auto" w:fill="F7F9FC"/>
            <w:vAlign w:val="center"/>
          </w:tcPr>
          <w:p w14:paraId="53A5C537">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对象：运营机构已交付的产品和服务</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用途：参与路径说明</w:t>
            </w:r>
            <w:r>
              <w:rPr>
                <w:rFonts w:hint="eastAsia" w:ascii="仿宋_GB2312" w:hAnsi="仿宋_GB2312" w:eastAsia="仿宋_GB2312" w:cs="仿宋_GB2312"/>
                <w:b w:val="0"/>
                <w:color w:val="1F2631"/>
                <w:sz w:val="21"/>
              </w:rPr>
              <w:br w:type="textWrapping"/>
            </w:r>
            <w:r>
              <w:rPr>
                <w:rFonts w:hint="eastAsia" w:ascii="仿宋_GB2312" w:hAnsi="仿宋_GB2312" w:eastAsia="仿宋_GB2312" w:cs="仿宋_GB2312"/>
                <w:b w:val="0"/>
                <w:color w:val="1F2631"/>
                <w:sz w:val="21"/>
              </w:rPr>
              <w:t>边界：不得推导为原始数据可任意取得</w:t>
            </w:r>
          </w:p>
        </w:tc>
      </w:tr>
    </w:tbl>
    <w:p w14:paraId="59EC4C6B">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3709A411">
        <w:tc>
          <w:tcPr>
            <w:tcW w:w="765" w:type="dxa"/>
            <w:shd w:val="clear" w:color="auto" w:fill="F0F2F5"/>
            <w:vAlign w:val="center"/>
          </w:tcPr>
          <w:p w14:paraId="7A929570">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测试</w:t>
            </w:r>
          </w:p>
        </w:tc>
        <w:tc>
          <w:tcPr>
            <w:tcW w:w="8816" w:type="dxa"/>
            <w:shd w:val="clear" w:color="auto" w:fill="FFFFFF"/>
            <w:vAlign w:val="center"/>
          </w:tcPr>
          <w:p w14:paraId="732B26D8">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提交数据使用需求，就代表获得数据使用权了吗？</w:t>
            </w:r>
          </w:p>
        </w:tc>
      </w:tr>
    </w:tbl>
    <w:p w14:paraId="5467A55D">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tblInd w:w="0" w:type="dxa"/>
        <w:tblLayout w:type="fixed"/>
        <w:tblCellMar>
          <w:top w:w="0" w:type="dxa"/>
          <w:left w:w="108" w:type="dxa"/>
          <w:bottom w:w="0" w:type="dxa"/>
          <w:right w:w="108" w:type="dxa"/>
        </w:tblCellMar>
      </w:tblPr>
      <w:tblGrid>
        <w:gridCol w:w="765"/>
        <w:gridCol w:w="8816"/>
      </w:tblGrid>
      <w:tr w14:paraId="690F68AB">
        <w:tc>
          <w:tcPr>
            <w:tcW w:w="765" w:type="dxa"/>
            <w:shd w:val="clear" w:color="auto" w:fill="F0F2F5"/>
            <w:vAlign w:val="center"/>
          </w:tcPr>
          <w:p w14:paraId="6E0C66A8">
            <w:pPr>
              <w:keepNext w:val="0"/>
              <w:widowControl/>
              <w:snapToGrid w:val="0"/>
              <w:spacing w:before="0" w:after="20" w:line="321" w:lineRule="exact"/>
              <w:ind w:firstLine="0"/>
              <w:rPr>
                <w:rFonts w:hint="eastAsia" w:ascii="仿宋_GB2312" w:hAnsi="仿宋_GB2312" w:eastAsia="仿宋_GB2312" w:cs="仿宋_GB2312"/>
              </w:rPr>
            </w:pPr>
            <w:r>
              <w:rPr>
                <w:rFonts w:hint="eastAsia" w:ascii="仿宋_GB2312" w:hAnsi="仿宋_GB2312" w:eastAsia="仿宋_GB2312" w:cs="仿宋_GB2312"/>
                <w:b/>
                <w:color w:val="566575"/>
                <w:sz w:val="21"/>
              </w:rPr>
              <w:t>候选答复</w:t>
            </w:r>
          </w:p>
        </w:tc>
        <w:tc>
          <w:tcPr>
            <w:tcW w:w="8816" w:type="dxa"/>
            <w:shd w:val="clear" w:color="auto" w:fill="FFFFFF"/>
            <w:vAlign w:val="center"/>
          </w:tcPr>
          <w:p w14:paraId="40CE433A">
            <w:pPr>
              <w:keepNext w:val="0"/>
              <w:widowControl/>
              <w:snapToGrid w:val="0"/>
              <w:spacing w:before="0" w:after="20" w:line="333"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不等同。需求归集与使用授权需要区分，具体应结合资源类型和适用规则衔接办理。答复关联原文位置，供业务人员核对适用主体与程序。</w:t>
            </w:r>
          </w:p>
        </w:tc>
      </w:tr>
    </w:tbl>
    <w:p w14:paraId="2DC97F93">
      <w:pPr>
        <w:pStyle w:val="165"/>
        <w:keepNext w:val="0"/>
        <w:widowControl/>
        <w:snapToGrid w:val="0"/>
        <w:spacing w:before="0" w:after="0" w:line="2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4592"/>
        <w:gridCol w:w="4989"/>
      </w:tblGrid>
      <w:tr w14:paraId="2D28875D">
        <w:trPr>
          <w:cantSplit/>
          <w:tblHeader/>
          <w:jc w:val="center"/>
        </w:trPr>
        <w:tc>
          <w:tcPr>
            <w:tcW w:w="4592" w:type="dxa"/>
            <w:shd w:val="clear" w:color="auto" w:fill="EDF4FC"/>
            <w:vAlign w:val="center"/>
          </w:tcPr>
          <w:p w14:paraId="1A9C09ED">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审核项</w:t>
            </w:r>
          </w:p>
        </w:tc>
        <w:tc>
          <w:tcPr>
            <w:tcW w:w="4989" w:type="dxa"/>
            <w:shd w:val="clear" w:color="auto" w:fill="EDF4FC"/>
            <w:vAlign w:val="center"/>
          </w:tcPr>
          <w:p w14:paraId="3B996334">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发布控制</w:t>
            </w:r>
          </w:p>
        </w:tc>
      </w:tr>
      <w:tr w14:paraId="6640F0E1">
        <w:trPr>
          <w:cantSplit/>
          <w:jc w:val="center"/>
        </w:trPr>
        <w:tc>
          <w:tcPr>
            <w:tcW w:w="4592" w:type="dxa"/>
            <w:shd w:val="clear" w:color="auto" w:fill="FFFFFF"/>
            <w:vAlign w:val="center"/>
          </w:tcPr>
          <w:p w14:paraId="06DA2C65">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来源、有效性、对象及引用完整性</w:t>
            </w:r>
          </w:p>
        </w:tc>
        <w:tc>
          <w:tcPr>
            <w:tcW w:w="4989" w:type="dxa"/>
            <w:shd w:val="clear" w:color="auto" w:fill="FFFFFF"/>
            <w:vAlign w:val="center"/>
          </w:tcPr>
          <w:p w14:paraId="166CFF24">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业务确认后发布到指定知识范围</w:t>
            </w:r>
          </w:p>
        </w:tc>
      </w:tr>
      <w:tr w14:paraId="03E68A32">
        <w:trPr>
          <w:cantSplit/>
          <w:jc w:val="center"/>
        </w:trPr>
        <w:tc>
          <w:tcPr>
            <w:tcW w:w="4592" w:type="dxa"/>
            <w:shd w:val="clear" w:color="auto" w:fill="F7F9FC"/>
            <w:vAlign w:val="center"/>
          </w:tcPr>
          <w:p w14:paraId="4028F0AB">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版本变更与影响范围</w:t>
            </w:r>
          </w:p>
        </w:tc>
        <w:tc>
          <w:tcPr>
            <w:tcW w:w="4989" w:type="dxa"/>
            <w:shd w:val="clear" w:color="auto" w:fill="F7F9FC"/>
            <w:vAlign w:val="center"/>
          </w:tcPr>
          <w:p w14:paraId="22730499">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同步更新检索内容，保留历史及回退版本</w:t>
            </w:r>
          </w:p>
        </w:tc>
      </w:tr>
      <w:tr w14:paraId="0879CB6E">
        <w:trPr>
          <w:cantSplit/>
          <w:jc w:val="center"/>
        </w:trPr>
        <w:tc>
          <w:tcPr>
            <w:tcW w:w="4592" w:type="dxa"/>
            <w:shd w:val="clear" w:color="auto" w:fill="FFFFFF"/>
            <w:vAlign w:val="center"/>
          </w:tcPr>
          <w:p w14:paraId="22DCEC8A">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用户纠错与人工经验</w:t>
            </w:r>
          </w:p>
        </w:tc>
        <w:tc>
          <w:tcPr>
            <w:tcW w:w="4989" w:type="dxa"/>
            <w:shd w:val="clear" w:color="auto" w:fill="FFFFFF"/>
            <w:vAlign w:val="center"/>
          </w:tcPr>
          <w:p w14:paraId="49225E81">
            <w:pPr>
              <w:keepNext w:val="0"/>
              <w:widowControl/>
              <w:snapToGrid w:val="0"/>
              <w:spacing w:before="0" w:after="20" w:line="318"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进入待审核修订，不直接覆盖正式知识</w:t>
            </w:r>
          </w:p>
        </w:tc>
      </w:tr>
    </w:tbl>
    <w:p w14:paraId="7AEDF403">
      <w:pPr>
        <w:keepNext w:val="0"/>
        <w:widowControl/>
        <w:snapToGrid w:val="0"/>
        <w:spacing w:before="0" w:after="0" w:line="80" w:lineRule="exact"/>
        <w:ind w:firstLine="0"/>
        <w:rPr>
          <w:rFonts w:hint="eastAsia" w:ascii="仿宋_GB2312" w:hAnsi="仿宋_GB2312" w:eastAsia="仿宋_GB2312" w:cs="仿宋_GB2312"/>
        </w:rPr>
      </w:pPr>
    </w:p>
    <w:p w14:paraId="26A6CF53">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政策来源：首都之窗公开文件，第十八条、第二十三条；核验日期2026-09-12。界面、候选知识和发布状态均为规划示意。</w:t>
      </w:r>
    </w:p>
    <w:p w14:paraId="6249B87E">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工程支撑：原生文档解析，按需OCR和表格识别，语义分段、来源定位、RAG预览与审核发布。</w:t>
      </w:r>
    </w:p>
    <w:p w14:paraId="1FE0E579">
      <w:pPr>
        <w:rPr>
          <w:rFonts w:hint="eastAsia" w:ascii="仿宋_GB2312" w:hAnsi="仿宋_GB2312" w:eastAsia="仿宋_GB2312" w:cs="仿宋_GB2312"/>
        </w:rPr>
      </w:pPr>
      <w:r>
        <w:rPr>
          <w:rFonts w:hint="eastAsia" w:ascii="仿宋_GB2312" w:hAnsi="仿宋_GB2312" w:eastAsia="仿宋_GB2312" w:cs="仿宋_GB2312"/>
        </w:rPr>
        <w:br w:type="page"/>
      </w:r>
    </w:p>
    <w:p w14:paraId="43E58578">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附件2 · 场景与AI工程对应（1/2）</w:t>
      </w:r>
    </w:p>
    <w:p w14:paraId="25B5B949">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从前台任务到工程实现</w:t>
      </w:r>
    </w:p>
    <w:p w14:paraId="6CC17EE0">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以下为拟验证的实现组合，不是已实现模块清单；以试点效果、部署条件和业务规则确定最终选型。</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1871"/>
        <w:gridCol w:w="4025"/>
        <w:gridCol w:w="3685"/>
      </w:tblGrid>
      <w:tr w14:paraId="197BC395">
        <w:trPr>
          <w:cantSplit/>
          <w:tblHeader/>
          <w:jc w:val="center"/>
        </w:trPr>
        <w:tc>
          <w:tcPr>
            <w:tcW w:w="1871" w:type="dxa"/>
            <w:shd w:val="clear" w:color="auto" w:fill="EDF4FC"/>
            <w:vAlign w:val="center"/>
          </w:tcPr>
          <w:p w14:paraId="476A186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典型场景</w:t>
            </w:r>
          </w:p>
        </w:tc>
        <w:tc>
          <w:tcPr>
            <w:tcW w:w="4025" w:type="dxa"/>
            <w:shd w:val="clear" w:color="auto" w:fill="EDF4FC"/>
            <w:vAlign w:val="center"/>
          </w:tcPr>
          <w:p w14:paraId="26B4280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AI工程及执行路径</w:t>
            </w:r>
          </w:p>
        </w:tc>
        <w:tc>
          <w:tcPr>
            <w:tcW w:w="3685" w:type="dxa"/>
            <w:shd w:val="clear" w:color="auto" w:fill="EDF4FC"/>
            <w:vAlign w:val="center"/>
          </w:tcPr>
          <w:p w14:paraId="5041F46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输出与验收重点</w:t>
            </w:r>
          </w:p>
        </w:tc>
      </w:tr>
      <w:tr w14:paraId="05980436">
        <w:trPr>
          <w:cantSplit/>
          <w:jc w:val="center"/>
        </w:trPr>
        <w:tc>
          <w:tcPr>
            <w:tcW w:w="1871" w:type="dxa"/>
            <w:shd w:val="clear" w:color="auto" w:fill="FFFFFF"/>
            <w:vAlign w:val="center"/>
          </w:tcPr>
          <w:p w14:paraId="5394C624">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平台导览、连续咨询</w:t>
            </w:r>
          </w:p>
        </w:tc>
        <w:tc>
          <w:tcPr>
            <w:tcW w:w="4025" w:type="dxa"/>
            <w:shd w:val="clear" w:color="auto" w:fill="FFFFFF"/>
            <w:vAlign w:val="center"/>
          </w:tcPr>
          <w:p w14:paraId="5A742C24">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页面上下文＋意图路由＋会话状态；简单问法走短流程</w:t>
            </w:r>
          </w:p>
        </w:tc>
        <w:tc>
          <w:tcPr>
            <w:tcW w:w="3685" w:type="dxa"/>
            <w:shd w:val="clear" w:color="auto" w:fill="FFFFFF"/>
            <w:vAlign w:val="center"/>
          </w:tcPr>
          <w:p w14:paraId="5E719D0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不重复询问已确认信息；切换任务时明确范围</w:t>
            </w:r>
          </w:p>
        </w:tc>
      </w:tr>
      <w:tr w14:paraId="0504479F">
        <w:trPr>
          <w:cantSplit/>
          <w:jc w:val="center"/>
        </w:trPr>
        <w:tc>
          <w:tcPr>
            <w:tcW w:w="1871" w:type="dxa"/>
            <w:shd w:val="clear" w:color="auto" w:fill="F7F9FC"/>
            <w:vAlign w:val="center"/>
          </w:tcPr>
          <w:p w14:paraId="37AA5CA7">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政策指南、条件解释</w:t>
            </w:r>
          </w:p>
        </w:tc>
        <w:tc>
          <w:tcPr>
            <w:tcW w:w="4025" w:type="dxa"/>
            <w:shd w:val="clear" w:color="auto" w:fill="F7F9FC"/>
            <w:vAlign w:val="center"/>
          </w:tcPr>
          <w:p w14:paraId="4F7F6DD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清洗分段＋混合检索＋重排＋RAG；按权限和有效版本取证</w:t>
            </w:r>
          </w:p>
        </w:tc>
        <w:tc>
          <w:tcPr>
            <w:tcW w:w="3685" w:type="dxa"/>
            <w:shd w:val="clear" w:color="auto" w:fill="F7F9FC"/>
            <w:vAlign w:val="center"/>
          </w:tcPr>
          <w:p w14:paraId="641FB95C">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答复有原文位置；证据不足转核实，不生成准入结论</w:t>
            </w:r>
          </w:p>
        </w:tc>
      </w:tr>
      <w:tr w14:paraId="38AAEDA1">
        <w:trPr>
          <w:cantSplit/>
          <w:jc w:val="center"/>
        </w:trPr>
        <w:tc>
          <w:tcPr>
            <w:tcW w:w="1871" w:type="dxa"/>
            <w:shd w:val="clear" w:color="auto" w:fill="FFFFFF"/>
            <w:vAlign w:val="center"/>
          </w:tcPr>
          <w:p w14:paraId="09EC2C4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找数据、算力、组件和成果</w:t>
            </w:r>
          </w:p>
        </w:tc>
        <w:tc>
          <w:tcPr>
            <w:tcW w:w="4025" w:type="dxa"/>
            <w:shd w:val="clear" w:color="auto" w:fill="FFFFFF"/>
            <w:vAlign w:val="center"/>
          </w:tcPr>
          <w:p w14:paraId="33EBCC1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多类型对象索引＋关键词/向量召回＋规则过滤＋排序</w:t>
            </w:r>
          </w:p>
        </w:tc>
        <w:tc>
          <w:tcPr>
            <w:tcW w:w="3685" w:type="dxa"/>
            <w:shd w:val="clear" w:color="auto" w:fill="FFFFFF"/>
            <w:vAlign w:val="center"/>
          </w:tcPr>
          <w:p w14:paraId="04CB4FE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保留来源键、适用条件和推荐理由；不编造库存和规格</w:t>
            </w:r>
          </w:p>
        </w:tc>
      </w:tr>
      <w:tr w14:paraId="4AAE1DA5">
        <w:trPr>
          <w:cantSplit/>
          <w:jc w:val="center"/>
        </w:trPr>
        <w:tc>
          <w:tcPr>
            <w:tcW w:w="1871" w:type="dxa"/>
            <w:shd w:val="clear" w:color="auto" w:fill="F7F9FC"/>
            <w:vAlign w:val="center"/>
          </w:tcPr>
          <w:p w14:paraId="11CC290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目录统计、多轮筛选、资源比较</w:t>
            </w:r>
          </w:p>
        </w:tc>
        <w:tc>
          <w:tcPr>
            <w:tcW w:w="4025" w:type="dxa"/>
            <w:shd w:val="clear" w:color="auto" w:fill="F7F9FC"/>
            <w:vAlign w:val="center"/>
          </w:tcPr>
          <w:p w14:paraId="285935D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语义层＋受控DSL或目录API＋只读执行＋图表同源</w:t>
            </w:r>
          </w:p>
        </w:tc>
        <w:tc>
          <w:tcPr>
            <w:tcW w:w="3685" w:type="dxa"/>
            <w:shd w:val="clear" w:color="auto" w:fill="F7F9FC"/>
            <w:vAlign w:val="center"/>
          </w:tcPr>
          <w:p w14:paraId="22C0541F">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筛选继承可见，数量与明细一致；超出演示范围不冒充零结果</w:t>
            </w:r>
          </w:p>
        </w:tc>
      </w:tr>
      <w:tr w14:paraId="79C6E90C">
        <w:trPr>
          <w:cantSplit/>
          <w:jc w:val="center"/>
        </w:trPr>
        <w:tc>
          <w:tcPr>
            <w:tcW w:w="1871" w:type="dxa"/>
            <w:shd w:val="clear" w:color="auto" w:fill="FFFFFF"/>
            <w:vAlign w:val="center"/>
          </w:tcPr>
          <w:p w14:paraId="3E37FFE9">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组合方案与供需匹配</w:t>
            </w:r>
          </w:p>
        </w:tc>
        <w:tc>
          <w:tcPr>
            <w:tcW w:w="4025" w:type="dxa"/>
            <w:shd w:val="clear" w:color="auto" w:fill="FFFFFF"/>
            <w:vAlign w:val="center"/>
          </w:tcPr>
          <w:p w14:paraId="5CCD7C9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经确认的关系表＋多路检索；复杂探索按需采用受限ReAct</w:t>
            </w:r>
          </w:p>
        </w:tc>
        <w:tc>
          <w:tcPr>
            <w:tcW w:w="3685" w:type="dxa"/>
            <w:shd w:val="clear" w:color="auto" w:fill="FFFFFF"/>
            <w:vAlign w:val="center"/>
          </w:tcPr>
          <w:p w14:paraId="537BA817">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建议与事实区分；限制工具、步骤和调用预算</w:t>
            </w:r>
          </w:p>
        </w:tc>
      </w:tr>
      <w:tr w14:paraId="7FCEFCC9">
        <w:trPr>
          <w:cantSplit/>
          <w:jc w:val="center"/>
        </w:trPr>
        <w:tc>
          <w:tcPr>
            <w:tcW w:w="1871" w:type="dxa"/>
            <w:shd w:val="clear" w:color="auto" w:fill="F7F9FC"/>
            <w:vAlign w:val="center"/>
          </w:tcPr>
          <w:p w14:paraId="530BB00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预约、需求登记、申请准备</w:t>
            </w:r>
          </w:p>
        </w:tc>
        <w:tc>
          <w:tcPr>
            <w:tcW w:w="4025" w:type="dxa"/>
            <w:shd w:val="clear" w:color="auto" w:fill="F7F9FC"/>
            <w:vAlign w:val="center"/>
          </w:tcPr>
          <w:p w14:paraId="391FE62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字段抽取＋结构化Schema＋补问校验＋版本化草稿</w:t>
            </w:r>
          </w:p>
        </w:tc>
        <w:tc>
          <w:tcPr>
            <w:tcW w:w="3685" w:type="dxa"/>
            <w:shd w:val="clear" w:color="auto" w:fill="F7F9FC"/>
            <w:vAlign w:val="center"/>
          </w:tcPr>
          <w:p w14:paraId="072F848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两个月改三个月只更新对应字段；不擅改其他信息</w:t>
            </w:r>
          </w:p>
        </w:tc>
      </w:tr>
      <w:tr w14:paraId="7AC46737">
        <w:trPr>
          <w:cantSplit/>
          <w:jc w:val="center"/>
        </w:trPr>
        <w:tc>
          <w:tcPr>
            <w:tcW w:w="1871" w:type="dxa"/>
            <w:shd w:val="clear" w:color="auto" w:fill="FFFFFF"/>
            <w:vAlign w:val="center"/>
          </w:tcPr>
          <w:p w14:paraId="375C196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提交、撤回、补正与进度</w:t>
            </w:r>
          </w:p>
        </w:tc>
        <w:tc>
          <w:tcPr>
            <w:tcW w:w="4025" w:type="dxa"/>
            <w:shd w:val="clear" w:color="auto" w:fill="FFFFFF"/>
            <w:vAlign w:val="center"/>
          </w:tcPr>
          <w:p w14:paraId="3812687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工作流/状态机＋人工确认＋API/MCP＋幂等与同号查询</w:t>
            </w:r>
          </w:p>
        </w:tc>
        <w:tc>
          <w:tcPr>
            <w:tcW w:w="3685" w:type="dxa"/>
            <w:shd w:val="clear" w:color="auto" w:fill="FFFFFF"/>
            <w:vAlign w:val="center"/>
          </w:tcPr>
          <w:p w14:paraId="0B65EC1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后端鉴权；缺项阻断；正式状态来自业务返回</w:t>
            </w:r>
          </w:p>
        </w:tc>
      </w:tr>
    </w:tbl>
    <w:p w14:paraId="6754C227">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1A3805E0">
        <w:trPr>
          <w:cantSplit/>
          <w:tblHeader/>
          <w:jc w:val="center"/>
        </w:trPr>
        <w:tc>
          <w:tcPr>
            <w:tcW w:w="9581" w:type="dxa"/>
            <w:shd w:val="clear" w:color="auto" w:fill="EDF4FC"/>
            <w:vAlign w:val="center"/>
          </w:tcPr>
          <w:p w14:paraId="4D94C684">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技术组合原则</w:t>
            </w:r>
          </w:p>
        </w:tc>
      </w:tr>
      <w:tr w14:paraId="4C30960D">
        <w:trPr>
          <w:cantSplit/>
          <w:jc w:val="center"/>
        </w:trPr>
        <w:tc>
          <w:tcPr>
            <w:tcW w:w="9581" w:type="dxa"/>
            <w:shd w:val="clear" w:color="auto" w:fill="FFFFFF"/>
            <w:vAlign w:val="center"/>
          </w:tcPr>
          <w:p w14:paraId="65538666">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RAG解决证据检索，语义查询解决精确计算，工作流解决受控执行。ReAct是任务规划方式，编排框架负责状态与恢复，MCP用于工具对接，三者不相互替代。</w:t>
            </w:r>
          </w:p>
        </w:tc>
      </w:tr>
    </w:tbl>
    <w:p w14:paraId="4D78027A">
      <w:pPr>
        <w:keepNext w:val="0"/>
        <w:widowControl/>
        <w:snapToGrid w:val="0"/>
        <w:spacing w:before="0" w:after="0" w:line="80" w:lineRule="exact"/>
        <w:ind w:firstLine="0"/>
        <w:rPr>
          <w:rFonts w:hint="eastAsia" w:ascii="仿宋_GB2312" w:hAnsi="仿宋_GB2312" w:eastAsia="仿宋_GB2312" w:cs="仿宋_GB2312"/>
        </w:rPr>
      </w:pPr>
    </w:p>
    <w:p w14:paraId="3F78798A">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实现参考：HHagent前期规划第17章，以及Elastic检索、LangGraph中断恢复和MCP工具规范。LangGraph等框架可作为候选评估，不表示已完成选型。</w:t>
      </w:r>
    </w:p>
    <w:p w14:paraId="345E2F61">
      <w:pPr>
        <w:rPr>
          <w:rFonts w:hint="eastAsia" w:ascii="仿宋_GB2312" w:hAnsi="仿宋_GB2312" w:eastAsia="仿宋_GB2312" w:cs="仿宋_GB2312"/>
        </w:rPr>
      </w:pPr>
      <w:r>
        <w:rPr>
          <w:rFonts w:hint="eastAsia" w:ascii="仿宋_GB2312" w:hAnsi="仿宋_GB2312" w:eastAsia="仿宋_GB2312" w:cs="仿宋_GB2312"/>
        </w:rPr>
        <w:br w:type="page"/>
      </w:r>
    </w:p>
    <w:p w14:paraId="549DE8F7">
      <w:pPr>
        <w:pStyle w:val="165"/>
        <w:keepNext w:val="0"/>
        <w:widowControl/>
        <w:snapToGrid w:val="0"/>
        <w:spacing w:before="0" w:after="100" w:line="28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19"/>
        </w:rPr>
        <w:t>附件2 · 场景与AI工程对应（2/2）</w:t>
      </w:r>
    </w:p>
    <w:p w14:paraId="681F3048">
      <w:pPr>
        <w:keepNext/>
        <w:widowControl/>
        <w:snapToGrid w:val="0"/>
        <w:spacing w:before="0" w:after="140" w:line="560" w:lineRule="exact"/>
        <w:ind w:firstLine="0"/>
        <w:rPr>
          <w:rFonts w:hint="eastAsia" w:ascii="仿宋_GB2312" w:hAnsi="仿宋_GB2312" w:eastAsia="仿宋_GB2312" w:cs="仿宋_GB2312"/>
        </w:rPr>
      </w:pPr>
      <w:r>
        <w:rPr>
          <w:rFonts w:hint="eastAsia" w:ascii="仿宋_GB2312" w:hAnsi="仿宋_GB2312" w:eastAsia="仿宋_GB2312" w:cs="仿宋_GB2312"/>
          <w:b/>
          <w:color w:val="193C68"/>
          <w:sz w:val="37"/>
        </w:rPr>
        <w:t>治理、共性支撑与试点验证</w:t>
      </w:r>
    </w:p>
    <w:p w14:paraId="239ABC7E">
      <w:pPr>
        <w:pStyle w:val="165"/>
        <w:keepNext/>
        <w:widowControl/>
        <w:snapToGrid w:val="0"/>
        <w:spacing w:before="0" w:after="18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统一建设可复用能力，避免每个场景重复建设一套知识库、模型链路或工具接入。</w:t>
      </w: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1928"/>
        <w:gridCol w:w="3969"/>
        <w:gridCol w:w="3685"/>
      </w:tblGrid>
      <w:tr w14:paraId="48E3EE3C">
        <w:trPr>
          <w:cantSplit/>
          <w:tblHeader/>
          <w:jc w:val="center"/>
        </w:trPr>
        <w:tc>
          <w:tcPr>
            <w:tcW w:w="1928" w:type="dxa"/>
            <w:shd w:val="clear" w:color="auto" w:fill="EDF4FC"/>
            <w:vAlign w:val="center"/>
          </w:tcPr>
          <w:p w14:paraId="0B3EAAB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场景或共性能力</w:t>
            </w:r>
          </w:p>
        </w:tc>
        <w:tc>
          <w:tcPr>
            <w:tcW w:w="3969" w:type="dxa"/>
            <w:shd w:val="clear" w:color="auto" w:fill="EDF4FC"/>
            <w:vAlign w:val="center"/>
          </w:tcPr>
          <w:p w14:paraId="3EBB9A1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拟采用工程</w:t>
            </w:r>
          </w:p>
        </w:tc>
        <w:tc>
          <w:tcPr>
            <w:tcW w:w="3685" w:type="dxa"/>
            <w:shd w:val="clear" w:color="auto" w:fill="EDF4FC"/>
            <w:vAlign w:val="center"/>
          </w:tcPr>
          <w:p w14:paraId="3862EA28">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1"/>
              </w:rPr>
              <w:t>验证与管理要求</w:t>
            </w:r>
          </w:p>
        </w:tc>
      </w:tr>
      <w:tr w14:paraId="31ED6425">
        <w:trPr>
          <w:cantSplit/>
          <w:jc w:val="center"/>
        </w:trPr>
        <w:tc>
          <w:tcPr>
            <w:tcW w:w="1928" w:type="dxa"/>
            <w:shd w:val="clear" w:color="auto" w:fill="FFFFFF"/>
            <w:vAlign w:val="center"/>
          </w:tcPr>
          <w:p w14:paraId="041118C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非结构化资料治理</w:t>
            </w:r>
          </w:p>
        </w:tc>
        <w:tc>
          <w:tcPr>
            <w:tcW w:w="3969" w:type="dxa"/>
            <w:shd w:val="clear" w:color="auto" w:fill="FFFFFF"/>
            <w:vAlign w:val="center"/>
          </w:tcPr>
          <w:p w14:paraId="4645CE48">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网页正文抽取、原生文档解析；扫描件OCR、版面与表格识别；语义分段</w:t>
            </w:r>
          </w:p>
        </w:tc>
        <w:tc>
          <w:tcPr>
            <w:tcW w:w="3685" w:type="dxa"/>
            <w:shd w:val="clear" w:color="auto" w:fill="FFFFFF"/>
            <w:vAlign w:val="center"/>
          </w:tcPr>
          <w:p w14:paraId="5A9862EF">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保留原文位置及表格关系；重要内容人工审核</w:t>
            </w:r>
          </w:p>
        </w:tc>
      </w:tr>
      <w:tr w14:paraId="7B579C02">
        <w:trPr>
          <w:cantSplit/>
          <w:jc w:val="center"/>
        </w:trPr>
        <w:tc>
          <w:tcPr>
            <w:tcW w:w="1928" w:type="dxa"/>
            <w:shd w:val="clear" w:color="auto" w:fill="F7F9FC"/>
            <w:vAlign w:val="center"/>
          </w:tcPr>
          <w:p w14:paraId="47A3CB7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结构化目录治理</w:t>
            </w:r>
          </w:p>
        </w:tc>
        <w:tc>
          <w:tcPr>
            <w:tcW w:w="3969" w:type="dxa"/>
            <w:shd w:val="clear" w:color="auto" w:fill="F7F9FC"/>
            <w:vAlign w:val="center"/>
          </w:tcPr>
          <w:p w14:paraId="35BCF1B8">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增量接入、字段映射、分类字典、对象关联、质量规则与查询测试</w:t>
            </w:r>
          </w:p>
        </w:tc>
        <w:tc>
          <w:tcPr>
            <w:tcW w:w="3685" w:type="dxa"/>
            <w:shd w:val="clear" w:color="auto" w:fill="F7F9FC"/>
            <w:vAlign w:val="center"/>
          </w:tcPr>
          <w:p w14:paraId="68854FB3">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语义需业务确认；版本与范围绑定；源值与解释分离</w:t>
            </w:r>
          </w:p>
        </w:tc>
      </w:tr>
      <w:tr w14:paraId="4A1E316D">
        <w:trPr>
          <w:cantSplit/>
          <w:jc w:val="center"/>
        </w:trPr>
        <w:tc>
          <w:tcPr>
            <w:tcW w:w="1928" w:type="dxa"/>
            <w:shd w:val="clear" w:color="auto" w:fill="FFFFFF"/>
            <w:vAlign w:val="center"/>
          </w:tcPr>
          <w:p w14:paraId="72A1292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人工协同与需求反馈</w:t>
            </w:r>
          </w:p>
        </w:tc>
        <w:tc>
          <w:tcPr>
            <w:tcW w:w="3969" w:type="dxa"/>
            <w:shd w:val="clear" w:color="auto" w:fill="FFFFFF"/>
            <w:vAlign w:val="center"/>
          </w:tcPr>
          <w:p w14:paraId="4F9215AA">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权限内上下文摘要、工单或转接接口、反馈归类与修订队列</w:t>
            </w:r>
          </w:p>
        </w:tc>
        <w:tc>
          <w:tcPr>
            <w:tcW w:w="3685" w:type="dxa"/>
            <w:shd w:val="clear" w:color="auto" w:fill="FFFFFF"/>
            <w:vAlign w:val="center"/>
          </w:tcPr>
          <w:p w14:paraId="5537657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最小化传递材料；审核后再更新知识和场景</w:t>
            </w:r>
          </w:p>
        </w:tc>
      </w:tr>
      <w:tr w14:paraId="6FD0BA24">
        <w:trPr>
          <w:cantSplit/>
          <w:jc w:val="center"/>
        </w:trPr>
        <w:tc>
          <w:tcPr>
            <w:tcW w:w="1928" w:type="dxa"/>
            <w:shd w:val="clear" w:color="auto" w:fill="F7F9FC"/>
            <w:vAlign w:val="center"/>
          </w:tcPr>
          <w:p w14:paraId="348D47F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模型与智能体配置</w:t>
            </w:r>
          </w:p>
        </w:tc>
        <w:tc>
          <w:tcPr>
            <w:tcW w:w="3969" w:type="dxa"/>
            <w:shd w:val="clear" w:color="auto" w:fill="F7F9FC"/>
            <w:vAlign w:val="center"/>
          </w:tcPr>
          <w:p w14:paraId="3B1A49F7">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通用/推理模型及嵌入/重排模型适配；提示词、工具、知识范围和路由配置</w:t>
            </w:r>
          </w:p>
        </w:tc>
        <w:tc>
          <w:tcPr>
            <w:tcW w:w="3685" w:type="dxa"/>
            <w:shd w:val="clear" w:color="auto" w:fill="F7F9FC"/>
            <w:vAlign w:val="center"/>
          </w:tcPr>
          <w:p w14:paraId="7CD8D552">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版本可回退；部署及模型选型依据试点表现决定</w:t>
            </w:r>
          </w:p>
        </w:tc>
      </w:tr>
      <w:tr w14:paraId="2E34F2A7">
        <w:trPr>
          <w:cantSplit/>
          <w:jc w:val="center"/>
        </w:trPr>
        <w:tc>
          <w:tcPr>
            <w:tcW w:w="1928" w:type="dxa"/>
            <w:shd w:val="clear" w:color="auto" w:fill="FFFFFF"/>
            <w:vAlign w:val="center"/>
          </w:tcPr>
          <w:p w14:paraId="082705DD">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交互与运行保障</w:t>
            </w:r>
          </w:p>
        </w:tc>
        <w:tc>
          <w:tcPr>
            <w:tcW w:w="3969" w:type="dxa"/>
            <w:shd w:val="clear" w:color="auto" w:fill="FFFFFF"/>
            <w:vAlign w:val="center"/>
          </w:tcPr>
          <w:p w14:paraId="2128AF4B">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结构化事件、流式响应、异步任务、检查点恢复、缓存及超时降级</w:t>
            </w:r>
          </w:p>
        </w:tc>
        <w:tc>
          <w:tcPr>
            <w:tcW w:w="3685" w:type="dxa"/>
            <w:shd w:val="clear" w:color="auto" w:fill="FFFFFF"/>
            <w:vAlign w:val="center"/>
          </w:tcPr>
          <w:p w14:paraId="0190AF51">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事件和草稿对应；缓存按权限与版本隔离；不显示虚构进度</w:t>
            </w:r>
          </w:p>
        </w:tc>
      </w:tr>
      <w:tr w14:paraId="69150240">
        <w:trPr>
          <w:cantSplit/>
          <w:jc w:val="center"/>
        </w:trPr>
        <w:tc>
          <w:tcPr>
            <w:tcW w:w="1928" w:type="dxa"/>
            <w:shd w:val="clear" w:color="auto" w:fill="F7F9FC"/>
            <w:vAlign w:val="center"/>
          </w:tcPr>
          <w:p w14:paraId="255D7B77">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安全与效果评测</w:t>
            </w:r>
          </w:p>
        </w:tc>
        <w:tc>
          <w:tcPr>
            <w:tcW w:w="3969" w:type="dxa"/>
            <w:shd w:val="clear" w:color="auto" w:fill="F7F9FC"/>
            <w:vAlign w:val="center"/>
          </w:tcPr>
          <w:p w14:paraId="2BF63C60">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权限用例、注入防护、来源检查、审计追踪、标准问题与业务分支评测</w:t>
            </w:r>
          </w:p>
        </w:tc>
        <w:tc>
          <w:tcPr>
            <w:tcW w:w="3685" w:type="dxa"/>
            <w:shd w:val="clear" w:color="auto" w:fill="F7F9FC"/>
            <w:vAlign w:val="center"/>
          </w:tcPr>
          <w:p w14:paraId="2A861446">
            <w:pPr>
              <w:keepNext w:val="0"/>
              <w:widowControl/>
              <w:snapToGrid w:val="0"/>
              <w:spacing w:before="0" w:after="20" w:line="324"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1"/>
              </w:rPr>
              <w:t>同时检查依据、数量、字段、任务状态、响应和成本</w:t>
            </w:r>
          </w:p>
        </w:tc>
      </w:tr>
    </w:tbl>
    <w:p w14:paraId="4B37E39C">
      <w:pPr>
        <w:keepNext w:val="0"/>
        <w:widowControl/>
        <w:snapToGrid w:val="0"/>
        <w:spacing w:before="0" w:after="0" w:line="80" w:lineRule="exact"/>
        <w:ind w:firstLine="0"/>
        <w:rPr>
          <w:rFonts w:hint="eastAsia" w:ascii="仿宋_GB2312" w:hAnsi="仿宋_GB2312" w:eastAsia="仿宋_GB2312" w:cs="仿宋_GB2312"/>
        </w:rPr>
      </w:pPr>
    </w:p>
    <w:tbl>
      <w:tblPr>
        <w:tblStyle w:val="32"/>
        <w:tblW w:w="0" w:type="auto"/>
        <w:jc w:val="center"/>
        <w:tblBorders>
          <w:top w:val="single" w:color="CFDAE8" w:sz="4" w:space="0"/>
          <w:left w:val="single" w:color="CFDAE8" w:sz="4" w:space="0"/>
          <w:bottom w:val="single" w:color="CFDAE8" w:sz="4" w:space="0"/>
          <w:right w:val="single" w:color="CFDAE8" w:sz="4" w:space="0"/>
          <w:insideH w:val="single" w:color="CFDAE8" w:sz="4" w:space="0"/>
          <w:insideV w:val="single" w:color="CFDAE8" w:sz="4" w:space="0"/>
        </w:tblBorders>
        <w:tblLayout w:type="fixed"/>
        <w:tblCellMar>
          <w:top w:w="70" w:type="dxa"/>
          <w:left w:w="95" w:type="dxa"/>
          <w:bottom w:w="70" w:type="dxa"/>
          <w:right w:w="95" w:type="dxa"/>
        </w:tblCellMar>
      </w:tblPr>
      <w:tblGrid>
        <w:gridCol w:w="9581"/>
      </w:tblGrid>
      <w:tr w14:paraId="0C6B095D">
        <w:trPr>
          <w:cantSplit/>
          <w:tblHeader/>
          <w:jc w:val="center"/>
        </w:trPr>
        <w:tc>
          <w:tcPr>
            <w:tcW w:w="9581" w:type="dxa"/>
            <w:shd w:val="clear" w:color="auto" w:fill="EDF4FC"/>
            <w:vAlign w:val="center"/>
          </w:tcPr>
          <w:p w14:paraId="5626AEAA">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color w:val="21558B"/>
                <w:sz w:val="22"/>
              </w:rPr>
              <w:t>首批试点建议</w:t>
            </w:r>
          </w:p>
        </w:tc>
      </w:tr>
      <w:tr w14:paraId="4F2EC946">
        <w:trPr>
          <w:cantSplit/>
          <w:jc w:val="center"/>
        </w:trPr>
        <w:tc>
          <w:tcPr>
            <w:tcW w:w="9581" w:type="dxa"/>
            <w:shd w:val="clear" w:color="auto" w:fill="FFFFFF"/>
            <w:vAlign w:val="center"/>
          </w:tcPr>
          <w:p w14:paraId="0E7FA4CC">
            <w:pPr>
              <w:keepNext w:val="0"/>
              <w:widowControl/>
              <w:snapToGrid w:val="0"/>
              <w:spacing w:before="0" w:after="20" w:line="33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1F2631"/>
                <w:sz w:val="22"/>
              </w:rPr>
              <w:t>从权威指南问答、目录精准筛选，以及规则和接口清楚的一项登记或申请辅助流程中选取试点。完成必要数据治理后开发，以真实典型任务看效果，再迭代范围和技术路线。</w:t>
            </w:r>
          </w:p>
        </w:tc>
      </w:tr>
    </w:tbl>
    <w:p w14:paraId="0D92C6AC">
      <w:pPr>
        <w:keepNext w:val="0"/>
        <w:widowControl/>
        <w:snapToGrid w:val="0"/>
        <w:spacing w:before="0" w:after="0" w:line="80" w:lineRule="exact"/>
        <w:ind w:firstLine="0"/>
        <w:rPr>
          <w:rFonts w:hint="eastAsia" w:ascii="仿宋_GB2312" w:hAnsi="仿宋_GB2312" w:eastAsia="仿宋_GB2312" w:cs="仿宋_GB2312"/>
        </w:rPr>
      </w:pPr>
    </w:p>
    <w:p w14:paraId="24FB6D31">
      <w:pPr>
        <w:pStyle w:val="165"/>
        <w:keepNext w:val="0"/>
        <w:widowControl/>
        <w:snapToGrid w:val="0"/>
        <w:spacing w:before="0" w:after="0" w:line="280" w:lineRule="exact"/>
        <w:ind w:firstLine="0"/>
        <w:rPr>
          <w:rFonts w:hint="eastAsia" w:ascii="仿宋_GB2312" w:hAnsi="仿宋_GB2312" w:eastAsia="仿宋_GB2312" w:cs="仿宋_GB2312"/>
        </w:rPr>
      </w:pPr>
      <w:r>
        <w:rPr>
          <w:rFonts w:hint="eastAsia" w:ascii="仿宋_GB2312" w:hAnsi="仿宋_GB2312" w:eastAsia="仿宋_GB2312" w:cs="仿宋_GB2312"/>
          <w:b w:val="0"/>
          <w:color w:val="566575"/>
          <w:sz w:val="19"/>
        </w:rPr>
        <w:t>研究与技术参考：HHagent《合合随行助手产品设计与原型生成规范-v1.1》第17章；Elastic Hybrid search；LangGraph Interrupts；MCP Tools；ReAct原始论文；PaddleOCR文档解析说明。上述文档为技术参考，最终选型及效果以试点验证为准。</w:t>
      </w:r>
    </w:p>
    <w:sectPr>
      <w:headerReference r:id="rId7" w:type="default"/>
      <w:footerReference r:id="rId8" w:type="default"/>
      <w:pgSz w:w="11906" w:h="16838"/>
      <w:pgMar w:top="1049" w:right="1162" w:bottom="992" w:left="1162" w:header="595" w:footer="53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Noto Sans CJK SC">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PingFang SC Light">
    <w:panose1 w:val="020B0400000000000000"/>
    <w:charset w:val="86"/>
    <w:family w:val="auto"/>
    <w:pitch w:val="default"/>
    <w:sig w:usb0="A00002FF" w:usb1="7ACFFDFB" w:usb2="00000017" w:usb3="00000000" w:csb0="00040001" w:csb1="00000000"/>
  </w:font>
  <w:font w:name="PingFang SC Medium">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Times New Roman Regular">
    <w:panose1 w:val="02020503050405090304"/>
    <w:charset w:val="00"/>
    <w:family w:val="auto"/>
    <w:pitch w:val="default"/>
    <w:sig w:usb0="E0000AFF" w:usb1="00007843" w:usb2="00000001" w:usb3="00000000" w:csb0="400001BF" w:csb1="DFF7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B55B6">
    <w:pPr>
      <w:pStyle w:val="24"/>
      <w:keepNext w:val="0"/>
      <w:widowControl/>
      <w:snapToGrid w:val="0"/>
      <w:spacing w:before="0" w:after="0" w:line="280" w:lineRule="exact"/>
      <w:ind w:firstLine="0"/>
      <w:jc w:val="center"/>
    </w:pPr>
    <w:r>
      <w:rPr>
        <w:rFonts w:ascii="Noto Sans CJK SC" w:hAnsi="Noto Sans CJK SC" w:eastAsia="Noto Sans CJK SC" w:cs="Noto Sans CJK SC"/>
        <w:b w:val="0"/>
        <w:color w:val="566575"/>
        <w:sz w:val="20"/>
      </w:rPr>
      <w:t xml:space="preserve">— </w:t>
    </w:r>
    <w:r>
      <w:fldChar w:fldCharType="begin"/>
    </w:r>
    <w:r>
      <w:instrText xml:space="preserve">PAGE</w:instrText>
    </w:r>
    <w:r>
      <w:fldChar w:fldCharType="separate"/>
    </w:r>
    <w:r>
      <w:t>1</w:t>
    </w:r>
    <w:r>
      <w:fldChar w:fldCharType="end"/>
    </w:r>
    <w:r>
      <w:rPr>
        <w:rFonts w:ascii="Noto Sans CJK SC" w:hAnsi="Noto Sans CJK SC" w:eastAsia="Noto Sans CJK SC" w:cs="Noto Sans CJK SC"/>
        <w:b w:val="0"/>
        <w:color w:val="566575"/>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34A92">
    <w:pPr>
      <w:pStyle w:val="24"/>
      <w:keepNext w:val="0"/>
      <w:widowControl/>
      <w:snapToGrid w:val="0"/>
      <w:spacing w:before="0" w:after="0" w:line="280" w:lineRule="exact"/>
      <w:ind w:firstLine="0"/>
      <w:jc w:val="center"/>
    </w:pPr>
    <w:r>
      <w:rPr>
        <w:rFonts w:ascii="Noto Sans CJK SC" w:hAnsi="Noto Sans CJK SC" w:eastAsia="Noto Sans CJK SC" w:cs="Noto Sans CJK SC"/>
        <w:b w:val="0"/>
        <w:color w:val="566575"/>
        <w:sz w:val="20"/>
      </w:rPr>
      <w:t xml:space="preserve">— </w:t>
    </w:r>
    <w:r>
      <w:fldChar w:fldCharType="begin"/>
    </w:r>
    <w:r>
      <w:instrText xml:space="preserve">PAGE</w:instrText>
    </w:r>
    <w:r>
      <w:fldChar w:fldCharType="separate"/>
    </w:r>
    <w:r>
      <w:t>1</w:t>
    </w:r>
    <w:r>
      <w:fldChar w:fldCharType="end"/>
    </w:r>
    <w:r>
      <w:rPr>
        <w:rFonts w:ascii="Noto Sans CJK SC" w:hAnsi="Noto Sans CJK SC" w:eastAsia="Noto Sans CJK SC" w:cs="Noto Sans CJK SC"/>
        <w:b w:val="0"/>
        <w:color w:val="566575"/>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40" w:lineRule="auto"/>
      </w:pPr>
      <w:r>
        <w:separator/>
      </w:r>
    </w:p>
  </w:footnote>
  <w:footnote w:type="continuationSeparator" w:id="11">
    <w:p>
      <w:pPr>
        <w:spacing w:before="0" w:after="0" w:line="240" w:lineRule="auto"/>
      </w:pPr>
      <w:r>
        <w:continuationSeparator/>
      </w:r>
    </w:p>
  </w:footnote>
  <w:footnote w:id="0">
    <w:p w14:paraId="0AF4C1F8">
      <w:pPr>
        <w:pStyle w:val="166"/>
        <w:spacing w:after="0" w:line="240" w:lineRule="exact"/>
      </w:pPr>
      <w:r>
        <w:rPr>
          <w:vertAlign w:val="superscript"/>
        </w:rPr>
        <w:footnoteRef/>
      </w:r>
      <w:r>
        <w:rPr>
          <w:rFonts w:ascii="Noto Sans CJK SC" w:hAnsi="Noto Sans CJK SC" w:eastAsia="Noto Sans CJK SC"/>
          <w:color w:val="566575"/>
          <w:sz w:val="18"/>
        </w:rPr>
        <w:t>政策依据：京政数发〔2026〕6号，第十八条、第二十三条。2026年7月2日成文、7月9日公开发布；核验日期：2026年9月12日。首都之窗官方原文</w:t>
      </w:r>
    </w:p>
  </w:footnote>
  <w:footnote w:id="1">
    <w:p w14:paraId="25BB258C">
      <w:pPr>
        <w:pStyle w:val="166"/>
        <w:spacing w:after="0" w:line="240" w:lineRule="exact"/>
      </w:pPr>
      <w:r>
        <w:rPr>
          <w:vertAlign w:val="superscript"/>
        </w:rPr>
        <w:footnoteRef/>
      </w:r>
      <w:r>
        <w:rPr>
          <w:rFonts w:ascii="Noto Sans CJK SC" w:hAnsi="Noto Sans CJK SC" w:eastAsia="Noto Sans CJK SC"/>
          <w:color w:val="566575"/>
          <w:sz w:val="18"/>
        </w:rPr>
        <w:t>技术参考：Elastic混合检索、排序与重排官方文档。具体组合及效果以本项目试点验证为准。</w:t>
      </w:r>
    </w:p>
  </w:footnote>
  <w:footnote w:id="2">
    <w:p w14:paraId="4B89CE54">
      <w:pPr>
        <w:pStyle w:val="166"/>
        <w:spacing w:after="0" w:line="240" w:lineRule="exact"/>
      </w:pPr>
      <w:r>
        <w:rPr>
          <w:vertAlign w:val="superscript"/>
        </w:rPr>
        <w:footnoteRef/>
      </w:r>
      <w:r>
        <w:rPr>
          <w:rFonts w:ascii="Noto Sans CJK SC" w:hAnsi="Noto Sans CJK SC" w:eastAsia="Noto Sans CJK SC"/>
          <w:color w:val="566575"/>
          <w:sz w:val="18"/>
        </w:rPr>
        <w:t>技术参考：LangChain官方SQL问答教程及其权限风险提示。本报告优先采用受控查询，限制为审核过的只读数据范围。</w:t>
      </w:r>
    </w:p>
  </w:footnote>
  <w:footnote w:id="3">
    <w:p w14:paraId="23304A9E">
      <w:pPr>
        <w:pStyle w:val="166"/>
        <w:spacing w:after="0" w:line="240" w:lineRule="exact"/>
      </w:pPr>
      <w:r>
        <w:rPr>
          <w:vertAlign w:val="superscript"/>
        </w:rPr>
        <w:footnoteRef/>
      </w:r>
      <w:r>
        <w:rPr>
          <w:rFonts w:ascii="Noto Sans CJK SC" w:hAnsi="Noto Sans CJK SC" w:eastAsia="Noto Sans CJK SC"/>
          <w:color w:val="566575"/>
          <w:sz w:val="18"/>
        </w:rPr>
        <w:t>技术参考：ReAct原始论文；LangGraph中断与恢复机制；MCP工具规范。仅为实现方式参考，不代表技术产品已选定。</w:t>
      </w:r>
    </w:p>
  </w:footnote>
  <w:footnote w:id="4">
    <w:p w14:paraId="16E62777">
      <w:pPr>
        <w:pStyle w:val="166"/>
        <w:spacing w:after="0" w:line="240" w:lineRule="exact"/>
      </w:pPr>
      <w:r>
        <w:rPr>
          <w:vertAlign w:val="superscript"/>
        </w:rPr>
        <w:footnoteRef/>
      </w:r>
      <w:r>
        <w:rPr>
          <w:rFonts w:ascii="Noto Sans CJK SC" w:hAnsi="Noto Sans CJK SC" w:eastAsia="Noto Sans CJK SC"/>
          <w:color w:val="566575"/>
          <w:sz w:val="18"/>
        </w:rPr>
        <w:t>文档处理技术参考：PaddleOCR结构化文档解析说明。扫描件和复杂表格按需识别，关键内容仍须审核；不对解析准确率作未经测试的承诺。</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B612">
    <w:pPr>
      <w:pStyle w:val="25"/>
      <w:keepNext w:val="0"/>
      <w:widowControl/>
      <w:pBdr>
        <w:bottom w:val="single" w:color="D6DEE8" w:sz="4" w:space="0"/>
      </w:pBdr>
      <w:snapToGrid w:val="0"/>
      <w:spacing w:before="0" w:after="0" w:line="260" w:lineRule="exact"/>
      <w:ind w:firstLine="0"/>
    </w:pPr>
    <w:r>
      <w:rPr>
        <w:rFonts w:ascii="Noto Sans CJK SC" w:hAnsi="Noto Sans CJK SC" w:eastAsia="Noto Sans CJK SC" w:cs="Noto Sans CJK SC"/>
        <w:b w:val="0"/>
        <w:color w:val="566575"/>
        <w:sz w:val="18"/>
      </w:rPr>
      <w:t>数智北京创新中心 · 合合智能助手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D2480">
    <w:pPr>
      <w:pStyle w:val="25"/>
      <w:keepNext w:val="0"/>
      <w:widowControl/>
      <w:pBdr>
        <w:bottom w:val="single" w:color="D6DEE8" w:sz="4" w:space="0"/>
      </w:pBdr>
      <w:snapToGrid w:val="0"/>
      <w:spacing w:before="0" w:after="0" w:line="260" w:lineRule="exact"/>
      <w:ind w:firstLine="0"/>
    </w:pPr>
    <w:r>
      <w:rPr>
        <w:rFonts w:ascii="Noto Sans CJK SC" w:hAnsi="Noto Sans CJK SC" w:eastAsia="Noto Sans CJK SC" w:cs="Noto Sans CJK SC"/>
        <w:b w:val="0"/>
        <w:color w:val="566575"/>
        <w:sz w:val="18"/>
      </w:rPr>
      <w:t>数智北京创新中心 · 合合智能助手 | 设计附件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0"/>
    <w:footnote w:id="1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FDBB8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490" w:lineRule="exact"/>
    </w:pPr>
    <w:rPr>
      <w:rFonts w:ascii="Noto Serif CJK SC" w:hAnsi="Noto Serif CJK SC" w:eastAsia="Noto Serif CJK SC" w:cstheme="minorBidi"/>
      <w:sz w:val="3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Noto Serif CJK SC" w:hAnsi="Noto Serif CJK SC" w:eastAsia="Noto Serif CJK SC"/>
      <w:b/>
      <w:bCs/>
      <w:color w:val="4F81BD" w:themeColor="accent1"/>
      <w:sz w:val="30"/>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nnexBody"/>
    <w:uiPriority w:val="0"/>
    <w:pPr>
      <w:spacing w:after="80" w:line="350" w:lineRule="exact"/>
    </w:pPr>
    <w:rPr>
      <w:rFonts w:ascii="Noto Sans CJK SC" w:hAnsi="Noto Sans CJK SC" w:eastAsia="Noto Sans CJK SC" w:cstheme="minorBidi"/>
      <w:sz w:val="23"/>
      <w:szCs w:val="22"/>
      <w:lang w:val="en-US" w:eastAsia="en-US" w:bidi="ar-SA"/>
    </w:rPr>
  </w:style>
  <w:style w:type="paragraph" w:customStyle="1" w:styleId="165">
    <w:name w:val="AnnexSmall"/>
    <w:uiPriority w:val="0"/>
    <w:pPr>
      <w:spacing w:after="80" w:line="350" w:lineRule="exact"/>
    </w:pPr>
    <w:rPr>
      <w:rFonts w:ascii="Noto Sans CJK SC" w:hAnsi="Noto Sans CJK SC" w:eastAsia="Noto Sans CJK SC" w:cstheme="minorBidi"/>
      <w:sz w:val="19"/>
      <w:szCs w:val="22"/>
      <w:lang w:val="en-US" w:eastAsia="en-US" w:bidi="ar-SA"/>
    </w:rPr>
  </w:style>
  <w:style w:type="paragraph" w:customStyle="1" w:styleId="166">
    <w:name w:val="Footnote Text"/>
    <w:uiPriority w:val="0"/>
    <w:pPr>
      <w:spacing w:after="0" w:line="240" w:lineRule="exact"/>
    </w:pPr>
    <w:rPr>
      <w:rFonts w:ascii="Noto Sans CJK SC" w:hAnsi="Noto Sans CJK SC" w:eastAsiaTheme="minorEastAsia" w:cstheme="minorBidi"/>
      <w:sz w:val="18"/>
      <w:szCs w:val="22"/>
      <w:lang w:val="en-US" w:eastAsia="en-US" w:bidi="ar-SA"/>
    </w:rPr>
  </w:style>
  <w:style w:type="character" w:customStyle="1" w:styleId="167">
    <w:name w:val="Footnote Reference"/>
    <w:uiPriority w:val="0"/>
    <w:rPr>
      <w:sz w:val="18"/>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46</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Yzs</dc:creator>
  <cp:lastModifiedBy>Yzs</cp:lastModifiedBy>
  <dcterms:modified xsi:type="dcterms:W3CDTF">2026-09-13T00:59:54Z</dcterms:modified>
  <dc:subject>建设思路、整体架构、AI工程技术及重点场景设计</dc:subject>
  <dc:title>关于数智北京创新中心“合合”智能助手建设思路及原型设计情况的报告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6896DBFFA45BBF840A85A56A59B56F17_42</vt:lpwstr>
  </property>
</Properties>
</file>