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">
  <w:body>
    <w:p>
      <w:pPr>
        <w:pStyle w:val="TitleCN"/>
        <w:jc w:val="center"/>
      </w:pPr>
      <w:r>
        <w:t>异构处理器设计说明书</w:t>
      </w:r>
    </w:p>
    <w:p>
      <w:pPr>
        <w:pStyle w:val="SubtitleCN"/>
        <w:jc w:val="center"/>
      </w:pPr>
      <w:r>
        <w:t>基于 CPU 与 NPU 的异构处理器设计</w:t>
        <w:br/>
        <w:t>总体规格与总体架构设计说明书</w:t>
      </w:r>
    </w:p>
    <w:p>
      <w:pPr>
        <w:pStyle w:val="SubtitleCN"/>
        <w:jc w:val="center"/>
      </w:pPr>
      <w:r>
        <w:rPr>
          <w:b/>
          <w:color w:val="1F3B63"/>
          <w:sz w:val="28"/>
        </w:rPr>
        <w:t>整合增强版 V1.5</w:t>
      </w:r>
    </w:p>
    <w:p>
      <w:pPr>
        <w:pStyle w:val="SubtitleCN"/>
        <w:jc w:val="center"/>
      </w:pPr>
      <w:r>
        <w:t>（以 V1.5 讨论结论为准，并吸收 V1.0 的完整规格与总体架构内容进行补充）</w:t>
      </w:r>
    </w:p>
    <w:p/>
    <w:p>
      <w:pPr>
        <w:pStyle w:val="SubtitleCN"/>
        <w:jc w:val="center"/>
      </w:pPr>
      <w:r>
        <w:t>文档定位：用于方案评审、RTL 设计分解、验证计划编制与比赛答辩准备。</w:t>
      </w:r>
    </w:p>
    <w:p>
      <w:pPr>
        <w:pStyle w:val="SubtitleCN"/>
        <w:jc w:val="center"/>
      </w:pPr>
      <w:r>
        <w:t>适用范围：32 位 CPU + DMA + 独立 SPM 子系统 + 16×16 脉动阵列 NPU 的异构处理器原型。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rHeight w:hRule="atLeast" w:val="510"/>
        </w:trPr>
        <w:tc>
          <w:tcPr>
            <w:tcW w:type="dxa" w:w="4816"/>
            <w:vAlign w:val="center"/>
            <w:shd w:fill="EAF0F7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版本基础</w:t>
            </w:r>
          </w:p>
        </w:tc>
        <w:tc>
          <w:tcPr>
            <w:tcW w:type="dxa" w:w="481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以 V1.5 架构口径为唯一有效版本；V1.0 仅用于补充完整规格、术语解释、性能口径与设计边界。</w:t>
            </w:r>
          </w:p>
        </w:tc>
      </w:tr>
      <w:tr>
        <w:trPr>
          <w:trHeight w:hRule="atLeast" w:val="510"/>
        </w:trPr>
        <w:tc>
          <w:tcPr>
            <w:tcW w:type="dxa" w:w="4816"/>
            <w:vAlign w:val="center"/>
            <w:shd w:fill="EAF0F7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关键修订</w:t>
            </w:r>
          </w:p>
        </w:tc>
        <w:tc>
          <w:tcPr>
            <w:tcW w:type="dxa" w:w="481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CPU 固定为 picorv32_axi 且不修改内核 RTL；SPM 独立为 spm_subsys；DMA 升级为 descriptor staging + FIFO + scheduler；NPU 采用 CSR + START。</w:t>
            </w:r>
          </w:p>
        </w:tc>
      </w:tr>
      <w:tr>
        <w:trPr>
          <w:trHeight w:hRule="atLeast" w:val="510"/>
        </w:trPr>
        <w:tc>
          <w:tcPr>
            <w:tcW w:type="dxa" w:w="4816"/>
            <w:vAlign w:val="center"/>
            <w:shd w:fill="EAF0F7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当前状态</w:t>
            </w:r>
          </w:p>
        </w:tc>
        <w:tc>
          <w:tcPr>
            <w:tcW w:type="dxa" w:w="481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本版作为统一对外版本，替代分散的 V1.0 / V2.1 / 临时修订稿。</w:t>
            </w:r>
          </w:p>
        </w:tc>
      </w:tr>
    </w:tbl>
    <w:p>
      <w:r>
        <w:br w:type="page"/>
      </w:r>
    </w:p>
    <w:p>
      <w:pPr>
        <w:pStyle w:val="Heading1"/>
      </w:pPr>
      <w:r>
        <w:t>0. 版本修订记录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rHeight w:hRule="atLeast" w:val="482"/>
        </w:trPr>
        <w:tc>
          <w:tcPr>
            <w:tcW w:type="dxa" w:w="1701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版本</w:t>
            </w:r>
          </w:p>
        </w:tc>
        <w:tc>
          <w:tcPr>
            <w:tcW w:type="dxa" w:w="2381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定位</w:t>
            </w:r>
          </w:p>
        </w:tc>
        <w:tc>
          <w:tcPr>
            <w:tcW w:type="dxa" w:w="5556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主要变化</w:t>
            </w:r>
          </w:p>
        </w:tc>
      </w:tr>
      <w:tr>
        <w:trPr>
          <w:trHeight w:hRule="atLeast" w:val="482"/>
        </w:trPr>
        <w:tc>
          <w:tcPr>
            <w:tcW w:type="dxa" w:w="170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V1.0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初版 FS / 总体架构</w:t>
            </w:r>
          </w:p>
        </w:tc>
        <w:tc>
          <w:tcPr>
            <w:tcW w:type="dxa" w:w="555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形成 16×16 方案、CPU/DMA/NPU/SPM 总体框架、术语解释与初版总体架构内容。</w:t>
            </w:r>
          </w:p>
        </w:tc>
      </w:tr>
      <w:tr>
        <w:trPr>
          <w:trHeight w:hRule="atLeast" w:val="482"/>
        </w:trPr>
        <w:tc>
          <w:tcPr>
            <w:tcW w:type="dxa" w:w="170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V2.1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修订结论汇总</w:t>
            </w:r>
          </w:p>
        </w:tc>
        <w:tc>
          <w:tcPr>
            <w:tcW w:type="dxa" w:w="555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明确 CPU 不改 RTL、SPM 独立为 spm_subsys、DMA 升级为 descriptor staging + FIFO + scheduler、NPU 采用 CSR + START。</w:t>
            </w:r>
          </w:p>
        </w:tc>
      </w:tr>
      <w:tr>
        <w:trPr>
          <w:trHeight w:hRule="atLeast" w:val="482"/>
        </w:trPr>
        <w:tc>
          <w:tcPr>
            <w:tcW w:type="dxa" w:w="170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V1.5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整合增强版</w:t>
            </w:r>
          </w:p>
        </w:tc>
        <w:tc>
          <w:tcPr>
            <w:tcW w:type="dxa" w:w="555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以 V1.5 为架构基准，重组文档结构，并吸收 V1.0 的背景、目标、术语、性能和验证口径。</w:t>
            </w:r>
          </w:p>
        </w:tc>
      </w:tr>
    </w:tbl>
    <w:p/>
    <w:p>
      <w:pPr>
        <w:pStyle w:val="Heading1"/>
      </w:pPr>
      <w:r>
        <w:t>1. 系统总体功能梳理与整体视图</w:t>
      </w:r>
    </w:p>
    <w:p>
      <w:pPr>
        <w:pStyle w:val="BodyTight"/>
      </w:pPr>
      <w:r>
        <w:t>本章从系统级角度先给出整体功能闭环和模块布局。阅读本章的目标不是进入信号和 RTL 细节，而是先建立统一的系统心智模型：CPU 负责控制，DMA 负责搬运，SPM 负责缓冲，NPU 负责计算，外部共享存储空间负责保存输入、权重、输出与可选 descriptor。</w:t>
      </w:r>
    </w:p>
    <w:p>
      <w:pPr>
        <w:pStyle w:val="Heading2"/>
      </w:pPr>
      <w:r>
        <w:t>1.1 系统总体功能定位</w:t>
      </w:r>
    </w:p>
    <w:p>
      <w:pPr>
        <w:pStyle w:val="BodyTight"/>
      </w:pPr>
      <w:r>
        <w:t>本方案面向赛题“基于 CPU 和 NPU 的异构处理器设计”，采用 32 位 CPU + DMA + 独立 SPM 子系统 + 16×16 脉动阵列 NPU 的异构结构。系统采用控制面与数据面分离的设计原则：控制面统一采用 AXI-Lite，数据面采用 AXI4 Full。</w:t>
      </w:r>
    </w:p>
    <w:p>
      <w:pPr>
        <w:pStyle w:val="BodyTight"/>
      </w:pPr>
      <w:r>
        <w:t>系统对外的功能目标可概括为三点：一是 CPU 可以通过统一的控制平面完成启动、配置、状态读取和结果检查；二是 DMA 能够高效地在外部共享存储空间与本地 SPM 之间搬运 tile 数据；三是 NPU 能够在本地稳定供数的条件下完成 INT8 矩阵乘加，并将结果写回外部共享存储空间。</w:t>
      </w:r>
    </w:p>
    <w:p>
      <w:pPr>
        <w:pStyle w:val="Heading2"/>
      </w:pPr>
      <w:r>
        <w:t>1.2 系统总体架构与数据流概览</w:t>
      </w:r>
    </w:p>
    <w:p>
      <w:pPr>
        <w:jc w:val="center"/>
      </w:pPr>
      <w:r>
        <w:drawing>
          <ns2:inline>
            <ns2:extent cx="6012000" cy="3340000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soc_v15_simple_overview4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6012000" cy="3340000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pStyle w:val="CaptionCN"/>
      </w:pPr>
      <w:r>
        <w:t>图 1  系统总体功能与架构总览图（V1.5）</w:t>
      </w:r>
    </w:p>
    <w:p>
      <w:pPr>
        <w:pStyle w:val="BodyTight"/>
      </w:pPr>
      <w:r>
        <w:t>该图仅保留系统布局与主数据流向：CPU 通过 AXI-Lite 完成取指、配置与状态读取；DMA 在外部共享存储空间与 SPM 之间搬运 tile；NPU 从 SPM 取数计算，并将结果回写到 out_spm，再由 DMA burst 写回外部共享存储。</w:t>
      </w:r>
    </w:p>
    <w:p>
      <w:pPr>
        <w:pStyle w:val="Heading2"/>
      </w:pPr>
      <w:r>
        <w:t>1.3 系统工作闭环</w:t>
      </w:r>
    </w:p>
    <w:p>
      <w:pPr>
        <w:pStyle w:val="BodyTight"/>
      </w:pPr>
      <w:r>
        <w:t>系统工作闭环可按以下顺序理解。首先，CPU 从 boot ROM 启动，在 local RAM 中运行控制程序，并通过 AXI-Lite 完成 DMA 与 NPU 的配置。其次，DMA 根据 CPU 提交的 descriptor 命令，从外部共享存储空间中读取 activation tile 和 weight tile，并分别写入 act_spm 与 wgt_spm。随后，NPU 在检测到所需 buffer ready 后开始阵列计算，计算结果先写入 out_spm。最后，DMA 从 out_spm 读取结果并写回外部共享存储，CPU 通过状态寄存器判断任务完成并进行结果检查。</w:t>
      </w:r>
    </w:p>
    <w:p>
      <w:pPr>
        <w:pStyle w:val="Heading2"/>
      </w:pPr>
      <w:r>
        <w:t>1.4 顶层模块职责概览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rHeight w:hRule="atLeast" w:val="482"/>
        </w:trPr>
        <w:tc>
          <w:tcPr>
            <w:tcW w:type="dxa" w:w="1814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模块 / 子系统</w:t>
            </w:r>
          </w:p>
        </w:tc>
        <w:tc>
          <w:tcPr>
            <w:tcW w:type="dxa" w:w="3969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主要职责</w:t>
            </w:r>
          </w:p>
        </w:tc>
        <w:tc>
          <w:tcPr>
            <w:tcW w:type="dxa" w:w="3855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不承担的职责</w:t>
            </w:r>
          </w:p>
        </w:tc>
      </w:tr>
      <w:tr>
        <w:trPr>
          <w:trHeight w:hRule="atLeast" w:val="482"/>
        </w:trPr>
        <w:tc>
          <w:tcPr>
            <w:tcW w:type="dxa" w:w="181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cpu_subsys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系统启动、AXI-Lite 配置、状态读取、任务发起、结果检查。</w:t>
            </w:r>
          </w:p>
        </w:tc>
        <w:tc>
          <w:tcPr>
            <w:tcW w:type="dxa" w:w="385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不承担 Burst 数据搬运；不承担阵列计算。</w:t>
            </w:r>
          </w:p>
        </w:tc>
      </w:tr>
      <w:tr>
        <w:trPr>
          <w:trHeight w:hRule="atLeast" w:val="482"/>
        </w:trPr>
        <w:tc>
          <w:tcPr>
            <w:tcW w:type="dxa" w:w="181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dma_top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外部共享存储空间与 SPM 之间的 tile 级搬运；结果写回。</w:t>
            </w:r>
          </w:p>
        </w:tc>
        <w:tc>
          <w:tcPr>
            <w:tcW w:type="dxa" w:w="385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不承担矩阵乘加；不直接驱动阵列逐拍供数。</w:t>
            </w:r>
          </w:p>
        </w:tc>
      </w:tr>
      <w:tr>
        <w:trPr>
          <w:trHeight w:hRule="atLeast" w:val="482"/>
        </w:trPr>
        <w:tc>
          <w:tcPr>
            <w:tcW w:type="dxa" w:w="181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spm_subsys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作为 DMA 与 NPU 之间的本地缓冲层，承接输入/权重/输出。</w:t>
            </w:r>
          </w:p>
        </w:tc>
        <w:tc>
          <w:tcPr>
            <w:tcW w:type="dxa" w:w="385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不承担复杂控制平面逻辑；不直接解析高层任务。</w:t>
            </w:r>
          </w:p>
        </w:tc>
      </w:tr>
      <w:tr>
        <w:trPr>
          <w:trHeight w:hRule="atLeast" w:val="482"/>
        </w:trPr>
        <w:tc>
          <w:tcPr>
            <w:tcW w:type="dxa" w:w="181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npu_top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执行 16×16 阵列矩阵乘加、量化与输出写入。</w:t>
            </w:r>
          </w:p>
        </w:tc>
        <w:tc>
          <w:tcPr>
            <w:tcW w:type="dxa" w:w="385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不承担 AXI4 Full master；不承担大块外部存储搬运。</w:t>
            </w:r>
          </w:p>
        </w:tc>
      </w:tr>
      <w:tr>
        <w:trPr>
          <w:trHeight w:hRule="atLeast" w:val="482"/>
        </w:trPr>
        <w:tc>
          <w:tcPr>
            <w:tcW w:type="dxa" w:w="181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外部共享存储空间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保存输入、权重、输出与可选 descriptor。</w:t>
            </w:r>
          </w:p>
        </w:tc>
        <w:tc>
          <w:tcPr>
            <w:tcW w:type="dxa" w:w="385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不承担本地逐拍供数。</w:t>
            </w:r>
          </w:p>
        </w:tc>
      </w:tr>
    </w:tbl>
    <w:p/>
    <w:p>
      <w:pPr>
        <w:pStyle w:val="Heading2"/>
      </w:pPr>
      <w:r>
        <w:t>1.5 与 V1.0 相比的关键口径更新</w:t>
      </w:r>
    </w:p>
    <w:p>
      <w:pPr>
        <w:pStyle w:val="BodyTight"/>
      </w:pPr>
      <w:r>
        <w:t>V1.0 中将 SPM 描述为 NPU 内部局部存储，并将 DMA 看作单次寄存器触发的搬运模块；在 V1.5 中，这两点都已修正。首先，SPM 被统一抽离为独立 spm_subsys，成为 DMA 与 NPU 之间的明确缓冲层。其次，DMA 由单次触发模型升级为 descriptor staging + pending FIFO + scheduler 的命令执行模型。与此同时，NPU 第一版不再规划完整 descriptor 队列，而采用 CSR + START + 等待 SPM ready 后执行的状态机模型。</w:t>
      </w:r>
    </w:p>
    <w:p>
      <w:pPr>
        <w:pStyle w:val="Heading1"/>
      </w:pPr>
      <w:r>
        <w:t>2. 系统信号描述与定义（预留）</w:t>
      </w:r>
    </w:p>
    <w:p>
      <w:pPr>
        <w:pStyle w:val="BodyTight"/>
      </w:pPr>
      <w:r>
        <w:t>本章预留给后续信号级定义使用。当前版本先冻结系统架构、模块职责和控制/数据流口径；待 DMA CSR、NPU CSR、SPM 本地接口与状态信号进一步收敛后，再在本章补充完整的信号表。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rHeight w:hRule="atLeast" w:val="482"/>
        </w:trPr>
        <w:tc>
          <w:tcPr>
            <w:tcW w:type="dxa" w:w="2948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预留子章节</w:t>
            </w:r>
          </w:p>
        </w:tc>
        <w:tc>
          <w:tcPr>
            <w:tcW w:type="dxa" w:w="6690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计划内容</w:t>
            </w:r>
          </w:p>
        </w:tc>
      </w:tr>
      <w:tr>
        <w:trPr>
          <w:trHeight w:hRule="atLeast" w:val="482"/>
        </w:trPr>
        <w:tc>
          <w:tcPr>
            <w:tcW w:type="dxa" w:w="294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2.1 顶层 AXI-Lite 控制面信号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CPU 到 boot ROM / local RAM wrapper / DMA CSR / NPU CSR 的地址、数据、响应信号。</w:t>
            </w:r>
          </w:p>
        </w:tc>
      </w:tr>
      <w:tr>
        <w:trPr>
          <w:trHeight w:hRule="atLeast" w:val="482"/>
        </w:trPr>
        <w:tc>
          <w:tcPr>
            <w:tcW w:type="dxa" w:w="294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2.2 DMA 控制面与状态信号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descriptor staging、submit、FIFO 状态、busy / done / error 等。</w:t>
            </w:r>
          </w:p>
        </w:tc>
      </w:tr>
      <w:tr>
        <w:trPr>
          <w:trHeight w:hRule="atLeast" w:val="482"/>
        </w:trPr>
        <w:tc>
          <w:tcPr>
            <w:tcW w:type="dxa" w:w="294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2.3 DMA ↔ SPM 本地接口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本地写入请求、行级数据写入、out_spm 读取接口。</w:t>
            </w:r>
          </w:p>
        </w:tc>
      </w:tr>
      <w:tr>
        <w:trPr>
          <w:trHeight w:hRule="atLeast" w:val="482"/>
        </w:trPr>
        <w:tc>
          <w:tcPr>
            <w:tcW w:type="dxa" w:w="294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2.4 NPU ↔ SPM 本地接口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act_vec / wgt_vec、ready / valid、out_wr 地址和写数据信号。</w:t>
            </w:r>
          </w:p>
        </w:tc>
      </w:tr>
      <w:tr>
        <w:trPr>
          <w:trHeight w:hRule="atLeast" w:val="482"/>
        </w:trPr>
        <w:tc>
          <w:tcPr>
            <w:tcW w:type="dxa" w:w="294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2.5 系统状态与完成判定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NPU 与 DMA 的完成状态、错误状态、计数器可观测信号。</w:t>
            </w:r>
          </w:p>
        </w:tc>
      </w:tr>
    </w:tbl>
    <w:p/>
    <w:p>
      <w:pPr>
        <w:pStyle w:val="Heading1"/>
      </w:pPr>
      <w:r>
        <w:t>3. CPU 子系统（cpu_subsys）</w:t>
      </w:r>
    </w:p>
    <w:p>
      <w:pPr>
        <w:pStyle w:val="BodyTight"/>
      </w:pPr>
      <w:r>
        <w:t>CPU 子系统定位为控制平面主机，而不是数据面主机。它负责系统初始化、配置 DMA 与 NPU、触发任务、轮询状态、读取结果和执行软件侧校验，但不直接承担 Burst 数据搬运，也不承担矩阵乘加计算。</w:t>
      </w:r>
    </w:p>
    <w:p>
      <w:pPr>
        <w:pStyle w:val="Heading2"/>
      </w:pPr>
      <w:r>
        <w:t>3.1 选型与边界</w:t>
      </w:r>
    </w:p>
    <w:p>
      <w:pPr>
        <w:pStyle w:val="BodyTight"/>
      </w:pPr>
      <w:r>
        <w:t>CPU 冻结为 picorv32_axi，作为现成开源 RV32 IP 原样集成。当前版本明确不修改 CPU 内核 RTL，不向 CPU 内核内部增加任何专用寄存器、队列或调度逻辑。所有新增控制能力均通过 CPU 外部的 AXI-Lite 外设来实现，例如 DMA CSR、NPU CSR 和系统状态寄存器。</w:t>
      </w:r>
    </w:p>
    <w:p>
      <w:pPr>
        <w:pStyle w:val="Heading2"/>
      </w:pPr>
      <w:r>
        <w:t>3.2 Boot ROM 与 Local RAM</w:t>
      </w:r>
    </w:p>
    <w:p>
      <w:pPr>
        <w:pStyle w:val="BodyTight"/>
      </w:pPr>
      <w:r>
        <w:t>CPU 通过本地 boot ROM 获得稳定的启动取指路径，通过 local RAM 保存栈、全局变量和少量运行时数据。CPU 并不是“识别出 boot ROM 或 local RAM 的用途”，而是依赖硬件地址映射、复位入口地址以及软件启动代码共同决定：PC 指向 boot ROM 地址空间，SP 初始化在 local RAM 地址范围内。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rHeight w:hRule="atLeast" w:val="482"/>
        </w:trPr>
        <w:tc>
          <w:tcPr>
            <w:tcW w:type="dxa" w:w="3005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地址段</w:t>
            </w:r>
          </w:p>
        </w:tc>
        <w:tc>
          <w:tcPr>
            <w:tcW w:type="dxa" w:w="1928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模块</w:t>
            </w:r>
          </w:p>
        </w:tc>
        <w:tc>
          <w:tcPr>
            <w:tcW w:type="dxa" w:w="4649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说明</w:t>
            </w:r>
          </w:p>
        </w:tc>
      </w:tr>
      <w:tr>
        <w:trPr>
          <w:trHeight w:hRule="atLeast" w:val="482"/>
        </w:trPr>
        <w:tc>
          <w:tcPr>
            <w:tcW w:type="dxa" w:w="300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0x0000_0000 ~ 0x0000_3FFF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boot ROM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启动代码与控制程序入口，首版建议 16 KB。</w:t>
            </w:r>
          </w:p>
        </w:tc>
      </w:tr>
      <w:tr>
        <w:trPr>
          <w:trHeight w:hRule="atLeast" w:val="482"/>
        </w:trPr>
        <w:tc>
          <w:tcPr>
            <w:tcW w:type="dxa" w:w="300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0x0001_0000 ~ 0x0001_7FFF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local RAM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栈、全局变量、少量本地 descriptor 或软件数据，首版建议 32 KB。</w:t>
            </w:r>
          </w:p>
        </w:tc>
      </w:tr>
      <w:tr>
        <w:trPr>
          <w:trHeight w:hRule="atLeast" w:val="482"/>
        </w:trPr>
        <w:tc>
          <w:tcPr>
            <w:tcW w:type="dxa" w:w="300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0x1000_0000 ~ 0x1000_0FFF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NPU CSR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NPU 配置与状态寄存器。</w:t>
            </w:r>
          </w:p>
        </w:tc>
      </w:tr>
      <w:tr>
        <w:trPr>
          <w:trHeight w:hRule="atLeast" w:val="482"/>
        </w:trPr>
        <w:tc>
          <w:tcPr>
            <w:tcW w:type="dxa" w:w="300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0x1000_1000 ~ 0x1000_1FFF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 CSR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 配置、descriptor 提交与状态寄存器。</w:t>
            </w:r>
          </w:p>
        </w:tc>
      </w:tr>
      <w:tr>
        <w:trPr>
          <w:trHeight w:hRule="atLeast" w:val="482"/>
        </w:trPr>
        <w:tc>
          <w:tcPr>
            <w:tcW w:type="dxa" w:w="300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0x1000_2000 ~ 0x1000_2FFF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SYS/PERF/ERROR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全局状态、错误与性能计数。</w:t>
            </w:r>
          </w:p>
        </w:tc>
      </w:tr>
      <w:tr>
        <w:trPr>
          <w:trHeight w:hRule="atLeast" w:val="482"/>
        </w:trPr>
        <w:tc>
          <w:tcPr>
            <w:tcW w:type="dxa" w:w="300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0x2000_0000 ~ …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外部共享存储空间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主要给 DMA 使用，保存输入、权重、输出与可选 descriptor。</w:t>
            </w:r>
          </w:p>
        </w:tc>
      </w:tr>
    </w:tbl>
    <w:p/>
    <w:p>
      <w:pPr>
        <w:pStyle w:val="Heading2"/>
      </w:pPr>
      <w:r>
        <w:t>3.3 CPU 对系统的控制方式</w:t>
      </w:r>
    </w:p>
    <w:p>
      <w:pPr>
        <w:pStyle w:val="BodyTight"/>
      </w:pPr>
      <w:r>
        <w:t>CPU 对 DMA 与 NPU 的控制方式统一为 AXI-Lite 单拍寄存器访问。对 DMA 来说，CPU 负责填写 descriptor staging 寄存器并执行 submit；对 NPU 来说，CPU 负责填写配置寄存器并写 START。CPU 首版默认采用 polling 检查 DMA 与 NPU 的 BUSY / DONE / ERROR 状态。中断机制可作为后续增强项，但不作为当前冻结前提。</w:t>
      </w:r>
    </w:p>
    <w:p>
      <w:pPr>
        <w:pStyle w:val="Heading2"/>
      </w:pPr>
      <w:r>
        <w:t>3.4 CPU 侧关键设计点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rHeight w:hRule="atLeast" w:val="482"/>
        </w:trPr>
        <w:tc>
          <w:tcPr>
            <w:tcW w:type="dxa" w:w="2268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关键点</w:t>
            </w:r>
          </w:p>
        </w:tc>
        <w:tc>
          <w:tcPr>
            <w:tcW w:type="dxa" w:w="6803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说明</w:t>
            </w:r>
          </w:p>
        </w:tc>
      </w:tr>
      <w:tr>
        <w:trPr>
          <w:trHeight w:hRule="atLeast" w:val="482"/>
        </w:trPr>
        <w:tc>
          <w:tcPr>
            <w:tcW w:type="dxa" w:w="226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CPU 不改 RTL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后续架构优化一律通过 DMA / NPU / SPM / 顶层外设实现，不通过修改 CPU 内核实现。</w:t>
            </w:r>
          </w:p>
        </w:tc>
      </w:tr>
      <w:tr>
        <w:trPr>
          <w:trHeight w:hRule="atLeast" w:val="482"/>
        </w:trPr>
        <w:tc>
          <w:tcPr>
            <w:tcW w:type="dxa" w:w="226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控制面统一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所有控制、状态读取和任务发起通过 AXI-Lite 完成。</w:t>
            </w:r>
          </w:p>
        </w:tc>
      </w:tr>
      <w:tr>
        <w:trPr>
          <w:trHeight w:hRule="atLeast" w:val="482"/>
        </w:trPr>
        <w:tc>
          <w:tcPr>
            <w:tcW w:type="dxa" w:w="226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不介入数据面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CPU 不作为高吞吐主访存核，不承担 Burst 数据面传输。</w:t>
            </w:r>
          </w:p>
        </w:tc>
      </w:tr>
      <w:tr>
        <w:trPr>
          <w:trHeight w:hRule="atLeast" w:val="482"/>
        </w:trPr>
        <w:tc>
          <w:tcPr>
            <w:tcW w:type="dxa" w:w="2268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软件 bring-up 路径清晰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boot ROM → local RAM → DMA/NPU CSR → 轮询状态，便于系统联调。</w:t>
            </w:r>
          </w:p>
        </w:tc>
      </w:tr>
    </w:tbl>
    <w:p/>
    <w:p>
      <w:pPr>
        <w:pStyle w:val="Heading1"/>
      </w:pPr>
      <w:r>
        <w:t>4. DMA 子系统（dma_top）</w:t>
      </w:r>
    </w:p>
    <w:p>
      <w:pPr>
        <w:pStyle w:val="BodyTight"/>
      </w:pPr>
      <w:r>
        <w:t>DMA 是系统数据面的主设备，负责在外部共享存储空间与 spm_subsys 之间进行 tile 级数据搬运，并在计算结束后将结果写回外部共享存储。与 V1.0 相比，DMA 在本版中不再是“单次寄存器触发的立即执行模块”，而是升级为“AXI-Lite 控制、descriptor staging、pending FIFO 与条件调度器驱动的 tile 数据搬运引擎”。</w:t>
      </w:r>
    </w:p>
    <w:p>
      <w:pPr>
        <w:pStyle w:val="Heading2"/>
      </w:pPr>
      <w:r>
        <w:t>4.1 DMA 总体职责</w:t>
      </w:r>
    </w:p>
    <w:p>
      <w:pPr>
        <w:pStyle w:val="BodyTight"/>
      </w:pPr>
      <w:r>
        <w:t>DMA 负责三类典型操作：第一，从外部共享存储空间读取 activation tile，写入 act_spm；第二，从外部共享存储空间读取 weight tile，写入 wgt_spm；第三，从 out_spm 读取输出 tile，并以 AXI4 Full burst 方式写回外部共享存储空间。</w:t>
      </w:r>
    </w:p>
    <w:p>
      <w:pPr>
        <w:pStyle w:val="Heading2"/>
      </w:pPr>
      <w:r>
        <w:t>4.2 内部模块规划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rHeight w:hRule="atLeast" w:val="482"/>
        </w:trPr>
        <w:tc>
          <w:tcPr>
            <w:tcW w:type="dxa" w:w="2381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内部模块</w:t>
            </w:r>
          </w:p>
        </w:tc>
        <w:tc>
          <w:tcPr>
            <w:tcW w:type="dxa" w:w="6690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职责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dma_csr_if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AXI-Lite slave 前端，接收 CPU 写入的 descriptor 字段并返回状态。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dma_desc_stage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CPU 当前正在填写的一条 descriptor 暂存区。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dma_desc_fifo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待执行 descriptor 队列，建议首版 4-entry。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dma_scheduler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结合 buffer/状态条件决定 descriptor 是否可执行。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dma_addr_gen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生成 2D 搬运地址，处理 row_len / row_cnt / stride。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dma_rd_engine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执行 LOAD_ACT / LOAD_WGT 的 AXI4 Full 读事务。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dma_wr_engine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执行 STORE_OUT 的 AXI4 Full 写事务。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dma_local_if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将读回数据写入 act_spm / wgt_spm，并从 out_spm 读取结果。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dma_status_perf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输出 busy / done / error / fifo_level / beat_count 等状态。</w:t>
            </w:r>
          </w:p>
        </w:tc>
      </w:tr>
    </w:tbl>
    <w:p/>
    <w:p>
      <w:pPr>
        <w:pStyle w:val="Heading2"/>
      </w:pPr>
      <w:r>
        <w:t>4.3 为什么采用 descriptor staging + FIFO</w:t>
      </w:r>
    </w:p>
    <w:p>
      <w:pPr>
        <w:pStyle w:val="BodyTight"/>
      </w:pPr>
      <w:r>
        <w:t>如果 DMA 只支持“单次寄存器配置后立即执行”，那么 CPU 必须等待上一条搬运完成后才能配置下一条命令，这会把 CPU 配置时间暴露在关键路径上。当前版本通过在 DMA 内部引入 descriptor staging、pending FIFO 与 scheduler，使 CPU 可以连续提交多条命令，而 DMA 再顺序执行，从而减少配置阶段的气泡。</w:t>
      </w:r>
    </w:p>
    <w:p>
      <w:pPr>
        <w:pStyle w:val="BodyTight"/>
      </w:pPr>
      <w:r>
        <w:t>CPU 提交 descriptor 时仍显式保留 submit 操作，其目的是定义“descriptor 已写完整并原子生效”的边界，避免半成品 descriptor 被错误推进 FIFO。</w:t>
      </w:r>
    </w:p>
    <w:p>
      <w:pPr>
        <w:pStyle w:val="Heading2"/>
      </w:pPr>
      <w:r>
        <w:t>4.4 descriptor 字段与状态寄存器要求</w:t>
      </w:r>
    </w:p>
    <w:p>
      <w:pPr>
        <w:pStyle w:val="BodyTight"/>
      </w:pPr>
      <w:r>
        <w:t>当前版本建议 descriptor 至少包含 op_type、src_addr、dst_addr、row_len、row_cnt、src_stride、dst_stride、buf_sel、tile_id（可选）与 flags。DMA 状态寄存器至少需要提供 BUSY、DONE、ERROR、FIFO_EMPTY、FIFO_FULL、FIFO_LEVEL，并建议补充 DONE_COUNT、RD_BEAT_COUNT、WR_BEAT_COUNT 等性能计数。</w:t>
      </w:r>
    </w:p>
    <w:p>
      <w:pPr>
        <w:pStyle w:val="Heading2"/>
      </w:pPr>
      <w:r>
        <w:t>4.5 DMA 与 CPU / NPU / SPM 的协同关系</w:t>
      </w:r>
    </w:p>
    <w:p>
      <w:pPr>
        <w:pStyle w:val="BodyTight"/>
      </w:pPr>
      <w:r>
        <w:t>CPU 与 DMA 通过 AXI-Lite 寄存器接口交互；DMA 与 SPM 通过本地 SRAM-like 接口交互；DMA 与 NPU 不直接逐拍耦合，而是通过 spm_subsys 的 buffer ownership、ready、free、valid 等状态实现异步解耦。当前版本不建议在首版中实现 act/wgt 双读通道并行搬运，而是使用单读引擎顺序完成 LOAD_ACT 与 LOAD_WGT。</w:t>
      </w:r>
    </w:p>
    <w:p>
      <w:pPr>
        <w:pStyle w:val="Heading1"/>
      </w:pPr>
      <w:r>
        <w:t>5. SPM 子系统（spm_subsys）</w:t>
      </w:r>
    </w:p>
    <w:p>
      <w:pPr>
        <w:pStyle w:val="BodyTight"/>
      </w:pPr>
      <w:r>
        <w:t>SPM 子系统是 DMA 与 NPU 之间的本地缓冲层。它的主作用不是作为 CPU 可见的常规 AXI-Lite 外设，而是承接 DMA 搬入的数据、向 NPU 稳定供数，并缓存 NPU 的输出结果供 DMA 写回。V1.5 将 SPM 从 NPU 内部逻辑上抽离为独立 spm_subsys，以便于模块级验证和后续 bank / buffer / ownership 机制的独立演化。</w:t>
      </w:r>
    </w:p>
    <w:p>
      <w:pPr>
        <w:pStyle w:val="Heading2"/>
      </w:pPr>
      <w:r>
        <w:t>5.1 为什么 SPM 单独成子系统</w:t>
      </w:r>
    </w:p>
    <w:p>
      <w:pPr>
        <w:pStyle w:val="BodyTight"/>
      </w:pPr>
      <w:r>
        <w:t>SPM 同时服务于 DMA 和 NPU：一边是 DMA 的块搬运，一边是 NPU 的逐拍并行供数。把 SPM 单独抽出来，有利于 DMA/SPM/NPU 边界清晰、模块级验证更简单，也更便于单独讨论 bank 数、buffer 数、深度和位宽。</w:t>
      </w:r>
    </w:p>
    <w:p>
      <w:pPr>
        <w:pStyle w:val="Heading2"/>
      </w:pPr>
      <w:r>
        <w:t>5.2 内部模块规划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rHeight w:hRule="atLeast" w:val="482"/>
        </w:trPr>
        <w:tc>
          <w:tcPr>
            <w:tcW w:type="dxa" w:w="2381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内部模块</w:t>
            </w:r>
          </w:p>
        </w:tc>
        <w:tc>
          <w:tcPr>
            <w:tcW w:type="dxa" w:w="6690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职责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act_spm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存放 activation tile；DMA 写、NPU 读；首版双缓冲；建议 16 bank。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wgt_spm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存放 weight tile；DMA 写、NPU 读；首版双缓冲；建议 16 bank。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out_spm / out_buf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缓存 NPU 输出；NPU 写、DMA 读；首版单缓冲起步。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spm_ctrl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维护 ownership、ready、free、valid、非法访问检测。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spm_dma_if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对接 DMA 本地接口，屏蔽 bank/buffer 细节。</w:t>
            </w:r>
          </w:p>
        </w:tc>
      </w:tr>
      <w:tr>
        <w:trPr>
          <w:trHeight w:hRule="atLeast" w:val="482"/>
        </w:trPr>
        <w:tc>
          <w:tcPr>
            <w:tcW w:type="dxa" w:w="2381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spm_npu_if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向 NPU 提供 act_vec / wgt_vec，并接收 out 写入。</w:t>
            </w:r>
          </w:p>
        </w:tc>
      </w:tr>
    </w:tbl>
    <w:p/>
    <w:p>
      <w:pPr>
        <w:pStyle w:val="Heading2"/>
      </w:pPr>
      <w:r>
        <w:t>5.3 16 bank 的含义与原因</w:t>
      </w:r>
    </w:p>
    <w:p>
      <w:pPr>
        <w:pStyle w:val="BodyTight"/>
      </w:pPr>
      <w:r>
        <w:t>以 16×16 阵列、Ktile=32 为例，第 t 拍阵列需要同时拿到 16 个 activation 和 16 个 weight。最自然的组织方式是：activation 侧按阵列 16 行展开为 16 个 bank，weight 侧按阵列 16 列展开为 16 个 bank，而 K 维索引作为各 bank 的深度地址。这样在第 t 拍时，所有 bank 只需同时读地址 t，就能一次性喂满阵列边界。</w:t>
      </w:r>
    </w:p>
    <w:p>
      <w:pPr>
        <w:pStyle w:val="Heading2"/>
      </w:pPr>
      <w:r>
        <w:t>5.4 双缓冲与仲裁策略</w:t>
      </w:r>
    </w:p>
    <w:p>
      <w:pPr>
        <w:pStyle w:val="BodyTight"/>
      </w:pPr>
      <w:r>
        <w:t>当前版本更推荐“用调度规避冲突”，而不是一开始就设计复杂运行时仲裁器。对 act_spm 与 wgt_spm，采用双缓冲：DMA 写 inactive buffer，NPU 读 active buffer；对 out_spm，首版建议先采用单缓冲并在 tile 粒度上管理 ready/valid，必要时后续升级为双缓冲。这样可以显著降低 DMA 与 NPU 同时访问 SPM 时的仲裁压力。</w:t>
      </w:r>
    </w:p>
    <w:p>
      <w:pPr>
        <w:pStyle w:val="Heading1"/>
      </w:pPr>
      <w:r>
        <w:t>6. NPU 子系统（npu_top）</w:t>
      </w:r>
    </w:p>
    <w:p>
      <w:pPr>
        <w:pStyle w:val="BodyTight"/>
      </w:pPr>
      <w:r>
        <w:t>NPU 子系统在当前版本中被收敛为“控制 + 计算”模块，不再包揽全部本地存储。它通过 spm_subsys 提供的本地接口获得 activation / weight 向量，并将最终结果写入 out_spm。</w:t>
      </w:r>
    </w:p>
    <w:p>
      <w:pPr>
        <w:pStyle w:val="Heading2"/>
      </w:pPr>
      <w:r>
        <w:t>6.1 NPU 的计算本质</w:t>
      </w:r>
    </w:p>
    <w:p>
      <w:pPr>
        <w:pStyle w:val="BodyTight"/>
      </w:pPr>
      <w:r>
        <w:t>NPU 的原子动作是 MAC（Multiply-Accumulate，乘加）：psum ← psum + a × w。PE（Processing Element，处理单元）是执行该动作的最小单元；16×16 脉动阵列由 256 个 PE 组成，每个 PE 最终负责一个输出 tile 元素的累加。</w:t>
      </w:r>
    </w:p>
    <w:p>
      <w:pPr>
        <w:pStyle w:val="BodyTight"/>
      </w:pPr>
      <w:r>
        <w:t>在矩阵乘视角下，当前版本以 GEMM / FC 为主要任务模型，卷积首版优先通过软件展开映射到 GEMM。数据流冻结为 output-stationary，即输出部分和尽量保留在 PE / 阵列局部，待 K 维累加完成后统一写出。</w:t>
      </w:r>
    </w:p>
    <w:p>
      <w:pPr>
        <w:pStyle w:val="Heading2"/>
      </w:pPr>
      <w:r>
        <w:t>6.2 内部模块规划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rHeight w:hRule="atLeast" w:val="482"/>
        </w:trPr>
        <w:tc>
          <w:tcPr>
            <w:tcW w:type="dxa" w:w="2494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内部模块</w:t>
            </w:r>
          </w:p>
        </w:tc>
        <w:tc>
          <w:tcPr>
            <w:tcW w:type="dxa" w:w="6576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职责</w:t>
            </w:r>
          </w:p>
        </w:tc>
      </w:tr>
      <w:tr>
        <w:trPr>
          <w:trHeight w:hRule="atLeast" w:val="482"/>
        </w:trPr>
        <w:tc>
          <w:tcPr>
            <w:tcW w:type="dxa" w:w="249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npu_csr</w:t>
            </w:r>
          </w:p>
        </w:tc>
        <w:tc>
          <w:tcPr>
            <w:tcW w:type="dxa" w:w="657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保存模式、Ktile、buffer 选择、量化参数和状态寄存器。</w:t>
            </w:r>
          </w:p>
        </w:tc>
      </w:tr>
      <w:tr>
        <w:trPr>
          <w:trHeight w:hRule="atLeast" w:val="482"/>
        </w:trPr>
        <w:tc>
          <w:tcPr>
            <w:tcW w:type="dxa" w:w="249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npu_controller</w:t>
            </w:r>
          </w:p>
        </w:tc>
        <w:tc>
          <w:tcPr>
            <w:tcW w:type="dxa" w:w="657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FSM + 计数器形式的专用控制器，管理启动、等待 ready、K 维循环和 done。</w:t>
            </w:r>
          </w:p>
        </w:tc>
      </w:tr>
      <w:tr>
        <w:trPr>
          <w:trHeight w:hRule="atLeast" w:val="482"/>
        </w:trPr>
        <w:tc>
          <w:tcPr>
            <w:tcW w:type="dxa" w:w="249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array_frontend</w:t>
            </w:r>
          </w:p>
        </w:tc>
        <w:tc>
          <w:tcPr>
            <w:tcW w:type="dxa" w:w="657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接收来自 spm_npu_if 的 act_vec / wgt_vec，并对齐阵列输入。</w:t>
            </w:r>
          </w:p>
        </w:tc>
      </w:tr>
      <w:tr>
        <w:trPr>
          <w:trHeight w:hRule="atLeast" w:val="482"/>
        </w:trPr>
        <w:tc>
          <w:tcPr>
            <w:tcW w:type="dxa" w:w="249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systolic_array_16x16</w:t>
            </w:r>
          </w:p>
        </w:tc>
        <w:tc>
          <w:tcPr>
            <w:tcW w:type="dxa" w:w="657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256 个 PE 的二维脉动阵列，执行 INT8 矩阵乘加。</w:t>
            </w:r>
          </w:p>
        </w:tc>
      </w:tr>
      <w:tr>
        <w:trPr>
          <w:trHeight w:hRule="atLeast" w:val="482"/>
        </w:trPr>
        <w:tc>
          <w:tcPr>
            <w:tcW w:type="dxa" w:w="249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pe_cell</w:t>
            </w:r>
          </w:p>
        </w:tc>
        <w:tc>
          <w:tcPr>
            <w:tcW w:type="dxa" w:w="657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执行 INT8×INT8 乘法、INT32 psum 累加，并转发 activation/weight。</w:t>
            </w:r>
          </w:p>
        </w:tc>
      </w:tr>
      <w:tr>
        <w:trPr>
          <w:trHeight w:hRule="atLeast" w:val="482"/>
        </w:trPr>
        <w:tc>
          <w:tcPr>
            <w:tcW w:type="dxa" w:w="249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array_backend</w:t>
            </w:r>
          </w:p>
        </w:tc>
        <w:tc>
          <w:tcPr>
            <w:tcW w:type="dxa" w:w="657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收集 tile 结果、对接量化模块，并发出 out 写请求。</w:t>
            </w:r>
          </w:p>
        </w:tc>
      </w:tr>
      <w:tr>
        <w:trPr>
          <w:trHeight w:hRule="atLeast" w:val="482"/>
        </w:trPr>
        <w:tc>
          <w:tcPr>
            <w:tcW w:type="dxa" w:w="249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quant_relu</w:t>
            </w:r>
          </w:p>
        </w:tc>
        <w:tc>
          <w:tcPr>
            <w:tcW w:type="dxa" w:w="657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执行 INT32 → INT8 / INT16 量化以及可选 ReLU。</w:t>
            </w:r>
          </w:p>
        </w:tc>
      </w:tr>
      <w:tr>
        <w:trPr>
          <w:trHeight w:hRule="atLeast" w:val="482"/>
        </w:trPr>
        <w:tc>
          <w:tcPr>
            <w:tcW w:type="dxa" w:w="249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npu_perf_err</w:t>
            </w:r>
          </w:p>
        </w:tc>
        <w:tc>
          <w:tcPr>
            <w:tcW w:type="dxa" w:w="657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提供忙周期、stall 周期和错误可观测性。</w:t>
            </w:r>
          </w:p>
        </w:tc>
      </w:tr>
    </w:tbl>
    <w:p/>
    <w:p>
      <w:pPr>
        <w:pStyle w:val="Heading2"/>
      </w:pPr>
      <w:r>
        <w:t>6.3 NPU 启动方式</w:t>
      </w:r>
    </w:p>
    <w:p>
      <w:pPr>
        <w:pStyle w:val="BodyTight"/>
      </w:pPr>
      <w:r>
        <w:t>当前版本不建议 NPU 第一版也做成完整 descriptor 队列。相较于 DMA 的“命令型”性质，NPU 更适合采用 CSR + START 的状态机模型。CPU 通过 AXI-Lite 配置 npu_csr，写入 Ktile、mode、act/wgt/out buffer 选择和量化参数，再写 NPU_START。NPU 收到 START 后进入 ARMED 状态，待 act_buf_ready、wgt_buf_ready、out_buf_free 等条件满足后再真正开始阵列计算。</w:t>
      </w:r>
    </w:p>
    <w:p>
      <w:pPr>
        <w:pStyle w:val="BodyTight"/>
      </w:pPr>
      <w:r>
        <w:t>因此，NPU 至少需要 ARMED、BUSY、DONE、ERROR 等状态寄存器，供 CPU 轮询确认执行进度和结果完成。</w:t>
      </w:r>
    </w:p>
    <w:p>
      <w:pPr>
        <w:pStyle w:val="Heading2"/>
      </w:pPr>
      <w:r>
        <w:t>6.4 为什么采用 INT32 psum 以及 Ktile=32</w:t>
      </w:r>
    </w:p>
    <w:p>
      <w:pPr>
        <w:pStyle w:val="BodyTight"/>
      </w:pPr>
      <w:r>
        <w:t>INT8 × INT8 的单次乘积是 INT16 量级，但沿 K 维不断累加后位宽会增长，因此工程上建议统一采用 INT32 作为 psum 格式。Ktile=32 不是模型总 K，而是一次局部计算沿 K 维推进的长度。在 16×16 阵列 + 512-bit 数据面下，Ktile=32 可使 A_sub 与 B_sub 都为 512B，便于 DMA burst、SPM line 组织和控制实现。</w:t>
      </w:r>
    </w:p>
    <w:p>
      <w:pPr>
        <w:pStyle w:val="Heading1"/>
      </w:pPr>
      <w:r>
        <w:t>7. 外部共享存储空间与 AXI 数据面</w:t>
      </w:r>
    </w:p>
    <w:p>
      <w:pPr>
        <w:pStyle w:val="BodyTight"/>
      </w:pPr>
      <w:r>
        <w:t>外部共享存储空间用于保存输入、权重、输出和可选 descriptor。当前 RTL 阶段，该空间由 AXI slave VIP + memory model 承担，属于验证环境中的系统存储实现，而不是必须自研的主体模块。</w:t>
      </w:r>
    </w:p>
    <w:p>
      <w:pPr>
        <w:pStyle w:val="Heading2"/>
      </w:pPr>
      <w:r>
        <w:t>7.1 控制面与数据面的分工</w:t>
      </w:r>
    </w:p>
    <w:p>
      <w:pPr>
        <w:pStyle w:val="BodyTight"/>
      </w:pPr>
      <w:r>
        <w:t>控制面统一采用 AXI-Lite，由 CPU 访问 boot ROM / local RAM wrapper、DMA CSR、NPU CSR 和系统状态寄存器。数据面采用 AXI4 Full，由 DMA 作为唯一主数据搬运引擎，负责 Burst 读写外部共享存储空间。当前版本不要求 CPU 内核自身具备 Burst 事务能力。</w:t>
      </w:r>
    </w:p>
    <w:p>
      <w:pPr>
        <w:pStyle w:val="Heading2"/>
      </w:pPr>
      <w:r>
        <w:t>7.2 AXI 数据位宽取舍</w:t>
      </w:r>
    </w:p>
    <w:p>
      <w:pPr>
        <w:pStyle w:val="BodyTight"/>
      </w:pPr>
      <w:r>
        <w:t>当前版本推荐 512-bit 数据面，而不是直接上 1024-bit。原因不是协议不允许更宽位宽，而是对 16×16 + Ktile=32 的版本来说，512-bit 已能覆盖主要带宽需求，而 1024-bit 会明显加重本地拆包、SPM line 组织、综合时序和验证复杂度。未来若提升 Ktile、增加输出写回压力或追求更激进的性能展示，再考虑升级到 1024-bit。</w:t>
      </w:r>
    </w:p>
    <w:p>
      <w:pPr>
        <w:pStyle w:val="Heading2"/>
      </w:pPr>
      <w:r>
        <w:t>7.3 外部共享存储与 CPU 的关系</w:t>
      </w:r>
    </w:p>
    <w:p>
      <w:pPr>
        <w:pStyle w:val="BodyTight"/>
      </w:pPr>
      <w:r>
        <w:t>CPU 不应把外部共享存储空间作为主取指路径。CPU 的启动与运行优先依赖本地 boot ROM / local RAM；外部共享存储主要服务于 DMA 的高带宽数据搬运。这样可以避免 CPU 取指与 DMA Burst 争用同一路径，降低 bring-up 与联调复杂度。</w:t>
      </w:r>
    </w:p>
    <w:p>
      <w:pPr>
        <w:pStyle w:val="Heading1"/>
      </w:pPr>
      <w:r>
        <w:t>8. 状态寄存器与任务完成机制</w:t>
      </w:r>
    </w:p>
    <w:p>
      <w:pPr>
        <w:pStyle w:val="BodyTight"/>
      </w:pPr>
      <w:r>
        <w:t>DMA 和 NPU 都需要明确的状态寄存器，以便 CPU 能够在不修改 CPU 内核的前提下，通过 AXI-Lite 轮询判断各类操作是否完成。当前版本默认使用 polling 作为完成确认方式。</w:t>
      </w:r>
    </w:p>
    <w:p>
      <w:pPr>
        <w:pStyle w:val="Heading2"/>
      </w:pPr>
      <w:r>
        <w:t>8.1 DMA 状态寄存器建议</w:t>
      </w:r>
    </w:p>
    <w:p>
      <w:pPr>
        <w:pStyle w:val="BodyTight"/>
      </w:pPr>
      <w:r>
        <w:t>DMA 至少需要提供 BUSY、DONE、ERROR、FIFO_EMPTY、FIFO_FULL、FIFO_LEVEL 等状态位。为了支持性能分析，还建议提供 DONE_COUNT、RD_BEAT_COUNT、WR_BEAT_COUNT 等计数器。CPU 可以先轮询 FIFO 和 BUSY 状态，判断 DMA 是否仍有待执行命令，再根据 DONE / ERROR 决定是否推进下一阶段。</w:t>
      </w:r>
    </w:p>
    <w:p>
      <w:pPr>
        <w:pStyle w:val="Heading2"/>
      </w:pPr>
      <w:r>
        <w:t>8.2 NPU 状态寄存器建议</w:t>
      </w:r>
    </w:p>
    <w:p>
      <w:pPr>
        <w:pStyle w:val="BodyTight"/>
      </w:pPr>
      <w:r>
        <w:t>NPU 至少需要提供 ARMED、BUSY、DONE、ERROR 状态位。ARMED 表示 CPU 已发出 START 且 NPU 进入等待数据就绪状态；BUSY 表示阵列正在执行；DONE 表示当前 tile 计算完成并已写入 out_spm；ERROR 用于报告非法启动、buffer 状态异常或内部控制错误。</w:t>
      </w:r>
    </w:p>
    <w:p>
      <w:pPr>
        <w:pStyle w:val="Heading2"/>
      </w:pPr>
      <w:r>
        <w:t>8.3 系统级完成判定</w:t>
      </w:r>
    </w:p>
    <w:p>
      <w:pPr>
        <w:pStyle w:val="BodyTight"/>
      </w:pPr>
      <w:r>
        <w:t>系统级一次 tile 任务完成的基本判定应同时考虑 DMA 与 NPU：NPU 计算完成后，out_spm 必须 valid；DMA 完成 STORE_OUT 后，外部共享存储中的输出 tile 才真正可由软件读取。因此，CPU 在系统闭环中应至少检查：NPU DONE、DMA DONE，以及必要的 ERROR 状态。</w:t>
      </w:r>
    </w:p>
    <w:p>
      <w:pPr>
        <w:pStyle w:val="Heading1"/>
      </w:pPr>
      <w:r>
        <w:t>9. 设计冻结项、验证口径与下一步工作</w:t>
      </w:r>
    </w:p>
    <w:p>
      <w:pPr>
        <w:pStyle w:val="Heading2"/>
      </w:pPr>
      <w:r>
        <w:t>9.1 当前冻结项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rHeight w:hRule="atLeast" w:val="482"/>
        </w:trPr>
        <w:tc>
          <w:tcPr>
            <w:tcW w:type="dxa" w:w="2835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已冻结项</w:t>
            </w:r>
          </w:p>
        </w:tc>
        <w:tc>
          <w:tcPr>
            <w:tcW w:type="dxa" w:w="6236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说明</w:t>
            </w:r>
          </w:p>
        </w:tc>
      </w:tr>
      <w:tr>
        <w:trPr>
          <w:trHeight w:hRule="atLeast" w:val="482"/>
        </w:trPr>
        <w:tc>
          <w:tcPr>
            <w:tcW w:type="dxa" w:w="283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CPU 选型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CPU 固定为 picorv32_axi，且不修改 CPU 内核 RTL。</w:t>
            </w:r>
          </w:p>
        </w:tc>
      </w:tr>
      <w:tr>
        <w:trPr>
          <w:trHeight w:hRule="atLeast" w:val="482"/>
        </w:trPr>
        <w:tc>
          <w:tcPr>
            <w:tcW w:type="dxa" w:w="283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控制 / 数据面分工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CPU 走 AXI-Lite 控制面；DMA 走 AXI4 Full 数据面。</w:t>
            </w:r>
          </w:p>
        </w:tc>
      </w:tr>
      <w:tr>
        <w:trPr>
          <w:trHeight w:hRule="atLeast" w:val="482"/>
        </w:trPr>
        <w:tc>
          <w:tcPr>
            <w:tcW w:type="dxa" w:w="283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SPM 架构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SPM 独立为 spm_subsys，包含 act_spm / wgt_spm / out_spm。</w:t>
            </w:r>
          </w:p>
        </w:tc>
      </w:tr>
      <w:tr>
        <w:trPr>
          <w:trHeight w:hRule="atLeast" w:val="482"/>
        </w:trPr>
        <w:tc>
          <w:tcPr>
            <w:tcW w:type="dxa" w:w="283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DMA 模型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采用 descriptor staging + pending FIFO + scheduler。</w:t>
            </w:r>
          </w:p>
        </w:tc>
      </w:tr>
      <w:tr>
        <w:trPr>
          <w:trHeight w:hRule="atLeast" w:val="482"/>
        </w:trPr>
        <w:tc>
          <w:tcPr>
            <w:tcW w:type="dxa" w:w="283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NPU 启动模型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采用 CSR + START + 等待 buffer ready 后执行。</w:t>
            </w:r>
          </w:p>
        </w:tc>
      </w:tr>
      <w:tr>
        <w:trPr>
          <w:trHeight w:hRule="atLeast" w:val="482"/>
        </w:trPr>
        <w:tc>
          <w:tcPr>
            <w:tcW w:type="dxa" w:w="2835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阵列与数值口径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16×16 脉动阵列，INT8 乘加，INT32 psum，Ktile 首选 32。</w:t>
            </w:r>
          </w:p>
        </w:tc>
      </w:tr>
    </w:tbl>
    <w:p/>
    <w:p>
      <w:pPr>
        <w:pStyle w:val="Heading2"/>
      </w:pPr>
      <w:r>
        <w:t>9.2 验证口径</w:t>
      </w:r>
    </w:p>
    <w:p>
      <w:pPr>
        <w:pStyle w:val="BodyTight"/>
      </w:pPr>
      <w:r>
        <w:t>模块级验证建议按照 cpu_subsys、dma_top、spm_subsys、npu_top 分开推进。DMA 优先验证 descriptor stage / submit / FIFO / scheduler 行为与 AXI4 Full Burst 正确性；SPM 优先验证 bank 组织、buffer ownership 和本地接口；NPU 优先验证 PE、阵列、量化和 CSR + START 状态机。系统级最小闭环应为：CPU 配 DMA/NPU → DMA 装载 act/wgt → NPU 等 ready 后计算 → out_spm 写满 → DMA 写回 → CPU 轮询状态确认完成。</w:t>
      </w:r>
    </w:p>
    <w:p>
      <w:pPr>
        <w:pStyle w:val="Heading2"/>
      </w:pPr>
      <w:r>
        <w:t>9.3 下一步待细化项</w:t>
      </w:r>
    </w:p>
    <w:p>
      <w:pPr>
        <w:pStyle w:val="BodyTight"/>
      </w:pPr>
      <w:r>
        <w:t>下一步最值得优先落地的内容不再是继续泛讨论，而是进入信号级细化：第一，DMA CSR 与 descriptor 字段定义；第二，NPU CSR 与状态寄存器定义；第三，SPM 本地接口和 buffer ownership 信号定义。这三项一旦确定，SoC 顶层 RTL 骨架、模块级验证和软件 bring-up 就可以同步启动。</w:t>
      </w:r>
    </w:p>
    <w:p>
      <w:pPr>
        <w:pStyle w:val="Heading1"/>
      </w:pPr>
      <w:r>
        <w:t>附录 A. 术语与缩略语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rHeight w:hRule="atLeast" w:val="482"/>
        </w:trPr>
        <w:tc>
          <w:tcPr>
            <w:tcW w:type="dxa" w:w="1984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缩写</w:t>
            </w:r>
          </w:p>
        </w:tc>
        <w:tc>
          <w:tcPr>
            <w:tcW w:type="dxa" w:w="7087"/>
            <w:vAlign w:val="center"/>
            <w:shd w:fill="D9E2F3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Aptos" w:eastAsia="等线" w:hAnsi="Aptos"/>
                <w:b/>
                <w:sz w:val="20"/>
              </w:rPr>
              <w:t>含义</w:t>
            </w:r>
          </w:p>
        </w:tc>
      </w:tr>
      <w:tr>
        <w:trPr>
          <w:trHeight w:hRule="atLeast" w:val="482"/>
        </w:trPr>
        <w:tc>
          <w:tcPr>
            <w:tcW w:type="dxa" w:w="198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PE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Processing Element，处理单元</w:t>
            </w:r>
          </w:p>
        </w:tc>
      </w:tr>
      <w:tr>
        <w:trPr>
          <w:trHeight w:hRule="atLeast" w:val="482"/>
        </w:trPr>
        <w:tc>
          <w:tcPr>
            <w:tcW w:type="dxa" w:w="198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MAC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Multiply-Accumulate，乘加操作</w:t>
            </w:r>
          </w:p>
        </w:tc>
      </w:tr>
      <w:tr>
        <w:trPr>
          <w:trHeight w:hRule="atLeast" w:val="482"/>
        </w:trPr>
        <w:tc>
          <w:tcPr>
            <w:tcW w:type="dxa" w:w="198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SPM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Scratchpad Memory，片上显式管理局部存储</w:t>
            </w:r>
          </w:p>
        </w:tc>
      </w:tr>
      <w:tr>
        <w:trPr>
          <w:trHeight w:hRule="atLeast" w:val="482"/>
        </w:trPr>
        <w:tc>
          <w:tcPr>
            <w:tcW w:type="dxa" w:w="198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GEMM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General Matrix Multiply，通用矩阵乘</w:t>
            </w:r>
          </w:p>
        </w:tc>
      </w:tr>
      <w:tr>
        <w:trPr>
          <w:trHeight w:hRule="atLeast" w:val="482"/>
        </w:trPr>
        <w:tc>
          <w:tcPr>
            <w:tcW w:type="dxa" w:w="198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Tile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分块计算单元</w:t>
            </w:r>
          </w:p>
        </w:tc>
      </w:tr>
      <w:tr>
        <w:trPr>
          <w:trHeight w:hRule="atLeast" w:val="482"/>
        </w:trPr>
        <w:tc>
          <w:tcPr>
            <w:tcW w:type="dxa" w:w="198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Output-stationary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输出部分和尽量驻留在阵列局部的计算策略</w:t>
            </w:r>
          </w:p>
        </w:tc>
      </w:tr>
      <w:tr>
        <w:trPr>
          <w:trHeight w:hRule="atLeast" w:val="482"/>
        </w:trPr>
        <w:tc>
          <w:tcPr>
            <w:tcW w:type="dxa" w:w="198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psum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partial sum，部分和</w:t>
            </w:r>
          </w:p>
        </w:tc>
      </w:tr>
      <w:tr>
        <w:trPr>
          <w:trHeight w:hRule="atLeast" w:val="482"/>
        </w:trPr>
        <w:tc>
          <w:tcPr>
            <w:tcW w:type="dxa" w:w="198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TOPS / GOPS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每秒万亿 / 每秒十亿次运算</w:t>
            </w:r>
          </w:p>
        </w:tc>
      </w:tr>
      <w:tr>
        <w:trPr>
          <w:trHeight w:hRule="atLeast" w:val="482"/>
        </w:trPr>
        <w:tc>
          <w:tcPr>
            <w:tcW w:type="dxa" w:w="1984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DFS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ptos" w:eastAsia="等线" w:hAnsi="Aptos"/>
                <w:b w:val="0"/>
                <w:sz w:val="20"/>
              </w:rPr>
              <w:t>Dynamic Frequency Scaling，动态频率调整</w:t>
            </w:r>
          </w:p>
        </w:tc>
      </w:tr>
    </w:tbl>
    <w:p/>
    <w:p>
      <w:pPr>
        <w:pStyle w:val="Heading1"/>
      </w:pPr>
      <w:r>
        <w:t>附录 B. 一页式收敛结论</w:t>
      </w:r>
    </w:p>
    <w:p>
      <w:pPr>
        <w:pStyle w:val="BodyTight"/>
      </w:pPr>
      <w:r>
        <w:t>本版文档以 V1.5 讨论结果为架构基准，同时吸收 V1.0 中仍然有效的规格、术语、性能和验证口径。其核心结论是：CPU 侧边界已经清楚，且确认不改动开源 RV32 内核；DMA 从单次寄存器触发升级为可排队命令执行的结构；SPM 从 NPU 内部抽离为独立子系统，成为 DMA 与 NPU 的明确缓冲层；NPU 则收敛为 CSR + START 驱动的固定功能计算引擎。</w:t>
      </w:r>
    </w:p>
    <w:p>
      <w:r>
        <w:t/>
      </w:r>
    </w:p>
    <w:p>
      <w:r>
        <w:t>附录 C. 顶层接口定义收敛稿</w:t>
      </w:r>
    </w:p>
    <w:p>
      <w:r>
        <w:t>本附录用于同步当前已 review 通过的顶层接口结论，作为第 2 章预留接口定义内容的补充。</w:t>
      </w:r>
    </w:p>
    <w:p>
      <w:r>
        <w:t/>
      </w:r>
    </w:p>
    <w:p>
      <w:r>
        <w:t>C.1 CPU 核与 cpu_subsys</w:t>
      </w:r>
    </w:p>
    <w:p>
      <w:r>
        <w:t>1. CPU 核固定采用 picorv32_axi。</w:t>
      </w:r>
    </w:p>
    <w:p>
      <w:r>
        <w:t>2. 首版按 32-bit AXI4-Lite master CPU 理解。</w:t>
      </w:r>
    </w:p>
    <w:p>
      <w:r>
        <w:t>3. trap 保留为首版 CPU 异常观察信号。</w:t>
      </w:r>
    </w:p>
    <w:p>
      <w:r>
        <w:t>4. PCPI 不作为首版 NPU 接入方式。</w:t>
      </w:r>
    </w:p>
    <w:p>
      <w:r>
        <w:t>5. IRQ 保留能力，但首版系统主控制路径采用 polling。</w:t>
      </w:r>
    </w:p>
    <w:p>
      <w:r>
        <w:t>6. cpu_subsys 对外只暴露一组 AXI-Lite 主接口。</w:t>
      </w:r>
    </w:p>
    <w:p>
      <w:r>
        <w:t/>
      </w:r>
    </w:p>
    <w:p>
      <w:r>
        <w:t>C.2 dma_top 顶层端口组</w:t>
      </w:r>
    </w:p>
    <w:p>
      <w:r>
        <w:t>1. dma_top 对外包含一组 AXI-Lite CSR 接口。</w:t>
      </w:r>
    </w:p>
    <w:p>
      <w:r>
        <w:t>2. dma_top 对外包含一组外部共享存储 AXI4 Full 接口。</w:t>
      </w:r>
    </w:p>
    <w:p>
      <w:r>
        <w:t>3. dma_top 对外包含一组 dma_spm_wr_* 本地写接口。</w:t>
      </w:r>
    </w:p>
    <w:p>
      <w:r>
        <w:t>4. dma_top 对外包含一组 dma_spm_rd_* 本地读接口。</w:t>
      </w:r>
    </w:p>
    <w:p>
      <w:r>
        <w:t>5. LOAD_ACT 与 LOAD_WGT 走 AXI 读后写 SPM。</w:t>
      </w:r>
    </w:p>
    <w:p>
      <w:r>
        <w:t>6. STORE_OUT 走 SPM 读后写 AXI。</w:t>
      </w:r>
    </w:p>
    <w:p>
      <w:r>
        <w:t/>
      </w:r>
    </w:p>
    <w:p>
      <w:r>
        <w:t>C.3 spm_subsys 首版容量冻结</w:t>
      </w:r>
    </w:p>
    <w:p>
      <w:r>
        <w:t>1. act_spm 采用双缓冲，每个 buffer 512B，总计 1KB。</w:t>
      </w:r>
    </w:p>
    <w:p>
      <w:r>
        <w:t>2. wgt_spm 采用双缓冲，每个 buffer 512B，总计 1KB。</w:t>
      </w:r>
    </w:p>
    <w:p>
      <w:r>
        <w:t>3. out_spm 首版单缓冲，每个 buffer 512B，总计 512B。</w:t>
      </w:r>
    </w:p>
    <w:p>
      <w:r>
        <w:t>4. spm_subsys 首版总有效本地存储容量冻结为 2.5KB。</w:t>
      </w:r>
    </w:p>
    <w:p>
      <w:r>
        <w:t>5. buf_sel 表示目标 local SRAM tile buffer 编号。</w:t>
      </w:r>
    </w:p>
    <w:p>
      <w:r>
        <w:t/>
      </w:r>
    </w:p>
    <w:p>
      <w:r>
        <w:t>C.4 dma_top 与 spm_subsys 本地接口</w:t>
      </w:r>
    </w:p>
    <w:p>
      <w:r>
        <w:t>1. dma_spm_wr_type[1:0]：00=act，01=wgt，10/11 保留。</w:t>
      </w:r>
    </w:p>
    <w:p>
      <w:r>
        <w:t>2. dma_spm_wr_buf_sel[1:0]：选择目标 act_spm 或 wgt_spm 内的 local SRAM tile buffer。</w:t>
      </w:r>
    </w:p>
    <w:p>
      <w:r>
        <w:t>3. dma_spm_wr_row_idx[2:0]：表示所选 buffer 内的 64B 本地行号。</w:t>
      </w:r>
    </w:p>
    <w:p>
      <w:r>
        <w:t>4. dma_spm_wr_data[511:0]：一整行 64B 数据。</w:t>
      </w:r>
    </w:p>
    <w:p>
      <w:r>
        <w:t>5. dma_spm_wr_strb[63:0]：对应一整行 64B 的字节使能。</w:t>
      </w:r>
    </w:p>
    <w:p>
      <w:r>
        <w:t>6. dma_spm_wr_last：表示当前本地写路径中的最后一行。</w:t>
      </w:r>
    </w:p>
    <w:p>
      <w:r>
        <w:t>7. dma_spm_rd_buf_sel[1:0] 首版保留 2 bit，但只允许 0。</w:t>
      </w:r>
    </w:p>
    <w:p>
      <w:r>
        <w:t>8. dma_spm_rd_row_idx[2:0]：表示 out_spm buffer 内的 64B 本地行号。</w:t>
      </w:r>
    </w:p>
    <w:p>
      <w:r>
        <w:t>9. dma_spm_rd_data[511:0]：从 out_spm 读出的一整行 64B 数据。</w:t>
      </w:r>
    </w:p>
    <w:p>
      <w:r>
        <w:t/>
      </w:r>
    </w:p>
    <w:p>
      <w:r>
        <w:t>C.5 npu_top 与 spm_subsys 本地接口</w:t>
      </w:r>
    </w:p>
    <w:p>
      <w:r>
        <w:t>1. spm_npu_vec_valid/ready：一次握手表示 NPU 接收一组完整输入向量对。</w:t>
      </w:r>
    </w:p>
    <w:p>
      <w:r>
        <w:t>2. spm_npu_act_buf_sel[1:0]：选择 act_spm buffer。</w:t>
      </w:r>
    </w:p>
    <w:p>
      <w:r>
        <w:t>3. spm_npu_wgt_buf_sel[1:0]：选择 wgt_spm buffer。</w:t>
      </w:r>
    </w:p>
    <w:p>
      <w:r>
        <w:t>4. spm_npu_k_idx[5:0]：K 维步进索引，保留到 6 bit 以支持后续更大 Ktile。</w:t>
      </w:r>
    </w:p>
    <w:p>
      <w:r>
        <w:t>5. spm_npu_act_vec[127:0]：16 x INT8 activation 向量。</w:t>
      </w:r>
    </w:p>
    <w:p>
      <w:r>
        <w:t>6. spm_npu_wgt_vec[127:0]：16 x INT8 weight 向量。</w:t>
      </w:r>
    </w:p>
    <w:p>
      <w:r>
        <w:t>7. npu_spm_out_buf_sel[1:0]：首版保留 2 bit，但只允许 0。</w:t>
      </w:r>
    </w:p>
    <w:p>
      <w:r>
        <w:t>8. npu_spm_out_row_idx[3:0]：表示 out_spm 内的 32B 输出行号。</w:t>
      </w:r>
    </w:p>
    <w:p>
      <w:r>
        <w:t>9. npu_spm_out_data[255:0]：16 个输出 lane，每 lane 16 bit 物理槽位。</w:t>
      </w:r>
    </w:p>
    <w:p>
      <w:r>
        <w:t>10. npu_spm_out_col_mask[15:0]：按 lane 粒度定义，与 16 个输出 lane 一一对应。</w:t>
      </w:r>
    </w:p>
    <w:p>
      <w:r>
        <w:t>11. npu_spm_out_last：表示当前 output tile 的最后一个本地输出写事务。</w:t>
      </w:r>
    </w:p>
    <w:p>
      <w:r>
        <w:t/>
      </w:r>
    </w:p>
    <w:p>
      <w:r>
        <w:t>C.6 首版 top 模块接口分工结论</w:t>
      </w:r>
    </w:p>
    <w:p>
      <w:r>
        <w:t>1. cpu_subsys 只负责控制面。</w:t>
      </w:r>
    </w:p>
    <w:p>
      <w:r>
        <w:t>2. dma_top 负责外部共享存储与 SPM 之间的数据搬运。</w:t>
      </w:r>
    </w:p>
    <w:p>
      <w:r>
        <w:t>3. npu_top 只和 SPM 交换计算相关数据。</w:t>
      </w:r>
    </w:p>
    <w:p>
      <w:r>
        <w:t>4. spm_subsys 是 DMA 与 NPU 的唯一数据交汇层。</w:t>
      </w:r>
    </w:p>
    <w:sectPr w:rsidR="00FC693F" w:rsidRPr="0006063C" w:rsidSect="00034616">
      <w:headerReference ns5:id="rId10" w:type="default"/>
      <w:pgSz w:h="15840" w:w="12240"/>
      <w:pgMar w:bottom="1134" w:footer="567" w:gutter="0" w:header="567" w:left="1304" w:right="1304" w:top="1247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等线"/>
        <w:color w:val="666666"/>
        <w:sz w:val="18"/>
      </w:rPr>
      <w:t>异构处理器总体规格与总体架构设计说明书  ·  整合增强版 V1.5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等线"/>
      <w:b/>
      <w:bCs/>
      <w:color w:val="1F3B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等线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等线"/>
      <w:b/>
      <w:bCs/>
      <w:color w:val="1F3B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N">
    <w:name w:val="TitleCN"/>
    <w:rPr>
      <w:rFonts w:ascii="Aptos Display" w:hAnsi="Aptos Display" w:eastAsia="等线"/>
      <w:b/>
      <w:color w:val="1F3B63"/>
      <w:sz w:val="48"/>
    </w:rPr>
  </w:style>
  <w:style w:type="paragraph" w:customStyle="1" w:styleId="SubtitleCN">
    <w:name w:val="SubtitleCN"/>
    <w:rPr>
      <w:rFonts w:ascii="Aptos" w:hAnsi="Aptos" w:eastAsia="等线"/>
      <w:color w:val="4F5B66"/>
      <w:sz w:val="25"/>
    </w:rPr>
  </w:style>
  <w:style w:type="paragraph" w:customStyle="1" w:styleId="BodyTight">
    <w:name w:val="BodyTight"/>
    <w:basedOn w:val="Normal"/>
    <w:pPr>
      <w:spacing w:after="120" w:lineRule="auto" w:line="276"/>
    </w:pPr>
  </w:style>
  <w:style w:type="paragraph" w:customStyle="1" w:styleId="CaptionCN">
    <w:name w:val="CaptionCN"/>
    <w:basedOn w:val="Normal"/>
    <w:pPr>
      <w:spacing w:before="80" w:after="200"/>
      <w:jc w:val="center"/>
    </w:pPr>
    <w:rPr>
      <w:i/>
      <w:color w:val="5A5A5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