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4164A">
      <w:pPr>
        <w:jc w:val="center"/>
      </w:pPr>
      <w:bookmarkStart w:id="3" w:name="_GoBack"/>
      <w:bookmarkEnd w:id="3"/>
      <w:r>
        <w:rPr>
          <w:b/>
          <w:sz w:val="28"/>
        </w:rPr>
        <w:t>SPSSAU - 相关300</w:t>
      </w:r>
    </w:p>
    <w:p w14:paraId="5DA678B0"/>
    <w:tbl>
      <w:tblPr>
        <w:tblStyle w:val="4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902"/>
      </w:tblGrid>
      <w:tr w14:paraId="22F0B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2"/>
            <w:tcBorders>
              <w:top w:val="nil"/>
              <w:left w:val="nil"/>
              <w:bottom w:val="single" w:color="auto" w:sz="12" w:space="0"/>
              <w:right w:val="nil"/>
              <w:insideH w:val="nil"/>
              <w:insideV w:val="nil"/>
            </w:tcBorders>
          </w:tcPr>
          <w:p w14:paraId="36901717">
            <w:pPr>
              <w:pStyle w:val="24"/>
              <w:spacing w:before="0" w:after="0" w:line="240" w:lineRule="auto"/>
              <w:jc w:val="center"/>
            </w:pPr>
            <w:bookmarkStart w:id="0" w:name="t1"/>
            <w:r>
              <w:rPr>
                <w:rFonts w:hint="eastAsia" w:ascii="Times New Roman" w:hAnsi="Times New Roman" w:eastAsia="宋体" w:cs="Times New Roman"/>
                <w:b/>
                <w:sz w:val="20"/>
              </w:rPr>
              <w:t>Pearson相关-标准格式</w:t>
            </w:r>
          </w:p>
        </w:tc>
      </w:tr>
      <w:tr w14:paraId="4ECFC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5A7A26AB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60260939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观看量</w:t>
            </w:r>
          </w:p>
        </w:tc>
      </w:tr>
      <w:tr w14:paraId="3B32E0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1514410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封面亮度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6255028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0.103</w:t>
            </w:r>
          </w:p>
        </w:tc>
      </w:tr>
      <w:tr w14:paraId="1F8A28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09C6C2F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封面熵值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D7AFF15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-0.115*</w:t>
            </w:r>
          </w:p>
        </w:tc>
      </w:tr>
      <w:tr w14:paraId="7110B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D4B609A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色彩对比度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585C73C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0.007</w:t>
            </w:r>
          </w:p>
        </w:tc>
      </w:tr>
      <w:tr w14:paraId="38D77A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651F67A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色彩鲜艳度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8AC15BF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-0.118*</w:t>
            </w:r>
          </w:p>
        </w:tc>
      </w:tr>
      <w:tr w14:paraId="0B5887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2"/>
            <w:tcBorders>
              <w:top w:val="single" w:color="auto" w:sz="12" w:space="0"/>
              <w:left w:val="nil"/>
              <w:bottom w:val="nil"/>
              <w:right w:val="nil"/>
              <w:insideH w:val="nil"/>
              <w:insideV w:val="nil"/>
            </w:tcBorders>
          </w:tcPr>
          <w:p w14:paraId="1979B424"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宋体" w:cs="Times New Roman"/>
                <w:sz w:val="20"/>
              </w:rPr>
              <w:t xml:space="preserve">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 xml:space="preserve">&lt;0.05 **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&lt;0.01</w:t>
            </w:r>
          </w:p>
        </w:tc>
      </w:tr>
      <w:bookmarkEnd w:id="0"/>
    </w:tbl>
    <w:p w14:paraId="155F3D3F">
      <w:pPr>
        <w:pStyle w:val="3"/>
        <w:spacing w:before="0" w:after="0"/>
      </w:pPr>
      <w:r>
        <w:rPr>
          <w:rFonts w:hint="eastAsia" w:ascii="Times New Roman" w:hAnsi="Times New Roman" w:eastAsia="宋体" w:cs="Times New Roman"/>
          <w:color w:val="FF0000"/>
          <w:sz w:val="20"/>
        </w:rPr>
        <w:t>分析建议</w:t>
      </w:r>
    </w:p>
    <w:p w14:paraId="394EFAEF">
      <w:pPr>
        <w:pStyle w:val="3"/>
        <w:spacing w:before="0" w:after="0"/>
      </w:pPr>
      <w:r>
        <w:rPr>
          <w:rFonts w:hint="eastAsia" w:ascii="Times New Roman" w:hAnsi="Times New Roman" w:eastAsia="宋体" w:cs="Times New Roman"/>
          <w:sz w:val="20"/>
        </w:rPr>
        <w:t>相关分析用于研究定量数据之间的关系情况，是否有关系，关系紧密程度情况等；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第一：具体分析每个Y分别与每个X的关系，Y与X之间否有显著关系；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第二：接着分析相关关系为正向或负向；也可通过相关系数大小说明关系紧密程度；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第三：对分析进行总结。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相关分析之前，可使用散点图观察、展示数据间的关联关系情况，也可使用正态图观察、展示数据正态性分布情况。</w:t>
      </w:r>
    </w:p>
    <w:p w14:paraId="0B91F296">
      <w:pPr>
        <w:pStyle w:val="3"/>
        <w:spacing w:before="0" w:after="0"/>
      </w:pPr>
      <w:r>
        <w:rPr>
          <w:rFonts w:hint="eastAsia" w:ascii="Times New Roman" w:hAnsi="Times New Roman" w:eastAsia="宋体" w:cs="Times New Roman"/>
          <w:color w:val="FF0000"/>
          <w:sz w:val="20"/>
        </w:rPr>
        <w:t>智能分析</w:t>
      </w:r>
    </w:p>
    <w:p w14:paraId="3A526F1D">
      <w:pPr>
        <w:pStyle w:val="3"/>
        <w:spacing w:before="0" w:after="0"/>
      </w:pPr>
      <w:r>
        <w:rPr>
          <w:rFonts w:hint="eastAsia" w:ascii="Times New Roman" w:hAnsi="Times New Roman" w:eastAsia="宋体" w:cs="Times New Roman"/>
          <w:sz w:val="20"/>
        </w:rPr>
        <w:t>从上表可知，利用相关分析去研究观看量分别和封面亮度,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封面熵值,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色彩对比度,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色彩鲜艳度共4项之间的相关关系，使用Pearson相关系数去表示相关关系的强弱情况。具体分析可知：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观看量和封面亮度之间的相关系数值为0.103，接近于0，并且</w:t>
      </w:r>
      <w:r>
        <w:rPr>
          <w:rFonts w:ascii="Times New Roman" w:hAnsi="Times New Roman" w:eastAsia="宋体" w:cs="Times New Roman"/>
          <w:i/>
          <w:iCs/>
          <w:sz w:val="20"/>
        </w:rPr>
        <w:t>p</w:t>
      </w:r>
      <w:r>
        <w:rPr>
          <w:rFonts w:hint="eastAsia" w:ascii="Times New Roman" w:hAnsi="Times New Roman" w:eastAsia="宋体" w:cs="Times New Roman"/>
          <w:sz w:val="20"/>
        </w:rPr>
        <w:t>值为0.072&gt;0.05，因而说明观看量和封面亮度之间并没有相关关系。观看量和封面熵值之间的相关系数值为-0.115，并且呈现出0.05水平的显著性，因而说明观看量和封面熵值之间有着显著的负相关关系。观看量和色彩对比度之间的相关系数值为0.007，接近于0，并且</w:t>
      </w:r>
      <w:r>
        <w:rPr>
          <w:rFonts w:ascii="Times New Roman" w:hAnsi="Times New Roman" w:eastAsia="宋体" w:cs="Times New Roman"/>
          <w:i/>
          <w:iCs/>
          <w:sz w:val="20"/>
        </w:rPr>
        <w:t>p</w:t>
      </w:r>
      <w:r>
        <w:rPr>
          <w:rFonts w:hint="eastAsia" w:ascii="Times New Roman" w:hAnsi="Times New Roman" w:eastAsia="宋体" w:cs="Times New Roman"/>
          <w:sz w:val="20"/>
        </w:rPr>
        <w:t>值为0.906&gt;0.05，因而说明观看量和色彩对比度之间并没有相关关系。观看量和色彩鲜艳度之间的相关系数值为-0.118，并且呈现出0.05水平的显著性，因而说明观看量和色彩鲜艳度之间有着显著的负相关关系。</w:t>
      </w:r>
      <w:r>
        <w:rPr>
          <w:rFonts w:ascii="Times New Roman" w:hAnsi="Times New Roman" w:eastAsia="宋体" w:cs="Times New Roman"/>
          <w:sz w:val="20"/>
        </w:rPr>
        <w:br w:type="textWrapping"/>
      </w:r>
    </w:p>
    <w:tbl>
      <w:tblPr>
        <w:tblStyle w:val="4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016"/>
        <w:gridCol w:w="833"/>
      </w:tblGrid>
      <w:tr w14:paraId="6B3AF3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3"/>
            <w:tcBorders>
              <w:top w:val="nil"/>
              <w:left w:val="nil"/>
              <w:bottom w:val="single" w:color="auto" w:sz="12" w:space="0"/>
              <w:right w:val="nil"/>
              <w:insideH w:val="nil"/>
              <w:insideV w:val="nil"/>
            </w:tcBorders>
          </w:tcPr>
          <w:p w14:paraId="73253487">
            <w:pPr>
              <w:pStyle w:val="24"/>
              <w:spacing w:before="0" w:after="0" w:line="240" w:lineRule="auto"/>
              <w:jc w:val="center"/>
            </w:pPr>
            <w:bookmarkStart w:id="1" w:name="t2"/>
            <w:r>
              <w:rPr>
                <w:rFonts w:hint="eastAsia" w:ascii="Times New Roman" w:hAnsi="Times New Roman" w:eastAsia="宋体" w:cs="Times New Roman"/>
                <w:b/>
                <w:sz w:val="20"/>
              </w:rPr>
              <w:t>Pearson相关-详细格式</w:t>
            </w:r>
          </w:p>
        </w:tc>
      </w:tr>
      <w:tr w14:paraId="125B89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2E1C4D4B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30C351E4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1B5C449D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观看量</w:t>
            </w:r>
          </w:p>
        </w:tc>
      </w:tr>
      <w:tr w14:paraId="7970B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vAlign w:val="center"/>
          </w:tcPr>
          <w:p w14:paraId="6302082F">
            <w:pPr>
              <w:pStyle w:val="24"/>
              <w:spacing w:before="0" w:after="0" w:line="240" w:lineRule="auto"/>
              <w:jc w:val="center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封面亮度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993F7B3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相关系数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5FBD491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0.103</w:t>
            </w:r>
          </w:p>
        </w:tc>
      </w:tr>
      <w:tr w14:paraId="110DF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2FE5D18D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B5532CF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0"/>
              </w:rPr>
              <w:t>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606D584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0.072</w:t>
            </w:r>
          </w:p>
        </w:tc>
      </w:tr>
      <w:tr w14:paraId="2557DF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157927A6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85AB583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样本量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E3B3526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304</w:t>
            </w:r>
          </w:p>
        </w:tc>
      </w:tr>
      <w:tr w14:paraId="40576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36893B2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封面熵值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67BFFF7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相关系数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E41EC43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-0.115*</w:t>
            </w:r>
          </w:p>
        </w:tc>
      </w:tr>
      <w:tr w14:paraId="61B4C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36504B6A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CC83496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0"/>
              </w:rPr>
              <w:t>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E6A5AC7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0.045</w:t>
            </w:r>
          </w:p>
        </w:tc>
      </w:tr>
      <w:tr w14:paraId="54D0F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52584B9B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F9D0670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样本量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8810E21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304</w:t>
            </w:r>
          </w:p>
        </w:tc>
      </w:tr>
      <w:tr w14:paraId="739E5E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805DB41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色彩对比度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DA7B4F4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相关系数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467091C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0.007</w:t>
            </w:r>
          </w:p>
        </w:tc>
      </w:tr>
      <w:tr w14:paraId="25813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6EE7BEA8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EA63A41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0"/>
              </w:rPr>
              <w:t>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7338C55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0.906</w:t>
            </w:r>
          </w:p>
        </w:tc>
      </w:tr>
      <w:tr w14:paraId="28BA86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4E89FCE5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136224E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样本量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59DFC09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304</w:t>
            </w:r>
          </w:p>
        </w:tc>
      </w:tr>
      <w:tr w14:paraId="52A54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AF8821B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色彩鲜艳度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0275AB4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相关系数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1246CE9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-0.118*</w:t>
            </w:r>
          </w:p>
        </w:tc>
      </w:tr>
      <w:tr w14:paraId="3CB935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6CAFF23E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0926E275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0"/>
              </w:rPr>
              <w:t>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B81571F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0.039</w:t>
            </w:r>
          </w:p>
        </w:tc>
      </w:tr>
      <w:tr w14:paraId="7E7CB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vMerge w:val="continue"/>
          </w:tcPr>
          <w:p w14:paraId="6B325F20">
            <w:pPr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C02653C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样本量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2A318C9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304</w:t>
            </w:r>
          </w:p>
        </w:tc>
      </w:tr>
      <w:tr w14:paraId="481504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3"/>
            <w:tcBorders>
              <w:top w:val="single" w:color="auto" w:sz="12" w:space="0"/>
              <w:left w:val="nil"/>
              <w:bottom w:val="nil"/>
              <w:right w:val="nil"/>
              <w:insideH w:val="nil"/>
              <w:insideV w:val="nil"/>
            </w:tcBorders>
          </w:tcPr>
          <w:p w14:paraId="11B051B9"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宋体" w:cs="Times New Roman"/>
                <w:sz w:val="20"/>
              </w:rPr>
              <w:t xml:space="preserve">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 xml:space="preserve">&lt;0.05 **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&lt;0.01</w:t>
            </w:r>
          </w:p>
        </w:tc>
      </w:tr>
      <w:bookmarkEnd w:id="1"/>
    </w:tbl>
    <w:p w14:paraId="2FA71BBC">
      <w:pPr>
        <w:pStyle w:val="3"/>
        <w:spacing w:before="0" w:after="0"/>
        <w:jc w:val="center"/>
      </w:pPr>
      <w:r>
        <w:rPr>
          <w:rFonts w:ascii="Times New Roman" w:hAnsi="Times New Roman" w:eastAsia="宋体" w:cs="Times New Roman"/>
          <w:sz w:val="20"/>
        </w:rPr>
        <w:drawing>
          <wp:inline distT="0" distB="0" distL="114300" distR="114300">
            <wp:extent cx="5334000" cy="30480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833"/>
        <w:gridCol w:w="1016"/>
        <w:gridCol w:w="1016"/>
        <w:gridCol w:w="1216"/>
        <w:gridCol w:w="1216"/>
      </w:tblGrid>
      <w:tr w14:paraId="0E35C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6"/>
            <w:tcBorders>
              <w:top w:val="nil"/>
              <w:left w:val="nil"/>
              <w:bottom w:val="single" w:color="auto" w:sz="12" w:space="0"/>
              <w:right w:val="nil"/>
              <w:insideH w:val="nil"/>
              <w:insideV w:val="nil"/>
            </w:tcBorders>
          </w:tcPr>
          <w:p w14:paraId="46396023">
            <w:pPr>
              <w:pStyle w:val="24"/>
              <w:spacing w:before="0" w:after="0" w:line="240" w:lineRule="auto"/>
              <w:jc w:val="center"/>
            </w:pPr>
            <w:bookmarkStart w:id="2" w:name="t3"/>
            <w:r>
              <w:rPr>
                <w:rFonts w:hint="eastAsia" w:ascii="Times New Roman" w:hAnsi="Times New Roman" w:eastAsia="宋体" w:cs="Times New Roman"/>
                <w:b/>
                <w:sz w:val="20"/>
              </w:rPr>
              <w:t>Pearson相关-三角线格式</w:t>
            </w:r>
          </w:p>
        </w:tc>
      </w:tr>
      <w:tr w14:paraId="1132F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69B71233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0FF96829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观看量</w:t>
            </w: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6860F6C0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封面亮度</w:t>
            </w: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5F60280F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封面熵值</w:t>
            </w: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457B363A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色彩对比度</w:t>
            </w:r>
          </w:p>
        </w:tc>
        <w:tc>
          <w:tcPr>
            <w:tcBorders>
              <w:top w:val="nil"/>
              <w:left w:val="nil"/>
              <w:bottom w:val="single" w:color="auto" w:sz="6" w:space="0"/>
              <w:right w:val="nil"/>
              <w:insideH w:val="nil"/>
              <w:insideV w:val="nil"/>
            </w:tcBorders>
          </w:tcPr>
          <w:p w14:paraId="2D90EEAC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色彩鲜艳度</w:t>
            </w:r>
          </w:p>
        </w:tc>
      </w:tr>
      <w:tr w14:paraId="1C6ECB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7B51868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观看量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E6CD195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EC4A116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FB9372F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2C4AC87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B62D9EC">
            <w:pPr>
              <w:pStyle w:val="24"/>
              <w:spacing w:before="0" w:after="0" w:line="240" w:lineRule="auto"/>
            </w:pPr>
          </w:p>
        </w:tc>
      </w:tr>
      <w:tr w14:paraId="2902E2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BEBB0AB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封面亮度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E6B3CEA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0.103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4A93E7A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BF54018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9E173CF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834E321">
            <w:pPr>
              <w:pStyle w:val="24"/>
              <w:spacing w:before="0" w:after="0" w:line="240" w:lineRule="auto"/>
            </w:pPr>
          </w:p>
        </w:tc>
      </w:tr>
      <w:tr w14:paraId="0249BD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3B0CFA3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封面熵值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D71A627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-0.115*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E58EC28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-0.619**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EB88FFD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2DA1900">
            <w:pPr>
              <w:pStyle w:val="24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C21C2D9">
            <w:pPr>
              <w:pStyle w:val="24"/>
              <w:spacing w:before="0" w:after="0" w:line="240" w:lineRule="auto"/>
            </w:pPr>
          </w:p>
        </w:tc>
      </w:tr>
      <w:tr w14:paraId="7A0D6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BD233DA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色彩对比度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70D6F65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0.007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1874804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0.062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73063F3B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0.190**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101F9D79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4DA31603">
            <w:pPr>
              <w:pStyle w:val="24"/>
              <w:spacing w:before="0" w:after="0" w:line="240" w:lineRule="auto"/>
            </w:pPr>
          </w:p>
        </w:tc>
      </w:tr>
      <w:tr w14:paraId="05B5B4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26B48C0">
            <w:pPr>
              <w:pStyle w:val="24"/>
              <w:spacing w:before="0" w:after="0" w:line="240" w:lineRule="auto"/>
            </w:pPr>
            <w:r>
              <w:rPr>
                <w:rFonts w:hint="eastAsia" w:ascii="Times New Roman" w:hAnsi="Times New Roman" w:eastAsia="宋体" w:cs="Times New Roman"/>
                <w:sz w:val="20"/>
              </w:rPr>
              <w:t>色彩鲜艳度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F27B379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-0.118*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61D855A4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-0.767**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3AF5E89C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0.463**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226F9250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-0.049</w:t>
            </w:r>
          </w:p>
        </w:tc>
        <w:tc>
          <w:tcPr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</w:tcPr>
          <w:p w14:paraId="5CC22DFB">
            <w:pPr>
              <w:pStyle w:val="24"/>
              <w:spacing w:before="0" w:after="0" w:line="240" w:lineRule="auto"/>
            </w:pPr>
            <w:r>
              <w:rPr>
                <w:rFonts w:ascii="Times New Roman" w:hAnsi="Times New Roman" w:eastAsia="宋体" w:cs="Times New Roman"/>
                <w:sz w:val="20"/>
              </w:rPr>
              <w:t>1</w:t>
            </w:r>
          </w:p>
        </w:tc>
      </w:tr>
      <w:tr w14:paraId="687452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" w:hRule="atLeast"/>
          <w:jc w:val="center"/>
        </w:trPr>
        <w:tc>
          <w:tcPr>
            <w:gridSpan w:val="6"/>
            <w:tcBorders>
              <w:top w:val="single" w:color="auto" w:sz="12" w:space="0"/>
              <w:left w:val="nil"/>
              <w:bottom w:val="nil"/>
              <w:right w:val="nil"/>
              <w:insideH w:val="nil"/>
              <w:insideV w:val="nil"/>
            </w:tcBorders>
          </w:tcPr>
          <w:p w14:paraId="1EE99CCF"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宋体" w:cs="Times New Roman"/>
                <w:sz w:val="20"/>
              </w:rPr>
              <w:t xml:space="preserve">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 xml:space="preserve">&lt;0.05 **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sz w:val="20"/>
              </w:rPr>
              <w:t>&lt;0.01</w:t>
            </w:r>
          </w:p>
        </w:tc>
      </w:tr>
      <w:bookmarkEnd w:id="2"/>
    </w:tbl>
    <w:p w14:paraId="4F031F45">
      <w:pPr>
        <w:pStyle w:val="3"/>
        <w:spacing w:before="0" w:after="0"/>
      </w:pPr>
      <w:r>
        <w:rPr>
          <w:rFonts w:hint="eastAsia" w:ascii="Times New Roman" w:hAnsi="Times New Roman" w:eastAsia="宋体" w:cs="Times New Roman"/>
          <w:color w:val="FF0000"/>
          <w:sz w:val="20"/>
        </w:rPr>
        <w:t>参考文献</w:t>
      </w:r>
    </w:p>
    <w:p w14:paraId="4F4D5A63">
      <w:pPr>
        <w:pStyle w:val="24"/>
        <w:spacing w:before="0" w:after="0"/>
      </w:pPr>
      <w:r>
        <w:rPr>
          <w:rFonts w:ascii="Times New Roman" w:hAnsi="Times New Roman" w:eastAsia="宋体" w:cs="Times New Roman"/>
          <w:sz w:val="20"/>
        </w:rPr>
        <w:t>【1】The SPSSAU project (2025). SPSSAU. (Version 25.0) [Online Application Software]. Retrieved from https://www.spssau.com.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【2】周俊,马世澎.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SPSSAU科研数据分析方法与应用.第1版[M].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电子工业出版社,2024.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ascii="Times New Roman" w:hAnsi="Times New Roman" w:eastAsia="宋体" w:cs="Times New Roman"/>
          <w:sz w:val="20"/>
        </w:rPr>
        <w:t>【3】Hauke J, Kossowski T. Comparison of Values of Pearson's and Spearman's Correlation Coefficients on the Same Sets of Data[J]. Quaestiones Geographicae, 2011, 30(2):87-93.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ascii="Times New Roman" w:hAnsi="Times New Roman" w:eastAsia="宋体" w:cs="Times New Roman"/>
          <w:sz w:val="20"/>
        </w:rPr>
        <w:t>【4】Arndt S, Turvey C, Andreasen N C. Correlating and predicting psychiatric symptom ratings: Spearmans r versus Kendalls tau correlation[J]. Journal of Psychiatric Research, 1999, 33(2):97-104.</w:t>
      </w:r>
      <w:r>
        <w:rPr>
          <w:rFonts w:ascii="Times New Roman" w:hAnsi="Times New Roman" w:eastAsia="宋体" w:cs="Times New Roman"/>
          <w:sz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</w:rPr>
        <w:t>【5】张厚粲,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徐建平.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现代心理与教育统计学.第3版[M].</w:t>
      </w:r>
      <w:r>
        <w:rPr>
          <w:rFonts w:ascii="Times New Roman" w:hAnsi="Times New Roman" w:eastAsia="宋体" w:cs="Times New Roman"/>
          <w:sz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</w:rPr>
        <w:t>北京师范大学出版社,</w:t>
      </w:r>
      <w:r>
        <w:rPr>
          <w:rFonts w:ascii="Times New Roman" w:hAnsi="Times New Roman" w:eastAsia="宋体" w:cs="Times New Roman"/>
          <w:sz w:val="20"/>
        </w:rPr>
        <w:t xml:space="preserve"> 2009.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46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818</Words>
  <Characters>1422</Characters>
  <Lines>12</Lines>
  <Paragraphs>8</Paragraphs>
  <TotalTime>6</TotalTime>
  <ScaleCrop>false</ScaleCrop>
  <LinksUpToDate>false</LinksUpToDate>
  <CharactersWithSpaces>1504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2025-06-04T08:18:00Z</dcterms:created>
  <dc:creator>sgl</dc:creator>
  <cp:lastModifiedBy>sgl</cp:lastModifiedBy>
  <dcterms:modified xsi:type="dcterms:W3CDTF">2025-06-04T08:18:39Z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FFA55D26218F432D8C13CC98046BF77F_13</vt:lpwstr>
  </property>
</Properties>
</file>