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- Nuclear Energy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major roles that nuclear energy play in our day-to-day lives?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Generating electricity, medical application (X-ray, MRI), industrial application (X-ray), home use (smoke alarms), food preparation (gamma radiation), transportation (submarines)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some of the challenges questions facing the nuclear industry?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Public perception, economic viability, improved operating safety, efficient waste management, resource utilization, nuclear weapons proliferation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nuclear fission?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It occurs when the nucleus of an atom splits into smaller parts, often producing free neutrons and lighter nuclei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fissionable material?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It undergoes fission from being struck by a neutron.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meant by critical mass?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Amount of fissile material needed to sustain a chain reaction.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difference between weapons grade and reactor grade enrichment?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Enrichment of U-235 is about 96% for weapons vs. 3% in a nuclear reactor.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Nuclear weapons are designed to produce a reaction that is so fast and intense that it cannot be controlled once it’s started.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Power plants: precise control of the rate at which nuclear reaction occurs and low level of enrichment which makes impossible a nuclear explosion to occur.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difference between neutron moderators and absorbers?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Moderators slow neutrons to increase the reactivity of a nuclear reactor.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Absorbers stops neutrons and decreases the reactivity of a nuclear reactor.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differences between open and closed fuel cycles?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the basic difference in protection required in handling a fresh fuel rod and a spent fuel rod?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are spent fuel rods so dangerous?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a light water reactor and how it differ from a heavy water reactor?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is a fast breeder reactor and how do they affect the production of nuclear waste?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Why are spent fuel rods stored in a fuel pond of about 10 years?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Nuclear Power2.doc.docx</dc:title>
</cp:coreProperties>
</file>