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/>
        <w:ind w:left="0" w:right="0"/>
        <w:jc w:val="both"/>
        <w:rPr>
          <w:rFonts w:hint="eastAsia" w:ascii="微软雅黑" w:hAnsi="微软雅黑" w:eastAsia="微软雅黑" w:cs="微软雅黑"/>
          <w:color w:val="000000"/>
          <w:sz w:val="17"/>
          <w:szCs w:val="17"/>
        </w:rPr>
      </w:pPr>
      <w:r>
        <w:rPr>
          <w:rStyle w:val="6"/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解析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答案提示（仅做参考，由于水平所限，或有所遗漏）：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1.净含量应与食品名称在包装物或容器的同一展示版面标示（GB7718-4.1.5.5）。食品名称应在食品标签的醒目位置（食品名称位置应首选正标）。GB 7718指南释义——食品名称在标签上的位置应首选主要展示版面，以便于消费者识别。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2.净含量标示不规范，净含量的标示应由净含量、数字和法定计量单位组成，可以标示：净含量：120克 或 净含量/规格：120克；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3.广告语“不添加色素 不含防腐剂”不符合配料的定量标示要求，“不含防腐剂”需要能提供不含的证据，不添加不等于不含有，防腐剂也有可能来源于原料的本底值；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4.“食品名称：玫瑰の梅（蜜饯）”不规范，夹杂外文，未使用规范的汉字；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5.配料中“甜味剂（950）”添加不合规。INS号950的食品添加剂是安赛蜜，在GB2760中，在加工水果-蜜饯凉果-话化类中不允许使用；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6.配料中缺少玫瑰花（重瓣红玫瑰），品名及广告语中有“玫瑰”，实际配料中未添加，或者品名调整为话梅/玫瑰味话梅（配料中添加玫瑰味香精）；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7.依据产品执行标准，话化类应标注话化类（不加糖类或加糖类）；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8.广告语“健脾开胃，生津止渴”有宣传医疗保健功能。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15"/>
          <w:szCs w:val="15"/>
          <w:shd w:val="clear" w:fill="FFFFFF"/>
        </w:rPr>
        <w:t>备注：“成人每日食盐的摄入量不超过6g。”来源于GB 28050附录D。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428625" cy="590550"/>
            <wp:effectExtent l="0" t="0" r="3175" b="6350"/>
            <wp:docPr id="36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 descr="IMG_2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711C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2024-05-23T13:05:24Z</dcterms:created>
  <dc:creator>twz5080</dc:creator>
  <cp:lastModifiedBy>童旺芝</cp:lastModifiedBy>
  <dcterms:modified xsi:type="dcterms:W3CDTF">2024-05-23T13:05:49Z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A8C60CCC2ED94C14883D21A01E1B5DD9_12</vt:lpwstr>
  </property>
</Properties>
</file>