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/>
        <w:jc w:val="both"/>
      </w:pPr>
      <w:r>
        <w:rPr>
          <w:rStyle w:val="6"/>
          <w:rFonts w:hint="eastAsia" w:ascii="黑体" w:hAnsi="宋体" w:eastAsia="黑体" w:cs="黑体"/>
          <w:i w:val="0"/>
          <w:iCs w:val="0"/>
          <w:caps w:val="0"/>
          <w:spacing w:val="5"/>
          <w:sz w:val="15"/>
          <w:szCs w:val="15"/>
          <w:shd w:val="clear" w:fill="FFFFFF"/>
        </w:rPr>
        <w:t>解析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答案提示（仅做参考，由于水平所限，或有所遗漏）：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1、“固体饮料”，字号不得小于同一展示版面其他文字（包括商标、图案等所含文字）。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2、未标示警示信息“本产品不能代替特殊医学用途配方食品、婴幼儿配方食品、保健食品等特殊食品”，所占面积不应小于其所在面的20%。警示信息文字应当使用黑体字印刷，并与警示信息区域背景有明显色差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3、背景图片应删除或调整。乳矿物盐、菊粉的使用范围不包括婴幼儿食品，且总局公告“固体饮料标签不得使用图案进行明示、暗示或者强调产品适用于未成年人等特定人群”，标签上婴幼儿图形容易对消费者造成误导，认为该产品适用于未成年人（婴幼儿），不符合公告的要求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4、错别字：致敏源信息应为“致敏原信息”；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5、“GB/T29602”——“GB/T 29602”，GB/T 1.1-2020的10.3.1.4规定，文件代号与顺序号之间应空半个汉字的间隙；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6、“生产日期：见外包装”，如日期标示采用“见包装物某部位”的形式，应标示所在包装物的具体部位，如“生产日期：见包装封口处”；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7、营养成分表中没有注明每份食品的量；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8、营养成分表中能量值为342kJ。以份标示时，不能直接将脂肪、膳食纤维按照“0”界限值进行修约。详见GB 28050 问答（修订版）（四十三）关于“份”的标示；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9、营养成分表中膳食纤维的NRV%应标示1%；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10、钙的修约间隔为1，“252.0mg”应标示“252mg”；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11、不满足含有多种矿物质的含量声称，含量声称中矿物质不包括钠，且铁不满足每100克中≥15%NRV。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777F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2024-05-23T13:10:14Z</dcterms:created>
  <dc:creator>twz5080</dc:creator>
  <cp:lastModifiedBy>童旺芝</cp:lastModifiedBy>
  <dcterms:modified xsi:type="dcterms:W3CDTF">2024-05-23T13:10:38Z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2E76D2F6F64D49AFB019F3D13BCB4B88_12</vt:lpwstr>
  </property>
</Properties>
</file>