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/>
        <w:jc w:val="both"/>
        <w:rPr>
          <w:sz w:val="28"/>
          <w:szCs w:val="28"/>
        </w:rPr>
      </w:pPr>
      <w:bookmarkStart w:id="0" w:name="_GoBack"/>
      <w:r>
        <w:rPr>
          <w:rStyle w:val="5"/>
          <w:rFonts w:hint="eastAsia" w:ascii="黑体" w:hAnsi="宋体" w:eastAsia="黑体" w:cs="黑体"/>
          <w:i w:val="0"/>
          <w:iCs w:val="0"/>
          <w:caps w:val="0"/>
          <w:spacing w:val="5"/>
          <w:sz w:val="28"/>
          <w:szCs w:val="28"/>
          <w:shd w:val="clear" w:fill="FFFFFF"/>
        </w:rPr>
        <w:t>解析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65"/>
        <w:jc w:val="both"/>
        <w:rPr>
          <w:sz w:val="28"/>
          <w:szCs w:val="28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5"/>
          <w:sz w:val="28"/>
          <w:szCs w:val="28"/>
          <w:shd w:val="clear" w:fill="FFFFFF"/>
        </w:rPr>
        <w:t>答案提示（仅做参考，由于水平所限，或有所遗漏）：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65"/>
        <w:jc w:val="both"/>
        <w:rPr>
          <w:sz w:val="28"/>
          <w:szCs w:val="28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5"/>
          <w:sz w:val="28"/>
          <w:szCs w:val="28"/>
          <w:shd w:val="clear" w:fill="FFFFFF"/>
        </w:rPr>
        <w:t>1、主版面英文“Jasmine tea”大于相对应的汉字“茉莉花茶”。依据GB 7718-3.8.2 ……。所有外文不得大于相应的汉字（商标除外）；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65"/>
        <w:jc w:val="both"/>
        <w:rPr>
          <w:sz w:val="28"/>
          <w:szCs w:val="28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5"/>
          <w:sz w:val="28"/>
          <w:szCs w:val="28"/>
          <w:shd w:val="clear" w:fill="FFFFFF"/>
        </w:rPr>
        <w:t>2、产品的真实属性为茶饮料，在净含量版面未体现，可以在净含量版面增加产品真实属性的名称“XXX茶饮料”/“茉莉花茶饮料”；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65"/>
        <w:jc w:val="both"/>
        <w:rPr>
          <w:sz w:val="28"/>
          <w:szCs w:val="28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5"/>
          <w:sz w:val="28"/>
          <w:szCs w:val="28"/>
          <w:shd w:val="clear" w:fill="FFFFFF"/>
        </w:rPr>
        <w:t>3、净含量≥1000mL，计量单位为“升（L）（l）”；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65"/>
        <w:jc w:val="both"/>
        <w:rPr>
          <w:sz w:val="28"/>
          <w:szCs w:val="28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5"/>
          <w:sz w:val="28"/>
          <w:szCs w:val="28"/>
          <w:shd w:val="clear" w:fill="FFFFFF"/>
        </w:rPr>
        <w:t>4、错别字：“茶胚”应为“茶坯”；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65"/>
        <w:jc w:val="both"/>
        <w:rPr>
          <w:sz w:val="28"/>
          <w:szCs w:val="28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5"/>
          <w:sz w:val="28"/>
          <w:szCs w:val="28"/>
          <w:shd w:val="clear" w:fill="FFFFFF"/>
        </w:rPr>
        <w:t>5、营养成分表中“热量”应标示“能量”；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65"/>
        <w:jc w:val="both"/>
        <w:rPr>
          <w:sz w:val="28"/>
          <w:szCs w:val="28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5"/>
          <w:sz w:val="28"/>
          <w:szCs w:val="28"/>
          <w:shd w:val="clear" w:fill="FFFFFF"/>
        </w:rPr>
        <w:t>6、标签对“糖”进行了含量声称，在营养成分表中应标示“糖”的含量，而非“蔗糖”；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65"/>
        <w:jc w:val="both"/>
        <w:rPr>
          <w:sz w:val="28"/>
          <w:szCs w:val="28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5"/>
          <w:sz w:val="28"/>
          <w:szCs w:val="28"/>
          <w:shd w:val="clear" w:fill="FFFFFF"/>
        </w:rPr>
        <w:t>7、标签对配料进行了强调（原叶萃取），应标示“茉莉花茶”的添加量；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65"/>
        <w:jc w:val="both"/>
        <w:rPr>
          <w:sz w:val="28"/>
          <w:szCs w:val="28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5"/>
          <w:sz w:val="28"/>
          <w:szCs w:val="28"/>
          <w:shd w:val="clear" w:fill="FFFFFF"/>
        </w:rPr>
        <w:t>8、营养成分表中“钠”表达方式标示不规范，应标示具体数值，不应采用范围值来标示。依据GB 28050-6.1 预包装食品中能量和营养成分的含量应以每100克（g）和（或）每100毫升（mL）和（或）每份食品可食部中的具体数值来标示。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65"/>
        <w:jc w:val="both"/>
        <w:rPr>
          <w:sz w:val="28"/>
          <w:szCs w:val="28"/>
        </w:rPr>
      </w:pPr>
      <w:r>
        <w:rPr>
          <w:rFonts w:hint="eastAsia" w:ascii="黑体" w:hAnsi="宋体" w:eastAsia="黑体" w:cs="黑体"/>
          <w:i w:val="0"/>
          <w:iCs w:val="0"/>
          <w:caps w:val="0"/>
          <w:spacing w:val="5"/>
          <w:sz w:val="28"/>
          <w:szCs w:val="28"/>
          <w:shd w:val="clear" w:fill="FFFFFF"/>
        </w:rPr>
        <w:t>9、营养声称“0糖 0脂”字号不得大于食品名称和商标（GB 28050 附录B最后一句）。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28"/>
          <w:szCs w:val="28"/>
          <w:shd w:val="clear" w:fill="FFFFFF"/>
          <w:lang w:val="en-US" w:eastAsia="zh-CN" w:bidi="ar"/>
        </w:rPr>
        <w:drawing>
          <wp:inline distT="0" distB="0" distL="114300" distR="114300">
            <wp:extent cx="428625" cy="590550"/>
            <wp:effectExtent l="0" t="0" r="3175" b="6350"/>
            <wp:docPr id="3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IMG_26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1B001C1C"/>
    <w:rsid w:val="320A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autoRedefine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2024-05-23T13:14:00Z</dcterms:created>
  <dc:creator>twz5080</dc:creator>
  <cp:lastModifiedBy>童旺芝</cp:lastModifiedBy>
  <dcterms:modified xsi:type="dcterms:W3CDTF">2024-05-24T01:27:33Z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4571C1C786684A39821BE952921078EF_12</vt:lpwstr>
  </property>
</Properties>
</file>