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Datasheet — GridStore-D3</w:t>
      </w:r>
    </w:p>
    <w:p>
      <w:r>
        <w:t>Number: VBF-T2R1-DSH-01    Case: t2_r1 (grid energy storage)    Date: 2026-08-25</w:t>
      </w:r>
    </w:p>
    <w:p>
      <w:r>
        <w:t>All values mechanically taken from simulation outputs / parameter set; sources per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Rated capacity (Ah)</w:t>
            </w:r>
          </w:p>
        </w:tc>
        <w:tc>
          <w:tcPr>
            <w:tcW w:type="dxa" w:w="2880"/>
          </w:tcPr>
          <w:p>
            <w:r>
              <w:t>5.0 nominal (parameter set); 5.066 simulated 1C discharge</w:t>
            </w:r>
          </w:p>
        </w:tc>
        <w:tc>
          <w:tcPr>
            <w:tcW w:type="dxa" w:w="2880"/>
          </w:tcPr>
          <w:p>
            <w:r>
              <w:t>Chen2020 dump; cell/r6_d3_1c.json:capacity_ah</w:t>
            </w:r>
          </w:p>
        </w:tc>
      </w:tr>
      <w:tr>
        <w:tc>
          <w:tcPr>
            <w:tcW w:type="dxa" w:w="2880"/>
          </w:tcPr>
          <w:p>
            <w:r>
              <w:t>Nominal voltage / voltage window (V)</w:t>
            </w:r>
          </w:p>
        </w:tc>
        <w:tc>
          <w:tcPr>
            <w:tcW w:type="dxa" w:w="2880"/>
          </w:tcPr>
          <w:p>
            <w:r>
              <w:t>2.5 – 4.2 V; discharge plateau proxy 3.722 V at fixed t = 1800 s of 1C</w:t>
            </w:r>
          </w:p>
        </w:tc>
        <w:tc>
          <w:tcPr>
            <w:tcW w:type="dxa" w:w="2880"/>
          </w:tcPr>
          <w:p>
            <w:r>
              <w:t>Chen2020 dump; r6_d3_1c.json (calc-energy 'midpoint' scalar is a solver-step-density index artifact — see design_spec §6)</w:t>
            </w:r>
          </w:p>
        </w:tc>
      </w:tr>
      <w:tr>
        <w:tc>
          <w:tcPr>
            <w:tcW w:type="dxa" w:w="2880"/>
          </w:tcPr>
          <w:p>
            <w:r>
              <w:t>Rated energy (Wh)</w:t>
            </w:r>
          </w:p>
        </w:tc>
        <w:tc>
          <w:tcPr>
            <w:tcW w:type="dxa" w:w="2880"/>
          </w:tcPr>
          <w:p>
            <w:r>
              <w:t>18.454 (time integration of V·I at 1C)</w:t>
            </w:r>
          </w:p>
        </w:tc>
        <w:tc>
          <w:tcPr>
            <w:tcW w:type="dxa" w:w="2880"/>
          </w:tcPr>
          <w:p>
            <w:r>
              <w:t>cell/r6_d3_energy.json:energy_wh</w:t>
            </w:r>
          </w:p>
        </w:tc>
      </w:tr>
      <w:tr>
        <w:tc>
          <w:tcPr>
            <w:tcW w:type="dxa" w:w="2880"/>
          </w:tcPr>
          <w:p>
            <w:r>
              <w:t>Energy density</w:t>
            </w:r>
          </w:p>
        </w:tc>
        <w:tc>
          <w:tcPr>
            <w:tcW w:type="dxa" w:w="2880"/>
          </w:tcPr>
          <w:p>
            <w:r>
              <w:t>465.62 Wh/kg (contract caliber, electrolyte excluded); 894.87 Wh/L</w:t>
            </w:r>
          </w:p>
        </w:tc>
        <w:tc>
          <w:tcPr>
            <w:tcW w:type="dxa" w:w="2880"/>
          </w:tcPr>
          <w:p>
            <w:r>
              <w:t>cell/r6_d3_energy.json:energy_density_wh_kg / _wh_l</w:t>
            </w:r>
          </w:p>
        </w:tc>
      </w:tr>
      <w:tr>
        <w:tc>
          <w:tcPr>
            <w:tcW w:type="dxa" w:w="2880"/>
          </w:tcPr>
          <w:p>
            <w:r>
              <w:t>Maximum continuous discharge rate</w:t>
            </w:r>
          </w:p>
        </w:tc>
        <w:tc>
          <w:tcPr>
            <w:tcW w:type="dxa" w:w="2880"/>
          </w:tcPr>
          <w:p>
            <w:r>
              <w:t>1C (5.066 A) simulated; higher rates not in task contract (5C protocol not run)</w:t>
            </w:r>
          </w:p>
        </w:tc>
        <w:tc>
          <w:tcPr>
            <w:tcW w:type="dxa" w:w="2880"/>
          </w:tcPr>
          <w:p>
            <w:r>
              <w:t>cell/r6_d3_1c.json</w:t>
            </w:r>
          </w:p>
        </w:tc>
      </w:tr>
      <w:tr>
        <w:tc>
          <w:tcPr>
            <w:tcW w:type="dxa" w:w="2880"/>
          </w:tcPr>
          <w:p>
            <w:r>
              <w:t>Fast-charge capability</w:t>
            </w:r>
          </w:p>
        </w:tc>
        <w:tc>
          <w:tcPr>
            <w:tcW w:type="dxa" w:w="2880"/>
          </w:tcPr>
          <w:p>
            <w:r>
              <w:t>4C charge @ 45 °C: plating-free (anode potential min +0.0498 V), acceptance 0.838 Ah to 4.2 V, T_max 342.39 K (+24.2 K above ambient)</w:t>
            </w:r>
          </w:p>
        </w:tc>
        <w:tc>
          <w:tcPr>
            <w:tcW w:type="dxa" w:w="2880"/>
          </w:tcPr>
          <w:p>
            <w:r>
              <w:t>cell/r6_d3_4c.json:anode_potential_v / capacity_ah / T_max_K</w:t>
            </w:r>
          </w:p>
        </w:tc>
      </w:tr>
      <w:tr>
        <w:tc>
          <w:tcPr>
            <w:tcW w:type="dxa" w:w="2880"/>
          </w:tcPr>
          <w:p>
            <w:r>
              <w:t>Operating temperature range</w:t>
            </w:r>
          </w:p>
        </w:tc>
        <w:tc>
          <w:tcPr>
            <w:tcW w:type="dxa" w:w="2880"/>
          </w:tcPr>
          <w:p>
            <w:r>
              <w:t>Verified −20 °C (253.15 K) to +45 °C (318.15 K) per simulation conditions; −20 °C discharge retention 99.571% (protocol and true-soak, cell temp 266.7 K)</w:t>
            </w:r>
          </w:p>
        </w:tc>
        <w:tc>
          <w:tcPr>
            <w:tcW w:type="dxa" w:w="2880"/>
          </w:tcPr>
          <w:p>
            <w:r>
              <w:t>cell/r6_d3_lowT_ret.json; cell/r6_d3_lowT_soak.json</w:t>
            </w:r>
          </w:p>
        </w:tc>
      </w:tr>
      <w:tr>
        <w:tc>
          <w:tcPr>
            <w:tcW w:type="dxa" w:w="2880"/>
          </w:tcPr>
          <w:p>
            <w:r>
              <w:t>Cycle life</w:t>
            </w:r>
          </w:p>
        </w:tc>
        <w:tc>
          <w:tcPr>
            <w:tcW w:type="dxa" w:w="2880"/>
          </w:tcPr>
          <w:p>
            <w:r>
              <w:t>Aging protocol (1C CC 2.5–4.2 V, SEI ec-reaction-limited, isothermal): SEI thickness 9.087 nm after 100 cycles, 25.317 nm after 500 cycles (contract limits 500/550 nm); capacity trajectory flat. Honest annotation: the reported per-cycle capacity variable is a PyBaMM artifact (freezes at first-discharge value); probe confirms real steps are full 1C swings (5.08 Ah discharge / 4.75 Ah charge per cycle)</w:t>
            </w:r>
          </w:p>
        </w:tc>
        <w:tc>
          <w:tcPr>
            <w:tcW w:type="dxa" w:w="2880"/>
          </w:tcPr>
          <w:p>
            <w:r>
              <w:t>cell/r6_d3_aging100.json / r6_d3_aging500.json; bridge/probe_aging.py</w:t>
            </w:r>
          </w:p>
        </w:tc>
      </w:tr>
      <w:tr>
        <w:tc>
          <w:tcPr>
            <w:tcW w:type="dxa" w:w="2880"/>
          </w:tcPr>
          <w:p>
            <w:r>
              <w:t>Safety determination</w:t>
            </w:r>
          </w:p>
        </w:tc>
        <w:tc>
          <w:tcPr>
            <w:tcW w:type="dxa" w:w="2880"/>
          </w:tcPr>
          <w:p>
            <w:r>
              <w:t>4C fast charge plating-free; T_max 342.39 K during 4C charge (no contract red line); abuse scenarios (nail / overcharge / crush) not simulated — N/A (beyond pure simulation boundary)</w:t>
            </w:r>
          </w:p>
        </w:tc>
        <w:tc>
          <w:tcPr>
            <w:tcW w:type="dxa" w:w="2880"/>
          </w:tcPr>
          <w:p>
            <w:r>
              <w:t>cell/r6_d3_4c.json</w:t>
            </w:r>
          </w:p>
        </w:tc>
      </w:tr>
      <w:tr>
        <w:tc>
          <w:tcPr>
            <w:tcW w:type="dxa" w:w="2880"/>
          </w:tcPr>
          <w:p>
            <w:r>
              <w:t>Dimensions and mass</w:t>
            </w:r>
          </w:p>
        </w:tc>
        <w:tc>
          <w:tcPr>
            <w:tcW w:type="dxa" w:w="2880"/>
          </w:tcPr>
          <w:p>
            <w:r>
              <w:t>1580 × 65 × 0.2008 mm (W × H × T, layer stack); 39.63 g contract caliber (electrolyte excluded); shell/casing Not provided</w:t>
            </w:r>
          </w:p>
        </w:tc>
        <w:tc>
          <w:tcPr>
            <w:tcW w:type="dxa" w:w="2880"/>
          </w:tcPr>
          <w:p>
            <w:r>
              <w:t>Chen2020 dump; cell/r6_d3_energy.json:mass_kg / thickness_m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