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— Grid Energy Storage Cell</w:t>
      </w:r>
    </w:p>
    <w:p>
      <w:r>
        <w:t>VBF-T2R3-DSH-01   |   Generated 2026-08-26   |   Prepared: ______   Reviewed: ______   Approved: 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Rated capacity</w:t>
            </w:r>
          </w:p>
        </w:tc>
        <w:tc>
          <w:tcPr>
            <w:tcW w:type="dxa" w:w="2880"/>
          </w:tcPr>
          <w:p>
            <w:r>
              <w:t>5.0 Ah (parameter-set nominal) / 5.0648 Ah simulated (1C CC, 25 °C, 2.5–4.2 V, DFN)</w:t>
            </w:r>
          </w:p>
        </w:tc>
        <w:tc>
          <w:tcPr>
            <w:tcW w:type="dxa" w:w="2880"/>
          </w:tcPr>
          <w:p>
            <w:r>
              <w:t>Chen2020 'Nominal cell capacity [A.h]'; cell/r7_final_1c_dfn.json:capacity_ah</w:t>
            </w:r>
          </w:p>
        </w:tc>
      </w:tr>
      <w:tr>
        <w:tc>
          <w:tcPr>
            <w:tcW w:type="dxa" w:w="2880"/>
          </w:tcPr>
          <w:p>
            <w:r>
              <w:t>Voltage window / midpoint</w:t>
            </w:r>
          </w:p>
        </w:tc>
        <w:tc>
          <w:tcPr>
            <w:tcW w:type="dxa" w:w="2880"/>
          </w:tcPr>
          <w:p>
            <w:r>
              <w:t>2.5 – 4.2 V (lower/upper cut-off); simulated 1C discharge midpoint 3.9118 V</w:t>
            </w:r>
          </w:p>
        </w:tc>
        <w:tc>
          <w:tcPr>
            <w:tcW w:type="dxa" w:w="2880"/>
          </w:tcPr>
          <w:p>
            <w:r>
              <w:t>Chen2020 set; cell/r7_final_energy_dfn.json:midpoint_voltage_v</w:t>
            </w:r>
          </w:p>
        </w:tc>
      </w:tr>
      <w:tr>
        <w:tc>
          <w:tcPr>
            <w:tcW w:type="dxa" w:w="2880"/>
          </w:tcPr>
          <w:p>
            <w:r>
              <w:t>Rated energy</w:t>
            </w:r>
          </w:p>
        </w:tc>
        <w:tc>
          <w:tcPr>
            <w:tcW w:type="dxa" w:w="2880"/>
          </w:tcPr>
          <w:p>
            <w:r>
              <w:t>18.457 Wh (1C discharge, DFN time-integration of V·I)</w:t>
            </w:r>
          </w:p>
        </w:tc>
        <w:tc>
          <w:tcPr>
            <w:tcW w:type="dxa" w:w="2880"/>
          </w:tcPr>
          <w:p>
            <w:r>
              <w:t>cell/r7_final_energy_dfn.json:energy_wh</w:t>
            </w:r>
          </w:p>
        </w:tc>
      </w:tr>
      <w:tr>
        <w:tc>
          <w:tcPr>
            <w:tcW w:type="dxa" w:w="2880"/>
          </w:tcPr>
          <w:p>
            <w:r>
              <w:t>Energy density</w:t>
            </w:r>
          </w:p>
        </w:tc>
        <w:tc>
          <w:tcPr>
            <w:tcW w:type="dxa" w:w="2880"/>
          </w:tcPr>
          <w:p>
            <w:r>
              <w:t>447.12 Wh/kg; 895.02 Wh/L (contract caliber — electrolyte excluded from mass; incl. electrolyte estimate: 374.4 Wh/kg, derived)</w:t>
            </w:r>
          </w:p>
        </w:tc>
        <w:tc>
          <w:tcPr>
            <w:tcW w:type="dxa" w:w="2880"/>
          </w:tcPr>
          <w:p>
            <w:r>
              <w:t>cell/r7_final_energy_dfn.json:energy_density_wh_kg / energy_density_wh_l; electrolyte mass = pore volume × 1.2 g/cm3 [estimate]</w:t>
            </w:r>
          </w:p>
        </w:tc>
      </w:tr>
      <w:tr>
        <w:tc>
          <w:tcPr>
            <w:tcW w:type="dxa" w:w="2880"/>
          </w:tcPr>
          <w:p>
            <w:r>
              <w:t>Maximum continuous discharge rate</w:t>
            </w:r>
          </w:p>
        </w:tc>
        <w:tc>
          <w:tcPr>
            <w:tcW w:type="dxa" w:w="2880"/>
          </w:tcPr>
          <w:p>
            <w:r>
              <w:t>1C (5 A) — simulated, DFN; DCR 2.612 mΩ; power density 39.08 kW/kg</w:t>
            </w:r>
          </w:p>
        </w:tc>
        <w:tc>
          <w:tcPr>
            <w:tcW w:type="dxa" w:w="2880"/>
          </w:tcPr>
          <w:p>
            <w:r>
              <w:t>cell/r7_final_1c_dfn.json; cell/r7_final_energy_dfn.json:dcr_ohm / power_density_w_kg</w:t>
            </w:r>
          </w:p>
        </w:tc>
      </w:tr>
      <w:tr>
        <w:tc>
          <w:tcPr>
            <w:tcW w:type="dxa" w:w="2880"/>
          </w:tcPr>
          <w:p>
            <w:r>
              <w:t>Fast-charge capability</w:t>
            </w:r>
          </w:p>
        </w:tc>
        <w:tc>
          <w:tcPr>
            <w:tcW w:type="dxa" w:w="2880"/>
          </w:tcPr>
          <w:p>
            <w:r>
              <w:t>4C (20 A) CC at 45 °C: NO lithium plating (anode surface potential min +0.0443 V); T_max 347.70 K (+29.55 K vs 318.15 K ambient, lumped thermal h = 10 W/m2/K)</w:t>
            </w:r>
          </w:p>
        </w:tc>
        <w:tc>
          <w:tcPr>
            <w:tcW w:type="dxa" w:w="2880"/>
          </w:tcPr>
          <w:p>
            <w:r>
              <w:t>cell/r7_final_4c_dfn.json:anode_potential_v / T_max_K</w:t>
            </w:r>
          </w:p>
        </w:tc>
      </w:tr>
      <w:tr>
        <w:tc>
          <w:tcPr>
            <w:tcW w:type="dxa" w:w="2880"/>
          </w:tcPr>
          <w:p>
            <w:r>
              <w:t>Low-temperature performance</w:t>
            </w:r>
          </w:p>
        </w:tc>
        <w:tc>
          <w:tcPr>
            <w:tcW w:type="dxa" w:w="2880"/>
          </w:tcPr>
          <w:p>
            <w:r>
              <w:t>−20 °C 1C discharge retention 99.57 % (vs 25 °C, same parameters, DFN)</w:t>
            </w:r>
          </w:p>
        </w:tc>
        <w:tc>
          <w:tcPr>
            <w:tcW w:type="dxa" w:w="2880"/>
          </w:tcPr>
          <w:p>
            <w:r>
              <w:t>cell/r7_final_lowT_retention.json:lowT_retention</w:t>
            </w:r>
          </w:p>
        </w:tc>
      </w:tr>
      <w:tr>
        <w:tc>
          <w:tcPr>
            <w:tcW w:type="dxa" w:w="2880"/>
          </w:tcPr>
          <w:p>
            <w:r>
              <w:t>Operating temperature range (simulated)</w:t>
            </w:r>
          </w:p>
        </w:tc>
        <w:tc>
          <w:tcPr>
            <w:tcW w:type="dxa" w:w="2880"/>
          </w:tcPr>
          <w:p>
            <w:r>
              <w:t>−20 °C (discharge) … +45 °C (charge); 25 °C nominal cycling</w:t>
            </w:r>
          </w:p>
        </w:tc>
        <w:tc>
          <w:tcPr>
            <w:tcW w:type="dxa" w:w="2880"/>
          </w:tcPr>
          <w:p>
            <w:r>
              <w:t>protocols lowT_discharge / 4C_charge_45C / 1C_discharge (log entries)</w:t>
            </w:r>
          </w:p>
        </w:tc>
      </w:tr>
      <w:tr>
        <w:tc>
          <w:tcPr>
            <w:tcW w:type="dxa" w:w="2880"/>
          </w:tcPr>
          <w:p>
            <w:r>
              <w:t>Durability / SEI</w:t>
            </w:r>
          </w:p>
        </w:tc>
        <w:tc>
          <w:tcPr>
            <w:tcW w:type="dxa" w:w="2880"/>
          </w:tcPr>
          <w:p>
            <w:r>
              <w:t>Anode SEI 276.22 nm @ 100 cyc (limit 500 nm) and 393.00 nm @ 500 cyc (limit 550 nm) at 1C cycling, SEI model. Per-cycle capacity trajectory in the SEI-only model decays (0.331 → 0.216 Ah @ 100 cyc; 0.0123 Ah @ 500 cyc) — SEI-growth lithium-inventory-loss model only, no calendar/fatigue mechanisms; known low-first-cycle Chen2020 artifact. Full calendar/fatigue cycle life: Not provided (beyond model scope)</w:t>
            </w:r>
          </w:p>
        </w:tc>
        <w:tc>
          <w:tcPr>
            <w:tcW w:type="dxa" w:w="2880"/>
          </w:tcPr>
          <w:p>
            <w:r>
              <w:t>cell/r6_combo-v5-final_aging100_spme.json / aging500_spme.json:sei_thickness_nm_end, capacity_ah_per_cycle</w:t>
            </w:r>
          </w:p>
        </w:tc>
      </w:tr>
      <w:tr>
        <w:tc>
          <w:tcPr>
            <w:tcW w:type="dxa" w:w="2880"/>
          </w:tcPr>
          <w:p>
            <w:r>
              <w:t>Safety determination</w:t>
            </w:r>
          </w:p>
        </w:tc>
        <w:tc>
          <w:tcPr>
            <w:tcW w:type="dxa" w:w="2880"/>
          </w:tcPr>
          <w:p>
            <w:r>
              <w:t>4C fast charge plating-free (virtual test). Overcharge / nail / thermal-runaway abuse: not required by task, N/A</w:t>
            </w:r>
          </w:p>
        </w:tc>
        <w:tc>
          <w:tcPr>
            <w:tcW w:type="dxa" w:w="2880"/>
          </w:tcPr>
          <w:p>
            <w:r>
              <w:t>cell/r7_final_4c_dfn.json; entry-0 criteria</w:t>
            </w:r>
          </w:p>
        </w:tc>
      </w:tr>
      <w:tr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Electrode sheet 65 mm × 1580 mm; layer stack thickness 200.8 µm (pos 75.6 + neg 85.2 + sep 12 + Al 16 + Cu 12 µm); cell envelope/jelly-roll: Not provided (not parameterized)</w:t>
            </w:r>
          </w:p>
        </w:tc>
        <w:tc>
          <w:tcPr>
            <w:tcW w:type="dxa" w:w="2880"/>
          </w:tcPr>
          <w:p>
            <w:r>
              <w:t>Chen2020 geometry keys; design_spec.md §1</w:t>
            </w:r>
          </w:p>
        </w:tc>
      </w:tr>
      <w:tr>
        <w:tc>
          <w:tcPr>
            <w:tcW w:type="dxa" w:w="2880"/>
          </w:tcPr>
          <w:p>
            <w:r>
              <w:t>Mass</w:t>
            </w:r>
          </w:p>
        </w:tc>
        <w:tc>
          <w:tcPr>
            <w:tcW w:type="dxa" w:w="2880"/>
          </w:tcPr>
          <w:p>
            <w:r>
              <w:t>41.28 g (contract caliber, electrolyte excluded); 49.30 g incl. electrolyte estimate</w:t>
            </w:r>
          </w:p>
        </w:tc>
        <w:tc>
          <w:tcPr>
            <w:tcW w:type="dxa" w:w="2880"/>
          </w:tcPr>
          <w:p>
            <w:r>
              <w:t>cell/r7_final_energy_dfn.json:mass_kg; pore-volume × 1.2 g/cm3 [estimate]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