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Datasheet - VBF-T3R3-DSH-01</w:t>
      </w:r>
    </w:p>
    <w:p>
      <w:r>
        <w:rPr>
          <w:i/>
        </w:rPr>
        <w:t>Power-tool battery cell (NMC811 / graphite, Chen2020 parameter set; champion V12-HiP-final). All values from simulation tool outputs; per-line sources in the value column.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Value / 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Rated capacity (Ah)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5.0 Ah nominal (parameter set); 4.32 Ah verified at 1C (DFN simulation) - meets &gt;= 2 Ah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Nominal voltage / voltage window (V)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1C midpoint 3.778 V (simulated); window 2.5-4.2 V (parameter set)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Rated energy (Wh)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15.70 Wh (V*I time integral over 1C discharge)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Energy density (Wh/kg / Wh/L)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706.3 Wh/kg (contract caliber, electrolyte excluded); 994.1 Wh/L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Maximum continuous discharge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5C verified: capacity retention 98.62% (&gt;= 95% required), T_max 319.57 K (46.4 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Fast-charge capability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4C CC charge at 45 C ambient: T_max 329.75 K (56.6 C) &lt;= 333.15 K; anode potential min +41.7 mV -&gt; no lithium plating. Honest note: CC acceptance 0.811 Ah before the 4.2 V ceiling (effective ~4.6C vs 5 Ah nominal).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Operating temperature range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Simulated at 25 C discharge / 45 C charge ambient; peak simulated temperature 56.6 C &lt;= 60 C limit (lumped thermal)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Cycle life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simulated (requires aging protocol; aging-capable parameter set available)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Safety determination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4C fast charge: plated = false (anode min +41.7 mV &gt; 0); peak temperature 56.6 C within 60 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Dimensions and mass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Layer stack 153.8 um x 65 mm x 1.580 m wound strip (parameter-set geometry); stack mass 22.23 g (calc-energy contract formula, electrolyte excluded; 8.93 g electrolyte fill; enclosure/tabs not modeled - shell dimensions Not provided)</w:t>
            </w:r>
          </w:p>
        </w:tc>
      </w:tr>
    </w:tbl>
    <w:p/>
    <w:p>
      <w:r>
        <w:rPr>
          <w:sz w:val="18"/>
        </w:rPr>
        <w:t>Released under the Virtual Battery Factory delivery package; see calc.xlsx for the derivation chain and design_spec.md for design rationale.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