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实验名称：牛顿环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姓名：刘子澄 学院及专业：人工智能学院计算机类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学号：2012178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组号：I 座号：4 实验日期：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月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日周五上午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观察等厚干涉现象，并利用等厚干涉测量凸透镜表面曲率半径。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了解读数显微镜使用方法。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实验仪器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牛顿环装置（如图1所示），钠灯，读数显微镜。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牛顿环简介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牛顿环是典型的等厚薄膜干涉。将一块曲率半径较大的平凸透镜放在一块玻璃平板上，用单色光照射透镜与玻璃板，就可以观察到一些明暗相间的同心圆环。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牛顿环可用来判断透镜表面凸凹、精确检验光学元件表面质量、测量透镜表面曲率半径和液体折射率。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牛顿环光学原理及公式推导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原理概述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2386965</wp:posOffset>
                </wp:positionV>
                <wp:extent cx="2672715" cy="349250"/>
                <wp:effectExtent l="0" t="0" r="6985" b="635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6155" y="7511415"/>
                          <a:ext cx="267271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2pt;margin-top:187.95pt;height:27.5pt;width:210.45pt;mso-wrap-distance-bottom:0pt;mso-wrap-distance-left:9pt;mso-wrap-distance-right:9pt;mso-wrap-distance-top:0pt;z-index:251660288;mso-width-relative:page;mso-height-relative:page;" fillcolor="#FFFFFF [3201]" filled="t" stroked="f" coordsize="21600,21600" o:gfxdata="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kx&#10;Q1zXAAAACwEAAA8AAAAAAAAAAQAgAAAAIgAAAGRycy9kb3ducmV2LnhtbFBLAQIUABQAAAAIAIdO&#10;4kD4BRc2XQIAAJsEAAAOAAAAAAAAAAEAIAAAACY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2578100</wp:posOffset>
            </wp:positionH>
            <wp:positionV relativeFrom="paragraph">
              <wp:posOffset>7620</wp:posOffset>
            </wp:positionV>
            <wp:extent cx="2779395" cy="2259330"/>
            <wp:effectExtent l="0" t="0" r="1905" b="1270"/>
            <wp:wrapSquare wrapText="bothSides"/>
            <wp:docPr id="1" name="图片 1" descr="牛顿环装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牛顿环装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当曲率半径为R的平凸透镜放置在平板玻璃上时，在透镜和平板玻璃之间形成一个厚度变化着的空气间隙（如图1所示）。当光线垂直照射到其上，从空气间隙的上下表面反射的两光线①、②将在空气间隙的上表面附近实现干涉叠加，两束光之间的光程差△随空气间隙的厚度变化而变化，空气间隙厚度相同处的两束光具有相同的光程差，所以干涉条纹是以接触点为圆心的一组明暗相间的同心圆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公式推导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在图1中，R为待测透镜凸面的曲率半径，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  <w:vertAlign w:val="subscript"/>
          <w:lang w:val="en-US" w:eastAsia="zh-CN"/>
        </w:rPr>
        <w:t>k</w:t>
      </w:r>
      <w:r>
        <w:rPr>
          <w:rFonts w:hint="default"/>
          <w:sz w:val="24"/>
          <w:szCs w:val="24"/>
          <w:lang w:val="en-US" w:eastAsia="zh-CN"/>
        </w:rPr>
        <w:t>是第k级干涉环的半径，d</w:t>
      </w:r>
      <w:r>
        <w:rPr>
          <w:rFonts w:hint="eastAsia"/>
          <w:sz w:val="24"/>
          <w:szCs w:val="24"/>
          <w:vertAlign w:val="subscript"/>
          <w:lang w:val="en-US" w:eastAsia="zh-CN"/>
        </w:rPr>
        <w:t>k</w:t>
      </w:r>
      <w:r>
        <w:rPr>
          <w:rFonts w:hint="default"/>
          <w:sz w:val="24"/>
          <w:szCs w:val="24"/>
          <w:lang w:val="en-US" w:eastAsia="zh-CN"/>
        </w:rPr>
        <w:t>是第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default"/>
          <w:sz w:val="24"/>
          <w:szCs w:val="24"/>
          <w:lang w:val="en-US" w:eastAsia="zh-CN"/>
        </w:rPr>
        <w:t>级干涉环所对应的空气间隙的厚度。如果</w:t>
      </w:r>
      <w:r>
        <w:rPr>
          <w:rFonts w:hint="eastAsia"/>
          <w:sz w:val="24"/>
          <w:szCs w:val="24"/>
          <w:lang w:val="en-US" w:eastAsia="zh-CN"/>
        </w:rPr>
        <w:t>入</w:t>
      </w:r>
      <w:r>
        <w:rPr>
          <w:rFonts w:hint="default"/>
          <w:sz w:val="24"/>
          <w:szCs w:val="24"/>
          <w:lang w:val="en-US" w:eastAsia="zh-CN"/>
        </w:rPr>
        <w:t>射光的波长为</w:t>
      </w:r>
      <w:r>
        <w:rPr>
          <w:rFonts w:hint="eastAsia"/>
          <w:sz w:val="24"/>
          <w:szCs w:val="24"/>
          <w:lang w:val="en-US" w:eastAsia="zh-CN"/>
        </w:rPr>
        <w:t>λ</w:t>
      </w:r>
      <w:r>
        <w:rPr>
          <w:rFonts w:hint="default"/>
          <w:sz w:val="24"/>
          <w:szCs w:val="24"/>
          <w:lang w:val="en-US" w:eastAsia="zh-CN"/>
        </w:rPr>
        <w:t>，则第k级干涉环所对应的光程差为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=2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其中，</w:t>
      </w:r>
      <w:r>
        <w:rPr>
          <w:rFonts w:hint="eastAsia"/>
          <w:sz w:val="24"/>
          <w:szCs w:val="24"/>
          <w:lang w:val="en-US" w:eastAsia="zh-CN"/>
        </w:rPr>
        <w:t>λ</w:t>
      </w:r>
      <w:r>
        <w:rPr>
          <w:rFonts w:hint="default"/>
          <w:sz w:val="24"/>
          <w:szCs w:val="24"/>
          <w:lang w:val="en-US" w:eastAsia="zh-CN"/>
        </w:rPr>
        <w:t>/2为光由光疏介质入射到光密介质时，反射光的半波损失。因此，在接触点处(d</w:t>
      </w:r>
      <w:r>
        <w:rPr>
          <w:rFonts w:hint="eastAsia"/>
          <w:sz w:val="24"/>
          <w:szCs w:val="24"/>
          <w:vertAlign w:val="subscript"/>
          <w:lang w:val="en-US" w:eastAsia="zh-CN"/>
        </w:rPr>
        <w:t>0+</w:t>
      </w:r>
      <w:r>
        <w:rPr>
          <w:rFonts w:hint="default"/>
          <w:sz w:val="24"/>
          <w:szCs w:val="24"/>
          <w:lang w:val="en-US" w:eastAsia="zh-CN"/>
        </w:rPr>
        <w:t>=0)的光程差为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</w:t>
      </w:r>
      <w:r>
        <w:rPr>
          <w:rFonts w:hint="default"/>
          <w:sz w:val="24"/>
          <w:szCs w:val="24"/>
          <w:lang w:val="en-US" w:eastAsia="zh-CN"/>
        </w:rPr>
        <w:t>实际情况中，透镜和平板玻璃接触时，重力和压力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存在</w:t>
      </w:r>
      <w:r>
        <w:rPr>
          <w:rFonts w:hint="eastAsia"/>
          <w:sz w:val="24"/>
          <w:szCs w:val="24"/>
          <w:lang w:val="en-US" w:eastAsia="zh-CN"/>
        </w:rPr>
        <w:t>使</w:t>
      </w:r>
      <w:r>
        <w:rPr>
          <w:rFonts w:hint="default"/>
          <w:sz w:val="24"/>
          <w:szCs w:val="24"/>
          <w:lang w:val="en-US" w:eastAsia="zh-CN"/>
        </w:rPr>
        <w:t>透镜的凸面和平板玻璃均发生形变，两者的接触不再是点接触，而是面接触。因此，牛顿环的零级暗条纹不是个点，而是一个较大的暗斑。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第k级干涉暗环处的光程差为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=2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+</m:t>
              </m:r>
              <m:f>
                <m:f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λ</m:t>
          </m:r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所对应的空气间隙的厚度为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在图1中，因R＞d，所以有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R−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2R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  <w:lang w:val="en-US" w:eastAsia="zh-CN"/>
        </w:rPr>
        <w:t>以上二</w:t>
      </w:r>
      <w:r>
        <w:rPr>
          <w:rFonts w:hint="default"/>
          <w:sz w:val="24"/>
          <w:szCs w:val="24"/>
          <w:lang w:val="en-US" w:eastAsia="zh-CN"/>
        </w:rPr>
        <w:t>式可知，第k级干涉暗环的半径为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rad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  <w:lang w:val="en-US" w:eastAsia="zh-CN"/>
        </w:rPr>
        <w:t>上</w:t>
      </w:r>
      <w:r>
        <w:rPr>
          <w:rFonts w:hint="default"/>
          <w:sz w:val="24"/>
          <w:szCs w:val="24"/>
          <w:lang w:val="en-US" w:eastAsia="zh-CN"/>
        </w:rPr>
        <w:t>式可知，在实验中用给定波长的光进行照明时，只要测得第k级干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涉暗环的半径，就可以得到曲率半径R。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实际测量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由于无法准确确定干涉环的圆心所在位置，这样就不可能准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确地测量干涉环的半径。因此，直接利用</w:t>
      </w:r>
      <w:r>
        <w:rPr>
          <w:rFonts w:hint="eastAsia"/>
          <w:sz w:val="24"/>
          <w:szCs w:val="24"/>
          <w:lang w:val="en-US" w:eastAsia="zh-CN"/>
        </w:rPr>
        <w:t>上</w:t>
      </w:r>
      <w:r>
        <w:rPr>
          <w:rFonts w:hint="default"/>
          <w:sz w:val="24"/>
          <w:szCs w:val="24"/>
          <w:lang w:val="en-US" w:eastAsia="zh-CN"/>
        </w:rPr>
        <w:t>式作为测量公式将对测量结果带来很大的误差。事实上，在测量中可以准确地获得各个级次干涉环的弦长。假设这个弦到圆心的距离是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弦长为l，</w:t>
      </w:r>
      <w:r>
        <w:rPr>
          <w:rFonts w:hint="default"/>
          <w:sz w:val="24"/>
          <w:szCs w:val="24"/>
          <w:lang w:val="en-US" w:eastAsia="zh-CN"/>
        </w:rPr>
        <w:t>几何关系可知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=4</m:t>
          </m:r>
          <m:d>
            <m:d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</w:t>
      </w:r>
      <w:r>
        <w:rPr>
          <w:rFonts w:hint="default"/>
          <w:sz w:val="24"/>
          <w:szCs w:val="24"/>
          <w:lang w:val="en-US" w:eastAsia="zh-CN"/>
        </w:rPr>
        <w:t>以所测弦长与透镜曲率半径之间满足以下关系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Cambria Math"/>
          <w:i w:val="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=4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kR−4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numPr>
          <w:ilvl w:val="0"/>
          <w:numId w:val="3"/>
        </w:numPr>
        <w:ind w:left="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读数显微镜与回空差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读数显微镜是一种常见的、用于长度测量的光学仪器。它由显微系统、移动系统、读数系统和底座四个部分组成。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读数装置是由读数鼓轮和毫米刻度尺组成，一般鼓轮被分为等间距的100格，每格代表为0.01mm。利用这种读数装置进行测量时仪器存在一个系统误差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——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回空差。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回空差来自移动系统所采用的机械结构。如果丝杠旋转，螺母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会被带动，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这时丝杠与螺母之间在运动方向一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侧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有一个啮合间隙。由于读数鼓轮与丝杠同步旋转，鼓轮上的读数变化代表了螺母的移动距离。但如果这时要进行反方向测量，丝杠和螺母之间的啮合间隙必须由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一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边变到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另一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边，鼓轮的读数也发生了变化，但螺母和与它固定在一起的显微镜并未移动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从而产生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回空差。因此，在使用具有鼓轮读数装置的读数显微镜时，只能进行</w:t>
      </w:r>
      <w:r>
        <w:rPr>
          <w:rFonts w:hint="default" w:hAnsi="Cambria Math"/>
          <w:b/>
          <w:bCs/>
          <w:i w:val="0"/>
          <w:sz w:val="24"/>
          <w:szCs w:val="24"/>
          <w:lang w:val="en-US" w:eastAsia="zh-CN"/>
        </w:rPr>
        <w:t>单向测量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Ansi="Cambria Math"/>
          <w:i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实验步骤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36830</wp:posOffset>
            </wp:positionV>
            <wp:extent cx="1676400" cy="1575435"/>
            <wp:effectExtent l="137160" t="137160" r="142240" b="1416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855" cy="15838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 w:hAnsi="Cambria Math"/>
          <w:i w:val="0"/>
          <w:sz w:val="24"/>
          <w:szCs w:val="24"/>
          <w:lang w:val="en-US" w:eastAsia="zh-CN"/>
        </w:rPr>
        <w:t>1、装置调节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（1）按图摆放实验装置，半透半反镜与水平面夹角约45度。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（2）点燃钠灯,几分钟后它将发出明亮的黄光。调节半透半反镜的倾角和左右方向，使显微镜的视场达到最亮；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（3）调节显微镜的目镜,使自己能清楚地看到叉丝，且叉丝方向不倾斜。对显微镜进行调焦,找到干涉条纹,并尽量使叉丝与干涉环的中心重合；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2、测量不同干涉级次环的弦长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测量过程中,为了消除测距显微镜的回空差，应单向测量。</w:t>
      </w:r>
      <w:r>
        <w:rPr>
          <w:rFonts w:hint="eastAsia"/>
          <w:sz w:val="24"/>
          <w:szCs w:val="24"/>
        </w:rPr>
        <w:t>鼓轮至干涉环左侧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级次处</w:t>
      </w:r>
      <w:r>
        <w:rPr>
          <w:rFonts w:hint="eastAsia"/>
          <w:sz w:val="24"/>
          <w:szCs w:val="24"/>
          <w:lang w:val="en-US" w:eastAsia="zh-CN"/>
        </w:rPr>
        <w:t>向反方向旋转，到45级次处每</w:t>
      </w:r>
      <w:r>
        <w:rPr>
          <w:rFonts w:hint="default"/>
          <w:sz w:val="24"/>
          <w:szCs w:val="24"/>
          <w:lang w:val="en-US" w:eastAsia="zh-CN"/>
        </w:rPr>
        <w:t>5环减小环数</w:t>
      </w:r>
      <w:r>
        <w:rPr>
          <w:rFonts w:hint="eastAsia"/>
          <w:sz w:val="24"/>
          <w:szCs w:val="24"/>
          <w:lang w:val="en-US" w:eastAsia="zh-CN"/>
        </w:rPr>
        <w:t>并读</w:t>
      </w:r>
      <w:r>
        <w:rPr>
          <w:rFonts w:hint="default"/>
          <w:sz w:val="24"/>
          <w:szCs w:val="24"/>
          <w:lang w:val="en-US" w:eastAsia="zh-CN"/>
        </w:rPr>
        <w:t>出各环位置</w:t>
      </w:r>
      <w:r>
        <w:rPr>
          <w:rFonts w:hint="eastAsia"/>
          <w:sz w:val="24"/>
          <w:szCs w:val="24"/>
          <w:lang w:val="en-US" w:eastAsia="zh-CN"/>
        </w:rPr>
        <w:t>，直到到达另一侧45级次处，</w:t>
      </w:r>
      <w:r>
        <w:rPr>
          <w:rFonts w:hint="default"/>
          <w:sz w:val="24"/>
          <w:szCs w:val="24"/>
          <w:lang w:val="en-US" w:eastAsia="zh-CN"/>
        </w:rPr>
        <w:t>测完后</w:t>
      </w:r>
      <w:r>
        <w:rPr>
          <w:rFonts w:hint="eastAsia"/>
          <w:sz w:val="24"/>
          <w:szCs w:val="24"/>
          <w:lang w:val="en-US" w:eastAsia="zh-CN"/>
        </w:rPr>
        <w:t>计</w:t>
      </w:r>
      <w:r>
        <w:rPr>
          <w:rFonts w:hint="default"/>
          <w:sz w:val="24"/>
          <w:szCs w:val="24"/>
          <w:lang w:val="en-US" w:eastAsia="zh-CN"/>
        </w:rPr>
        <w:t>算各环弦长。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将测得的结果依弦长的平方为纵坐标，干涉级次为横坐标作图，由该直线的斜率和已知的光源波长算出曲率半径R。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数据处理</w:t>
      </w: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数据记录</w:t>
      </w:r>
    </w:p>
    <w:tbl>
      <w:tblPr>
        <w:tblStyle w:val="3"/>
        <w:tblpPr w:leftFromText="180" w:rightFromText="180" w:vertAnchor="text" w:horzAnchor="margin" w:tblpXSpec="center" w:tblpY="434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30"/>
        <w:gridCol w:w="951"/>
        <w:gridCol w:w="966"/>
        <w:gridCol w:w="966"/>
        <w:gridCol w:w="967"/>
        <w:gridCol w:w="997"/>
        <w:gridCol w:w="935"/>
        <w:gridCol w:w="966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gridSpan w:val="2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干涉级数</w:t>
            </w:r>
          </w:p>
        </w:tc>
        <w:tc>
          <w:tcPr>
            <w:tcW w:w="951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0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6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干涉环位</w:t>
            </w:r>
            <w:r>
              <w:rPr>
                <w:rFonts w:hint="eastAsia"/>
                <w:sz w:val="24"/>
                <w:szCs w:val="24"/>
              </w:rPr>
              <w:t>置/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</w:t>
            </w:r>
            <w:r>
              <w:rPr>
                <w:sz w:val="24"/>
                <w:szCs w:val="24"/>
              </w:rPr>
              <w:t>m</w:t>
            </w:r>
          </w:p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左</w:t>
            </w:r>
          </w:p>
        </w:tc>
        <w:tc>
          <w:tcPr>
            <w:tcW w:w="951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24.818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24.263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23.888</w:t>
            </w:r>
          </w:p>
        </w:tc>
        <w:tc>
          <w:tcPr>
            <w:tcW w:w="9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23.508</w:t>
            </w:r>
          </w:p>
        </w:tc>
        <w:tc>
          <w:tcPr>
            <w:tcW w:w="99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23.111</w:t>
            </w:r>
          </w:p>
        </w:tc>
        <w:tc>
          <w:tcPr>
            <w:tcW w:w="93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22.780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22.480</w:t>
            </w:r>
          </w:p>
        </w:tc>
        <w:tc>
          <w:tcPr>
            <w:tcW w:w="90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22.177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右</w:t>
            </w:r>
          </w:p>
        </w:tc>
        <w:tc>
          <w:tcPr>
            <w:tcW w:w="951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29.832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30.369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30.840</w:t>
            </w:r>
          </w:p>
        </w:tc>
        <w:tc>
          <w:tcPr>
            <w:tcW w:w="9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31.145</w:t>
            </w:r>
          </w:p>
        </w:tc>
        <w:tc>
          <w:tcPr>
            <w:tcW w:w="99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31.602</w:t>
            </w:r>
          </w:p>
        </w:tc>
        <w:tc>
          <w:tcPr>
            <w:tcW w:w="93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31.841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32.068</w:t>
            </w:r>
          </w:p>
        </w:tc>
        <w:tc>
          <w:tcPr>
            <w:tcW w:w="90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32.378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gridSpan w:val="2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弦长/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951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5.014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6.106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6.952</w:t>
            </w:r>
          </w:p>
        </w:tc>
        <w:tc>
          <w:tcPr>
            <w:tcW w:w="9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7.637</w:t>
            </w:r>
          </w:p>
        </w:tc>
        <w:tc>
          <w:tcPr>
            <w:tcW w:w="99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8.491</w:t>
            </w:r>
          </w:p>
        </w:tc>
        <w:tc>
          <w:tcPr>
            <w:tcW w:w="93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9.061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9.588</w:t>
            </w:r>
          </w:p>
        </w:tc>
        <w:tc>
          <w:tcPr>
            <w:tcW w:w="90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gridSpan w:val="2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弦长平方/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51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25.140196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37.283236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48.330304</w:t>
            </w:r>
          </w:p>
        </w:tc>
        <w:tc>
          <w:tcPr>
            <w:tcW w:w="9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58.323769</w:t>
            </w:r>
          </w:p>
        </w:tc>
        <w:tc>
          <w:tcPr>
            <w:tcW w:w="99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72.097081</w:t>
            </w:r>
          </w:p>
        </w:tc>
        <w:tc>
          <w:tcPr>
            <w:tcW w:w="93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82.101721</w:t>
            </w:r>
          </w:p>
        </w:tc>
        <w:tc>
          <w:tcPr>
            <w:tcW w:w="96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91.929744</w:t>
            </w:r>
          </w:p>
        </w:tc>
        <w:tc>
          <w:tcPr>
            <w:tcW w:w="90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104.060401</w:t>
            </w:r>
          </w:p>
        </w:tc>
      </w:tr>
    </w:tbl>
    <w:p>
      <w:pPr>
        <w:numPr>
          <w:ilvl w:val="0"/>
          <w:numId w:val="0"/>
        </w:numPr>
        <w:ind w:left="420" w:leftChars="0"/>
        <w:jc w:val="center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利用最小二乘法拟合实验曲线，并求透境的曲率半径.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  <w:lang w:val="en-US" w:eastAsia="zh-CN"/>
        </w:rPr>
        <w:t>计算公</w:t>
      </w:r>
      <w:r>
        <w:rPr>
          <w:rFonts w:hint="eastAsia"/>
          <w:sz w:val="24"/>
          <w:szCs w:val="24"/>
        </w:rPr>
        <w:t>式</w:t>
      </w:r>
      <w:r>
        <w:rPr>
          <w:sz w:val="24"/>
          <w:szCs w:val="24"/>
        </w:rPr>
        <w:t>改写成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</m:oMath>
      <w:r>
        <w:rPr>
          <w:sz w:val="24"/>
          <w:szCs w:val="24"/>
        </w:rPr>
        <w:t>=a+bk,其中a= -4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，b</w:t>
      </w:r>
      <w:r>
        <w:rPr>
          <w:sz w:val="24"/>
          <w:szCs w:val="24"/>
        </w:rPr>
        <w:t>=4</w:t>
      </w:r>
      <m:oMath>
        <m:r>
          <m:rPr/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>R，利用下表进行拟合计算</w:t>
      </w:r>
    </w:p>
    <w:bookmarkEnd w:id="0"/>
    <w:p>
      <w:pPr>
        <w:pStyle w:val="5"/>
        <w:ind w:left="432" w:firstLine="0" w:firstLineChars="0"/>
        <w:rPr>
          <w:sz w:val="24"/>
          <w:szCs w:val="24"/>
        </w:rPr>
      </w:pPr>
      <w:r>
        <w:rPr>
          <w:sz w:val="24"/>
          <w:szCs w:val="24"/>
        </w:rPr>
        <w:t>光源波长</w:t>
      </w:r>
      <w:r>
        <w:rPr>
          <w:rFonts w:hint="eastAsia"/>
          <w:sz w:val="24"/>
          <w:szCs w:val="24"/>
        </w:rPr>
        <w:t>：5</w:t>
      </w:r>
      <w:r>
        <w:rPr>
          <w:sz w:val="24"/>
          <w:szCs w:val="24"/>
        </w:rPr>
        <w:t>89.3nm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tbl>
      <w:tblPr>
        <w:tblStyle w:val="3"/>
        <w:tblW w:w="90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062"/>
        <w:gridCol w:w="1487"/>
        <w:gridCol w:w="1484"/>
        <w:gridCol w:w="948"/>
        <w:gridCol w:w="1173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l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p>
                </m:sSubSup>
              </m:oMath>
            </m:oMathPara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l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−</m:t>
                </m:r>
                <m:sSubSup>
                  <m:sSubSupP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p>
                </m:sSubSup>
              </m:oMath>
            </m:oMathPara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k−</m:t>
                </m:r>
                <m:acc>
                  <m:accPr>
                    <m:chr m:val="̅"/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acc>
              </m:oMath>
            </m:oMathPara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k−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eastAsia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e>
                        </m:acc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m:oMathPara>
              <m:oMath>
                <m:d>
                  <m:dP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k−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d>
                  <m:dPr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l</m:t>
                            </m:r>
                            <m:ctrlPr>
                              <w:rPr>
                                <w:rFonts w:hint="eastAsia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e>
                        </m:acc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25.140196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-39.7681105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-17.5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695.9419338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37.283236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-27.6250705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-12.5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345.3133813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48.330304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-16.5780025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124.3350188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58.323769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-6.5845375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16.46134375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72.097081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7.1887745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17.97193625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82.101721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17.1934145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128.9506088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91.929744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27.0214375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337.7679688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 w:asciiTheme="minorAscii" w:hAnsiTheme="minorAsci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104.060401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39.1520945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306.25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685.1616538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Σ</m:t>
                </m:r>
              </m:oMath>
            </m:oMathPara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220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519.266452</w:t>
            </w:r>
          </w:p>
        </w:tc>
        <w:tc>
          <w:tcPr>
            <w:tcW w:w="14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1050</w:t>
            </w:r>
          </w:p>
        </w:tc>
        <w:tc>
          <w:tcPr>
            <w:tcW w:w="20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Theme="minorAscii" w:hAnsiTheme="minorAsci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平均</w:t>
            </w:r>
          </w:p>
        </w:tc>
        <w:tc>
          <w:tcPr>
            <w:tcW w:w="1062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27.5</w:t>
            </w:r>
          </w:p>
        </w:tc>
        <w:tc>
          <w:tcPr>
            <w:tcW w:w="1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64.9083065</w:t>
            </w:r>
          </w:p>
        </w:tc>
        <w:tc>
          <w:tcPr>
            <w:tcW w:w="243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b=</w:t>
            </w:r>
            <m:oMath>
              <m:f>
                <m:fPr>
                  <m:ctrl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Σ</m:t>
                  </m:r>
                  <m:d>
                    <m:dPr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  <m:t>k−</m:t>
                      </m:r>
                      <m:acc>
                        <m:accPr>
                          <m:chr m:val="̅"/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acc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d>
                    <m:dPr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sSubSup>
                        <m:sSubSupP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hint="eastAsia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l</m:t>
                              </m:r>
                              <m:ctrlPr>
                                <w:rPr>
                                  <w:rFonts w:hint="eastAsia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</m:acc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p>
                      </m:sSubSup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Σ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k−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hint="eastAsia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k</m:t>
                              </m:r>
                              <m:ctrlPr>
                                <w:rPr>
                                  <w:rFonts w:hint="eastAsia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</m:acc>
                          <m:ctrl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/>
                <w:sz w:val="24"/>
                <w:szCs w:val="24"/>
                <w:lang w:val="en-US" w:eastAsia="zh-CN"/>
              </w:rPr>
              <w:t>=</w:t>
            </w: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2.2399</w:t>
            </w:r>
            <w:r>
              <w:rPr>
                <w:rFonts w:hint="eastAsia" w:eastAsia="宋体" w:cs="宋体" w:asciiTheme="minorAscii" w:hAnsiTheme="minorAsci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7" w:type="dxa"/>
            <w:gridSpan w:val="7"/>
          </w:tcPr>
          <w:p>
            <w:pPr>
              <w:numPr>
                <w:ilvl w:val="0"/>
                <w:numId w:val="0"/>
              </w:numPr>
              <w:ind w:left="420" w:left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R=b∕4λ=</m:t>
              </m:r>
            </m:oMath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950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mm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72000" cy="2762250"/>
            <wp:effectExtent l="4445" t="4445" r="8255" b="1460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六、考查题：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为什么不能利用式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rad>
      </m:oMath>
      <w:r>
        <w:rPr>
          <w:rFonts w:hint="default"/>
          <w:sz w:val="24"/>
          <w:szCs w:val="24"/>
          <w:lang w:val="en-US" w:eastAsia="zh-CN"/>
        </w:rPr>
        <w:t>作为测量公式？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因为牛顿环的零级暗条纹是一个暗斑,在实际测量中无法准确确定干涉环的圆心所在位置，因此不能准确地测量出干涉环的半径R。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如果实验中采用鼓轮读数装置的读数显微镜，测量中如何避免回空差？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保持鼓轮始终沿同一方向旋转。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为了测量待测透镜的曲率半径，为什么不能对低级次的干涉环进行测量？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因为低级次干涉环容易受到牛顿环装置接触面形变影响，测量会产生较大误差。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为什么在调节半透半反镜时，要求显微镜视场达到最亮？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使入射光垂直牛顿环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在实验装置调整完毕后，怎么样才能在最短的时间内完成所要求的测量任务？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测量过程中,为了消除测距显微镜的回空差，应单向测量。</w:t>
      </w:r>
      <w:r>
        <w:rPr>
          <w:rFonts w:hint="eastAsia"/>
          <w:sz w:val="24"/>
          <w:szCs w:val="24"/>
        </w:rPr>
        <w:t>鼓轮至干涉环左侧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级次处</w:t>
      </w:r>
      <w:r>
        <w:rPr>
          <w:rFonts w:hint="eastAsia"/>
          <w:sz w:val="24"/>
          <w:szCs w:val="24"/>
          <w:lang w:val="en-US" w:eastAsia="zh-CN"/>
        </w:rPr>
        <w:t>向反方向旋转，到45级次处每</w:t>
      </w:r>
      <w:r>
        <w:rPr>
          <w:rFonts w:hint="default"/>
          <w:sz w:val="24"/>
          <w:szCs w:val="24"/>
          <w:lang w:val="en-US" w:eastAsia="zh-CN"/>
        </w:rPr>
        <w:t>5环减小环数</w:t>
      </w:r>
      <w:r>
        <w:rPr>
          <w:rFonts w:hint="eastAsia"/>
          <w:sz w:val="24"/>
          <w:szCs w:val="24"/>
          <w:lang w:val="en-US" w:eastAsia="zh-CN"/>
        </w:rPr>
        <w:t>并读</w:t>
      </w:r>
      <w:r>
        <w:rPr>
          <w:rFonts w:hint="default"/>
          <w:sz w:val="24"/>
          <w:szCs w:val="24"/>
          <w:lang w:val="en-US" w:eastAsia="zh-CN"/>
        </w:rPr>
        <w:t>出各环位置</w:t>
      </w:r>
      <w:r>
        <w:rPr>
          <w:rFonts w:hint="eastAsia"/>
          <w:sz w:val="24"/>
          <w:szCs w:val="24"/>
          <w:lang w:val="en-US" w:eastAsia="zh-CN"/>
        </w:rPr>
        <w:t>，直到到达另一侧45级次处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七、观察白光干涉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白光入射牛顿环应该是外圈红内圈紫，原因是红光波长长，紫光波长短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但是应为波长接近及散射的原因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实际看的第一个亮环是白色的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在白色环边缘可以观察到其他色的环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红的较为明显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其他的不明显</w:t>
      </w:r>
      <w:r>
        <w:rPr>
          <w:rFonts w:hint="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13A35"/>
    <w:multiLevelType w:val="singleLevel"/>
    <w:tmpl w:val="A6E13A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4ADEA3"/>
    <w:multiLevelType w:val="singleLevel"/>
    <w:tmpl w:val="B74ADE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28D13A9"/>
    <w:multiLevelType w:val="singleLevel"/>
    <w:tmpl w:val="E28D13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F81DE4E"/>
    <w:multiLevelType w:val="singleLevel"/>
    <w:tmpl w:val="0F81DE4E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4">
    <w:nsid w:val="1511988B"/>
    <w:multiLevelType w:val="singleLevel"/>
    <w:tmpl w:val="1511988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00000000"/>
    <w:rsid w:val="0217528E"/>
    <w:rsid w:val="15154891"/>
    <w:rsid w:val="1EBE20BB"/>
    <w:rsid w:val="28B304D4"/>
    <w:rsid w:val="2A1D37A7"/>
    <w:rsid w:val="3A5C1FFA"/>
    <w:rsid w:val="3EC26EEA"/>
    <w:rsid w:val="42343765"/>
    <w:rsid w:val="624A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拟合曲线图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"/>
            <c:backward val="10"/>
            <c:dispRSqr val="0"/>
            <c:dispEq val="0"/>
          </c:trendline>
          <c:xVal>
            <c:numRef>
              <c:f>'[新建 XLSX 工作表.xlsx]Sheet1'!$B$2:$B$9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'[新建 XLSX 工作表.xlsx]Sheet1'!$C$2:$C$9</c:f>
              <c:numCache>
                <c:formatCode>General</c:formatCode>
                <c:ptCount val="8"/>
                <c:pt idx="0">
                  <c:v>25.140196</c:v>
                </c:pt>
                <c:pt idx="1">
                  <c:v>37.283236</c:v>
                </c:pt>
                <c:pt idx="2">
                  <c:v>48.330304</c:v>
                </c:pt>
                <c:pt idx="3">
                  <c:v>58.323769</c:v>
                </c:pt>
                <c:pt idx="4">
                  <c:v>72.097081</c:v>
                </c:pt>
                <c:pt idx="5">
                  <c:v>82.101721</c:v>
                </c:pt>
                <c:pt idx="6">
                  <c:v>91.929744</c:v>
                </c:pt>
                <c:pt idx="7">
                  <c:v>104.060401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569091"/>
        <c:axId val="740194130"/>
      </c:scatterChart>
      <c:valAx>
        <c:axId val="1285690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0194130"/>
        <c:crosses val="autoZero"/>
        <c:crossBetween val="midCat"/>
      </c:valAx>
      <c:valAx>
        <c:axId val="7401941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85690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2232</Words>
  <Characters>2908</Characters>
  <Lines>0</Lines>
  <Paragraphs>0</Paragraphs>
  <TotalTime>32</TotalTime>
  <ScaleCrop>false</ScaleCrop>
  <LinksUpToDate>false</LinksUpToDate>
  <CharactersWithSpaces>2914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2021-05-13T11:40:00Z</dcterms:created>
  <dc:creator>liueb</dc:creator>
  <cp:lastModifiedBy>微信用户</cp:lastModifiedBy>
  <dcterms:modified xsi:type="dcterms:W3CDTF">2023-04-26T12:56:29Z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73CA11EF62594AADA706BABEF6F93E66</vt:lpwstr>
  </property>
</Properties>
</file>