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DB" w:rsidRPr="008568DB" w:rsidRDefault="008568DB" w:rsidP="008568DB">
      <w:pPr>
        <w:widowControl/>
        <w:shd w:val="clear" w:color="auto" w:fill="FFFFFF"/>
        <w:spacing w:line="675" w:lineRule="atLeast"/>
        <w:jc w:val="center"/>
        <w:outlineLvl w:val="1"/>
        <w:rPr>
          <w:rFonts w:ascii="微软雅黑" w:eastAsia="微软雅黑" w:hAnsi="微软雅黑" w:cs="宋体"/>
          <w:b/>
          <w:bCs/>
          <w:color w:val="333333"/>
          <w:kern w:val="0"/>
          <w:sz w:val="36"/>
          <w:szCs w:val="36"/>
        </w:rPr>
      </w:pPr>
      <w:r w:rsidRPr="008568DB">
        <w:rPr>
          <w:rFonts w:ascii="微软雅黑" w:eastAsia="微软雅黑" w:hAnsi="微软雅黑" w:cs="宋体" w:hint="eastAsia"/>
          <w:b/>
          <w:bCs/>
          <w:color w:val="333333"/>
          <w:kern w:val="0"/>
          <w:sz w:val="36"/>
          <w:szCs w:val="36"/>
        </w:rPr>
        <w:t>企业会计准则第42号——持有待售的非流动资产、</w:t>
      </w:r>
      <w:proofErr w:type="gramStart"/>
      <w:r w:rsidRPr="008568DB">
        <w:rPr>
          <w:rFonts w:ascii="微软雅黑" w:eastAsia="微软雅黑" w:hAnsi="微软雅黑" w:cs="宋体" w:hint="eastAsia"/>
          <w:b/>
          <w:bCs/>
          <w:color w:val="333333"/>
          <w:kern w:val="0"/>
          <w:sz w:val="36"/>
          <w:szCs w:val="36"/>
        </w:rPr>
        <w:t>处置组</w:t>
      </w:r>
      <w:proofErr w:type="gramEnd"/>
      <w:r w:rsidRPr="008568DB">
        <w:rPr>
          <w:rFonts w:ascii="微软雅黑" w:eastAsia="微软雅黑" w:hAnsi="微软雅黑" w:cs="宋体" w:hint="eastAsia"/>
          <w:b/>
          <w:bCs/>
          <w:color w:val="333333"/>
          <w:kern w:val="0"/>
          <w:sz w:val="36"/>
          <w:szCs w:val="36"/>
        </w:rPr>
        <w:t>和终止经营（财会〔2017〕13号）</w:t>
      </w:r>
    </w:p>
    <w:p w:rsidR="008568DB" w:rsidRPr="008568DB" w:rsidRDefault="008568DB" w:rsidP="008568DB">
      <w:pPr>
        <w:widowControl/>
        <w:shd w:val="clear" w:color="auto" w:fill="FFFFFF"/>
        <w:wordWrap w:val="0"/>
        <w:spacing w:line="378" w:lineRule="atLeast"/>
        <w:ind w:firstLine="480"/>
        <w:jc w:val="center"/>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第一章</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总则</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第一条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为了规范企业持有待售的非流动资产或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的分类、计量和列报，以及终止经营的列报，根据《企业会计准则</w:t>
      </w:r>
      <w:r w:rsidRPr="008568DB">
        <w:rPr>
          <w:rFonts w:ascii="Arial" w:eastAsia="微软雅黑" w:hAnsi="Arial" w:cs="Arial"/>
          <w:color w:val="333333"/>
          <w:kern w:val="0"/>
          <w:sz w:val="24"/>
          <w:szCs w:val="24"/>
        </w:rPr>
        <w:t>——</w:t>
      </w:r>
      <w:r w:rsidRPr="008568DB">
        <w:rPr>
          <w:rFonts w:ascii="宋体" w:eastAsia="宋体" w:hAnsi="宋体" w:cs="Arial"/>
          <w:color w:val="333333"/>
          <w:kern w:val="0"/>
          <w:sz w:val="24"/>
          <w:szCs w:val="24"/>
        </w:rPr>
        <w:t>基本准则》，制定本准则。</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第二条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本准则的分类和列</w:t>
      </w:r>
      <w:proofErr w:type="gramStart"/>
      <w:r w:rsidRPr="008568DB">
        <w:rPr>
          <w:rFonts w:ascii="宋体" w:eastAsia="宋体" w:hAnsi="宋体" w:cs="Arial"/>
          <w:color w:val="333333"/>
          <w:kern w:val="0"/>
          <w:sz w:val="24"/>
          <w:szCs w:val="24"/>
        </w:rPr>
        <w:t>报规定</w:t>
      </w:r>
      <w:proofErr w:type="gramEnd"/>
      <w:r w:rsidRPr="008568DB">
        <w:rPr>
          <w:rFonts w:ascii="宋体" w:eastAsia="宋体" w:hAnsi="宋体" w:cs="Arial"/>
          <w:color w:val="333333"/>
          <w:kern w:val="0"/>
          <w:sz w:val="24"/>
          <w:szCs w:val="24"/>
        </w:rPr>
        <w:t>适用于所有非流动资产和处置组。</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处置组，是指在一项交易中作为整体通过出售或其他方式一并处置的一组资产，以及在该交易中转让的与这些资产直接相关的负债。</w:t>
      </w:r>
      <w:proofErr w:type="gramStart"/>
      <w:r w:rsidRPr="008568DB">
        <w:rPr>
          <w:rFonts w:ascii="宋体" w:eastAsia="宋体" w:hAnsi="宋体" w:cs="Arial"/>
          <w:color w:val="333333"/>
          <w:kern w:val="0"/>
          <w:sz w:val="24"/>
          <w:szCs w:val="24"/>
        </w:rPr>
        <w:t>处置组所属</w:t>
      </w:r>
      <w:proofErr w:type="gramEnd"/>
      <w:r w:rsidRPr="008568DB">
        <w:rPr>
          <w:rFonts w:ascii="宋体" w:eastAsia="宋体" w:hAnsi="宋体" w:cs="Arial"/>
          <w:color w:val="333333"/>
          <w:kern w:val="0"/>
          <w:sz w:val="24"/>
          <w:szCs w:val="24"/>
        </w:rPr>
        <w:t>的资产组或资产组组合按照《企业会计准则第</w:t>
      </w:r>
      <w:r w:rsidRPr="008568DB">
        <w:rPr>
          <w:rFonts w:ascii="Arial" w:eastAsia="微软雅黑" w:hAnsi="Arial" w:cs="Arial"/>
          <w:color w:val="333333"/>
          <w:kern w:val="0"/>
          <w:sz w:val="24"/>
          <w:szCs w:val="24"/>
        </w:rPr>
        <w:t>8</w:t>
      </w:r>
      <w:r w:rsidRPr="008568DB">
        <w:rPr>
          <w:rFonts w:ascii="宋体" w:eastAsia="宋体" w:hAnsi="宋体" w:cs="Arial"/>
          <w:color w:val="333333"/>
          <w:kern w:val="0"/>
          <w:sz w:val="24"/>
          <w:szCs w:val="24"/>
        </w:rPr>
        <w:t>号</w:t>
      </w:r>
      <w:r w:rsidRPr="008568DB">
        <w:rPr>
          <w:rFonts w:ascii="Arial" w:eastAsia="微软雅黑" w:hAnsi="Arial" w:cs="Arial"/>
          <w:color w:val="333333"/>
          <w:kern w:val="0"/>
          <w:sz w:val="24"/>
          <w:szCs w:val="24"/>
        </w:rPr>
        <w:t>——</w:t>
      </w:r>
      <w:r w:rsidRPr="008568DB">
        <w:rPr>
          <w:rFonts w:ascii="宋体" w:eastAsia="宋体" w:hAnsi="宋体" w:cs="Arial"/>
          <w:color w:val="333333"/>
          <w:kern w:val="0"/>
          <w:sz w:val="24"/>
          <w:szCs w:val="24"/>
        </w:rPr>
        <w:t>资产减值》分摊了企业合并中取得的商誉的，该</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应当包含分摊至</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的商誉。</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第三条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本准则的计量规定适用于所有非流动资产，但下列各项的计量适用其他相关会计准则：</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（一）采用公允价值模式进行后续计量的投资性房地产，适用《企业会计准则第</w:t>
      </w:r>
      <w:r w:rsidRPr="008568DB">
        <w:rPr>
          <w:rFonts w:ascii="Arial" w:eastAsia="微软雅黑" w:hAnsi="Arial" w:cs="Arial"/>
          <w:color w:val="333333"/>
          <w:kern w:val="0"/>
          <w:sz w:val="24"/>
          <w:szCs w:val="24"/>
        </w:rPr>
        <w:t>3</w:t>
      </w:r>
      <w:r w:rsidRPr="008568DB">
        <w:rPr>
          <w:rFonts w:ascii="宋体" w:eastAsia="宋体" w:hAnsi="宋体" w:cs="Arial"/>
          <w:color w:val="333333"/>
          <w:kern w:val="0"/>
          <w:sz w:val="24"/>
          <w:szCs w:val="24"/>
        </w:rPr>
        <w:t>号</w:t>
      </w:r>
      <w:r w:rsidRPr="008568DB">
        <w:rPr>
          <w:rFonts w:ascii="Arial" w:eastAsia="微软雅黑" w:hAnsi="Arial" w:cs="Arial"/>
          <w:color w:val="333333"/>
          <w:kern w:val="0"/>
          <w:sz w:val="24"/>
          <w:szCs w:val="24"/>
        </w:rPr>
        <w:t>——</w:t>
      </w:r>
      <w:r w:rsidRPr="008568DB">
        <w:rPr>
          <w:rFonts w:ascii="宋体" w:eastAsia="宋体" w:hAnsi="宋体" w:cs="Arial"/>
          <w:color w:val="333333"/>
          <w:kern w:val="0"/>
          <w:sz w:val="24"/>
          <w:szCs w:val="24"/>
        </w:rPr>
        <w:t>投资性房地产》；</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（二）采用公允价值减去出售费用后的净额计量的生物资产，适用《企业会计准则第</w:t>
      </w:r>
      <w:r w:rsidRPr="008568DB">
        <w:rPr>
          <w:rFonts w:ascii="Arial" w:eastAsia="微软雅黑" w:hAnsi="Arial" w:cs="Arial"/>
          <w:color w:val="333333"/>
          <w:kern w:val="0"/>
          <w:sz w:val="24"/>
          <w:szCs w:val="24"/>
        </w:rPr>
        <w:t>5</w:t>
      </w:r>
      <w:r w:rsidRPr="008568DB">
        <w:rPr>
          <w:rFonts w:ascii="宋体" w:eastAsia="宋体" w:hAnsi="宋体" w:cs="Arial"/>
          <w:color w:val="333333"/>
          <w:kern w:val="0"/>
          <w:sz w:val="24"/>
          <w:szCs w:val="24"/>
        </w:rPr>
        <w:t>号</w:t>
      </w:r>
      <w:r w:rsidRPr="008568DB">
        <w:rPr>
          <w:rFonts w:ascii="Arial" w:eastAsia="微软雅黑" w:hAnsi="Arial" w:cs="Arial"/>
          <w:color w:val="333333"/>
          <w:kern w:val="0"/>
          <w:sz w:val="24"/>
          <w:szCs w:val="24"/>
        </w:rPr>
        <w:t>——</w:t>
      </w:r>
      <w:r w:rsidRPr="008568DB">
        <w:rPr>
          <w:rFonts w:ascii="宋体" w:eastAsia="宋体" w:hAnsi="宋体" w:cs="Arial"/>
          <w:color w:val="333333"/>
          <w:kern w:val="0"/>
          <w:sz w:val="24"/>
          <w:szCs w:val="24"/>
        </w:rPr>
        <w:t>生物资产》；</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（三）职工薪</w:t>
      </w:r>
      <w:proofErr w:type="gramStart"/>
      <w:r w:rsidRPr="008568DB">
        <w:rPr>
          <w:rFonts w:ascii="宋体" w:eastAsia="宋体" w:hAnsi="宋体" w:cs="Arial"/>
          <w:color w:val="333333"/>
          <w:kern w:val="0"/>
          <w:sz w:val="24"/>
          <w:szCs w:val="24"/>
        </w:rPr>
        <w:t>酬</w:t>
      </w:r>
      <w:proofErr w:type="gramEnd"/>
      <w:r w:rsidRPr="008568DB">
        <w:rPr>
          <w:rFonts w:ascii="宋体" w:eastAsia="宋体" w:hAnsi="宋体" w:cs="Arial"/>
          <w:color w:val="333333"/>
          <w:kern w:val="0"/>
          <w:sz w:val="24"/>
          <w:szCs w:val="24"/>
        </w:rPr>
        <w:t>形成的资产，适用《企业会计准则第</w:t>
      </w:r>
      <w:r w:rsidRPr="008568DB">
        <w:rPr>
          <w:rFonts w:ascii="Arial" w:eastAsia="微软雅黑" w:hAnsi="Arial" w:cs="Arial"/>
          <w:color w:val="333333"/>
          <w:kern w:val="0"/>
          <w:sz w:val="24"/>
          <w:szCs w:val="24"/>
        </w:rPr>
        <w:t>9</w:t>
      </w:r>
      <w:r w:rsidRPr="008568DB">
        <w:rPr>
          <w:rFonts w:ascii="宋体" w:eastAsia="宋体" w:hAnsi="宋体" w:cs="Arial"/>
          <w:color w:val="333333"/>
          <w:kern w:val="0"/>
          <w:sz w:val="24"/>
          <w:szCs w:val="24"/>
        </w:rPr>
        <w:t>号</w:t>
      </w:r>
      <w:r w:rsidRPr="008568DB">
        <w:rPr>
          <w:rFonts w:ascii="Arial" w:eastAsia="微软雅黑" w:hAnsi="Arial" w:cs="Arial"/>
          <w:color w:val="333333"/>
          <w:kern w:val="0"/>
          <w:sz w:val="24"/>
          <w:szCs w:val="24"/>
        </w:rPr>
        <w:t>——</w:t>
      </w:r>
      <w:r w:rsidRPr="008568DB">
        <w:rPr>
          <w:rFonts w:ascii="宋体" w:eastAsia="宋体" w:hAnsi="宋体" w:cs="Arial"/>
          <w:color w:val="333333"/>
          <w:kern w:val="0"/>
          <w:sz w:val="24"/>
          <w:szCs w:val="24"/>
        </w:rPr>
        <w:t>职工薪酬》；</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（四）递延所得税资产，适用《企业会计准则第</w:t>
      </w:r>
      <w:r w:rsidRPr="008568DB">
        <w:rPr>
          <w:rFonts w:ascii="Arial" w:eastAsia="微软雅黑" w:hAnsi="Arial" w:cs="Arial"/>
          <w:color w:val="333333"/>
          <w:kern w:val="0"/>
          <w:sz w:val="24"/>
          <w:szCs w:val="24"/>
        </w:rPr>
        <w:t>18</w:t>
      </w:r>
      <w:r w:rsidRPr="008568DB">
        <w:rPr>
          <w:rFonts w:ascii="宋体" w:eastAsia="宋体" w:hAnsi="宋体" w:cs="Arial"/>
          <w:color w:val="333333"/>
          <w:kern w:val="0"/>
          <w:sz w:val="24"/>
          <w:szCs w:val="24"/>
        </w:rPr>
        <w:t>号</w:t>
      </w:r>
      <w:r w:rsidRPr="008568DB">
        <w:rPr>
          <w:rFonts w:ascii="Arial" w:eastAsia="微软雅黑" w:hAnsi="Arial" w:cs="Arial"/>
          <w:color w:val="333333"/>
          <w:kern w:val="0"/>
          <w:sz w:val="24"/>
          <w:szCs w:val="24"/>
        </w:rPr>
        <w:t>——</w:t>
      </w:r>
      <w:r w:rsidRPr="008568DB">
        <w:rPr>
          <w:rFonts w:ascii="宋体" w:eastAsia="宋体" w:hAnsi="宋体" w:cs="Arial"/>
          <w:color w:val="333333"/>
          <w:kern w:val="0"/>
          <w:sz w:val="24"/>
          <w:szCs w:val="24"/>
        </w:rPr>
        <w:t>所得税》；</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（五）由金融工具相关会计准则规范的金融资产，适用金融工具相关会计准则；</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（六）由保险合同相关会计准则规范的保险合同所产生的权利，适用保险合同相关会计准则。</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proofErr w:type="gramStart"/>
      <w:r w:rsidRPr="008568DB">
        <w:rPr>
          <w:rFonts w:ascii="宋体" w:eastAsia="宋体" w:hAnsi="宋体" w:cs="Arial"/>
          <w:color w:val="333333"/>
          <w:kern w:val="0"/>
          <w:sz w:val="24"/>
          <w:szCs w:val="24"/>
        </w:rPr>
        <w:t>处置组包含</w:t>
      </w:r>
      <w:proofErr w:type="gramEnd"/>
      <w:r w:rsidRPr="008568DB">
        <w:rPr>
          <w:rFonts w:ascii="宋体" w:eastAsia="宋体" w:hAnsi="宋体" w:cs="Arial"/>
          <w:color w:val="333333"/>
          <w:kern w:val="0"/>
          <w:sz w:val="24"/>
          <w:szCs w:val="24"/>
        </w:rPr>
        <w:t>适用本准则计量规定的非流动资产的，本准则的计量规定适用于整个处置组。处置组中负债的计量适用相关会计准则。</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第四条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终止经营，是指企业满足下列条件之一的、能够单独区分的组成部分，且该组成部分已经处置或划分为持有待售类别：</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（一）该组成部分代表一项独立的主要业务或一个单独的主要经营地区；</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（二）该组成部分是拟对一项独立的主要业务或一个单独的主要经营地区进行处置的一项相关联计划的一部分；</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（三）该组成部分是专为转售而取得的子公司。</w:t>
      </w:r>
    </w:p>
    <w:p w:rsidR="008568DB" w:rsidRPr="008568DB" w:rsidRDefault="008568DB" w:rsidP="008568DB">
      <w:pPr>
        <w:widowControl/>
        <w:shd w:val="clear" w:color="auto" w:fill="FFFFFF"/>
        <w:wordWrap w:val="0"/>
        <w:spacing w:line="378" w:lineRule="atLeast"/>
        <w:ind w:firstLine="480"/>
        <w:jc w:val="center"/>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第二章</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持有待售的非流动资产或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的分类</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第五条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企业主要通过出售（包括具有商业实质的非货币性资产交换，下同）而非持续使用一项非流动资产或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收回其账面价值的，应当将其划分为持有待售类别。</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第六条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非流动资产或</w:t>
      </w:r>
      <w:proofErr w:type="gramStart"/>
      <w:r w:rsidRPr="008568DB">
        <w:rPr>
          <w:rFonts w:ascii="宋体" w:eastAsia="宋体" w:hAnsi="宋体" w:cs="Arial"/>
          <w:color w:val="333333"/>
          <w:kern w:val="0"/>
          <w:sz w:val="24"/>
          <w:szCs w:val="24"/>
        </w:rPr>
        <w:t>处置组划分</w:t>
      </w:r>
      <w:proofErr w:type="gramEnd"/>
      <w:r w:rsidRPr="008568DB">
        <w:rPr>
          <w:rFonts w:ascii="宋体" w:eastAsia="宋体" w:hAnsi="宋体" w:cs="Arial"/>
          <w:color w:val="333333"/>
          <w:kern w:val="0"/>
          <w:sz w:val="24"/>
          <w:szCs w:val="24"/>
        </w:rPr>
        <w:t>为持有待售类别，应当同时满足下列条件：</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lastRenderedPageBreak/>
        <w:t>（一）根据类似交易中出售此类资产或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的惯例，在当前状况下即可立即出售；</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（二）</w:t>
      </w:r>
      <w:proofErr w:type="gramStart"/>
      <w:r w:rsidRPr="008568DB">
        <w:rPr>
          <w:rFonts w:ascii="宋体" w:eastAsia="宋体" w:hAnsi="宋体" w:cs="Arial"/>
          <w:color w:val="333333"/>
          <w:kern w:val="0"/>
          <w:sz w:val="24"/>
          <w:szCs w:val="24"/>
        </w:rPr>
        <w:t>出售极</w:t>
      </w:r>
      <w:proofErr w:type="gramEnd"/>
      <w:r w:rsidRPr="008568DB">
        <w:rPr>
          <w:rFonts w:ascii="宋体" w:eastAsia="宋体" w:hAnsi="宋体" w:cs="Arial"/>
          <w:color w:val="333333"/>
          <w:kern w:val="0"/>
          <w:sz w:val="24"/>
          <w:szCs w:val="24"/>
        </w:rPr>
        <w:t>可能发生，即企业已经就一项出售计划</w:t>
      </w:r>
      <w:proofErr w:type="gramStart"/>
      <w:r w:rsidRPr="008568DB">
        <w:rPr>
          <w:rFonts w:ascii="宋体" w:eastAsia="宋体" w:hAnsi="宋体" w:cs="Arial"/>
          <w:color w:val="333333"/>
          <w:kern w:val="0"/>
          <w:sz w:val="24"/>
          <w:szCs w:val="24"/>
        </w:rPr>
        <w:t>作出</w:t>
      </w:r>
      <w:proofErr w:type="gramEnd"/>
      <w:r w:rsidRPr="008568DB">
        <w:rPr>
          <w:rFonts w:ascii="宋体" w:eastAsia="宋体" w:hAnsi="宋体" w:cs="Arial"/>
          <w:color w:val="333333"/>
          <w:kern w:val="0"/>
          <w:sz w:val="24"/>
          <w:szCs w:val="24"/>
        </w:rPr>
        <w:t>决议且获得确定的购买承诺，预计出售将在一年内完成。有关规定要求企业相关权力机构或者监管部门批准后方可出售的，应当已经获得批准。</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确定的购买承诺，是指企业与其他方签订的具有法律约束力的购买协议，该协议包含交易价格、时间和足够严厉的违约惩罚等重要条款，使协议出现重大调整或者撤销的可能性极小。</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第七条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企业专为转售而取得的非流动资产或处置组，在取得日满足</w:t>
      </w:r>
      <w:r w:rsidRPr="008568DB">
        <w:rPr>
          <w:rFonts w:ascii="Arial" w:eastAsia="微软雅黑" w:hAnsi="Arial" w:cs="Arial"/>
          <w:color w:val="333333"/>
          <w:kern w:val="0"/>
          <w:sz w:val="24"/>
          <w:szCs w:val="24"/>
        </w:rPr>
        <w:t>“</w:t>
      </w:r>
      <w:r w:rsidRPr="008568DB">
        <w:rPr>
          <w:rFonts w:ascii="宋体" w:eastAsia="宋体" w:hAnsi="宋体" w:cs="Arial"/>
          <w:color w:val="333333"/>
          <w:kern w:val="0"/>
          <w:sz w:val="24"/>
          <w:szCs w:val="24"/>
        </w:rPr>
        <w:t>预计出售将在一年内完成</w:t>
      </w:r>
      <w:r w:rsidRPr="008568DB">
        <w:rPr>
          <w:rFonts w:ascii="Arial" w:eastAsia="微软雅黑" w:hAnsi="Arial" w:cs="Arial"/>
          <w:color w:val="333333"/>
          <w:kern w:val="0"/>
          <w:sz w:val="24"/>
          <w:szCs w:val="24"/>
        </w:rPr>
        <w:t>”</w:t>
      </w:r>
      <w:r w:rsidRPr="008568DB">
        <w:rPr>
          <w:rFonts w:ascii="宋体" w:eastAsia="宋体" w:hAnsi="宋体" w:cs="Arial"/>
          <w:color w:val="333333"/>
          <w:kern w:val="0"/>
          <w:sz w:val="24"/>
          <w:szCs w:val="24"/>
        </w:rPr>
        <w:t>的规定条件，且短期（通常为</w:t>
      </w:r>
      <w:r w:rsidRPr="008568DB">
        <w:rPr>
          <w:rFonts w:ascii="Arial" w:eastAsia="微软雅黑" w:hAnsi="Arial" w:cs="Arial"/>
          <w:color w:val="333333"/>
          <w:kern w:val="0"/>
          <w:sz w:val="24"/>
          <w:szCs w:val="24"/>
        </w:rPr>
        <w:t>3</w:t>
      </w:r>
      <w:r w:rsidRPr="008568DB">
        <w:rPr>
          <w:rFonts w:ascii="宋体" w:eastAsia="宋体" w:hAnsi="宋体" w:cs="Arial"/>
          <w:color w:val="333333"/>
          <w:kern w:val="0"/>
          <w:sz w:val="24"/>
          <w:szCs w:val="24"/>
        </w:rPr>
        <w:t>个月）内很可能满足持有待售类别的其他划分条件的，企业应当在取得日将其划分为持有待售类别。</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第八条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因企业无法控制的下列原因之一，导致非关联方之间的交易未能在一年内完成，且有充分证据表明企业仍然承诺出售非流动资产或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的，企业应当继续将非流动资产或</w:t>
      </w:r>
      <w:proofErr w:type="gramStart"/>
      <w:r w:rsidRPr="008568DB">
        <w:rPr>
          <w:rFonts w:ascii="宋体" w:eastAsia="宋体" w:hAnsi="宋体" w:cs="Arial"/>
          <w:color w:val="333333"/>
          <w:kern w:val="0"/>
          <w:sz w:val="24"/>
          <w:szCs w:val="24"/>
        </w:rPr>
        <w:t>处置组划分</w:t>
      </w:r>
      <w:proofErr w:type="gramEnd"/>
      <w:r w:rsidRPr="008568DB">
        <w:rPr>
          <w:rFonts w:ascii="宋体" w:eastAsia="宋体" w:hAnsi="宋体" w:cs="Arial"/>
          <w:color w:val="333333"/>
          <w:kern w:val="0"/>
          <w:sz w:val="24"/>
          <w:szCs w:val="24"/>
        </w:rPr>
        <w:t>为持有待售类别：</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（一）买方或其他方意外设定导致出售延期的条件，企业针对这些条件已经及时采取行动，且预计能够自设定导致出售延期的条件起一年内顺利化解延期因素；</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（二）因发生罕见情况，导致持有待售的非流动资产或</w:t>
      </w:r>
      <w:proofErr w:type="gramStart"/>
      <w:r w:rsidRPr="008568DB">
        <w:rPr>
          <w:rFonts w:ascii="宋体" w:eastAsia="宋体" w:hAnsi="宋体" w:cs="Arial"/>
          <w:color w:val="333333"/>
          <w:kern w:val="0"/>
          <w:sz w:val="24"/>
          <w:szCs w:val="24"/>
        </w:rPr>
        <w:t>处置组未能</w:t>
      </w:r>
      <w:proofErr w:type="gramEnd"/>
      <w:r w:rsidRPr="008568DB">
        <w:rPr>
          <w:rFonts w:ascii="宋体" w:eastAsia="宋体" w:hAnsi="宋体" w:cs="Arial"/>
          <w:color w:val="333333"/>
          <w:kern w:val="0"/>
          <w:sz w:val="24"/>
          <w:szCs w:val="24"/>
        </w:rPr>
        <w:t>在一年内完成出售，企业在最初一年内已经针对这些新情况采取必要措施且重新满足了持有待售类别的划分条件。</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第九条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持有待售的非流动资产或</w:t>
      </w:r>
      <w:proofErr w:type="gramStart"/>
      <w:r w:rsidRPr="008568DB">
        <w:rPr>
          <w:rFonts w:ascii="宋体" w:eastAsia="宋体" w:hAnsi="宋体" w:cs="Arial"/>
          <w:color w:val="333333"/>
          <w:kern w:val="0"/>
          <w:sz w:val="24"/>
          <w:szCs w:val="24"/>
        </w:rPr>
        <w:t>处置组不再</w:t>
      </w:r>
      <w:proofErr w:type="gramEnd"/>
      <w:r w:rsidRPr="008568DB">
        <w:rPr>
          <w:rFonts w:ascii="宋体" w:eastAsia="宋体" w:hAnsi="宋体" w:cs="Arial"/>
          <w:color w:val="333333"/>
          <w:kern w:val="0"/>
          <w:sz w:val="24"/>
          <w:szCs w:val="24"/>
        </w:rPr>
        <w:t>满足持有待售类别划分条件的，企业不应当继续将其划分为持有待售类别。</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部分资产或负债从持有待售的处置组中移除后，处置组中剩余资产或负债新组成的</w:t>
      </w:r>
      <w:proofErr w:type="gramStart"/>
      <w:r w:rsidRPr="008568DB">
        <w:rPr>
          <w:rFonts w:ascii="宋体" w:eastAsia="宋体" w:hAnsi="宋体" w:cs="Arial"/>
          <w:color w:val="333333"/>
          <w:kern w:val="0"/>
          <w:sz w:val="24"/>
          <w:szCs w:val="24"/>
        </w:rPr>
        <w:t>处置组仍然</w:t>
      </w:r>
      <w:proofErr w:type="gramEnd"/>
      <w:r w:rsidRPr="008568DB">
        <w:rPr>
          <w:rFonts w:ascii="宋体" w:eastAsia="宋体" w:hAnsi="宋体" w:cs="Arial"/>
          <w:color w:val="333333"/>
          <w:kern w:val="0"/>
          <w:sz w:val="24"/>
          <w:szCs w:val="24"/>
        </w:rPr>
        <w:t>满足持有待售类别划分条件的，企业应当将新组成的</w:t>
      </w:r>
      <w:proofErr w:type="gramStart"/>
      <w:r w:rsidRPr="008568DB">
        <w:rPr>
          <w:rFonts w:ascii="宋体" w:eastAsia="宋体" w:hAnsi="宋体" w:cs="Arial"/>
          <w:color w:val="333333"/>
          <w:kern w:val="0"/>
          <w:sz w:val="24"/>
          <w:szCs w:val="24"/>
        </w:rPr>
        <w:t>处置组划分</w:t>
      </w:r>
      <w:proofErr w:type="gramEnd"/>
      <w:r w:rsidRPr="008568DB">
        <w:rPr>
          <w:rFonts w:ascii="宋体" w:eastAsia="宋体" w:hAnsi="宋体" w:cs="Arial"/>
          <w:color w:val="333333"/>
          <w:kern w:val="0"/>
          <w:sz w:val="24"/>
          <w:szCs w:val="24"/>
        </w:rPr>
        <w:t>为持有待售类别，否则应当将满足持有待售类别划分条件的非流动资产单独划分为持有待售类别。</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第十条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企业因出售对子公司的投资等原因导致其丧失对子公司控制权的，无论出售后企业是否保留部分权益性投资，应当在拟出售的对子公司投资满足持有待售类别划分条件时，在母公司个别财务报表中将对子公司投资整体划分为持有待售类别，在合并财务报表中将子公司所有资产和负债划分为持有待售类别。</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第十一条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企业不应当将</w:t>
      </w:r>
      <w:proofErr w:type="gramStart"/>
      <w:r w:rsidRPr="008568DB">
        <w:rPr>
          <w:rFonts w:ascii="宋体" w:eastAsia="宋体" w:hAnsi="宋体" w:cs="Arial"/>
          <w:color w:val="333333"/>
          <w:kern w:val="0"/>
          <w:sz w:val="24"/>
          <w:szCs w:val="24"/>
        </w:rPr>
        <w:t>拟结束</w:t>
      </w:r>
      <w:proofErr w:type="gramEnd"/>
      <w:r w:rsidRPr="008568DB">
        <w:rPr>
          <w:rFonts w:ascii="宋体" w:eastAsia="宋体" w:hAnsi="宋体" w:cs="Arial"/>
          <w:color w:val="333333"/>
          <w:kern w:val="0"/>
          <w:sz w:val="24"/>
          <w:szCs w:val="24"/>
        </w:rPr>
        <w:t>使用而非出售的非流动资产或</w:t>
      </w:r>
      <w:proofErr w:type="gramStart"/>
      <w:r w:rsidRPr="008568DB">
        <w:rPr>
          <w:rFonts w:ascii="宋体" w:eastAsia="宋体" w:hAnsi="宋体" w:cs="Arial"/>
          <w:color w:val="333333"/>
          <w:kern w:val="0"/>
          <w:sz w:val="24"/>
          <w:szCs w:val="24"/>
        </w:rPr>
        <w:t>处置组划分</w:t>
      </w:r>
      <w:proofErr w:type="gramEnd"/>
      <w:r w:rsidRPr="008568DB">
        <w:rPr>
          <w:rFonts w:ascii="宋体" w:eastAsia="宋体" w:hAnsi="宋体" w:cs="Arial"/>
          <w:color w:val="333333"/>
          <w:kern w:val="0"/>
          <w:sz w:val="24"/>
          <w:szCs w:val="24"/>
        </w:rPr>
        <w:t>为持有待售类别。</w:t>
      </w:r>
    </w:p>
    <w:p w:rsidR="008568DB" w:rsidRPr="008568DB" w:rsidRDefault="008568DB" w:rsidP="008568DB">
      <w:pPr>
        <w:widowControl/>
        <w:shd w:val="clear" w:color="auto" w:fill="FFFFFF"/>
        <w:wordWrap w:val="0"/>
        <w:spacing w:line="378" w:lineRule="atLeast"/>
        <w:ind w:firstLine="480"/>
        <w:jc w:val="center"/>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第三章</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持有待售的非流动资产或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的计量</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第十二条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企业将非流动资产或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首次划分为持有待售类别前，应当按照相关会计准则规定计量非流动资产或处置组中各项资产和负债的账面价值。</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lastRenderedPageBreak/>
        <w:t>第十三条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企业初始计量或在资产负债表日重新计量持有待售的非流动资产或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时，其账面价值高于公允价值减去出售费用后的净额的，应当将账面价值</w:t>
      </w:r>
      <w:proofErr w:type="gramStart"/>
      <w:r w:rsidRPr="008568DB">
        <w:rPr>
          <w:rFonts w:ascii="宋体" w:eastAsia="宋体" w:hAnsi="宋体" w:cs="Arial"/>
          <w:color w:val="333333"/>
          <w:kern w:val="0"/>
          <w:sz w:val="24"/>
          <w:szCs w:val="24"/>
        </w:rPr>
        <w:t>减记至</w:t>
      </w:r>
      <w:proofErr w:type="gramEnd"/>
      <w:r w:rsidRPr="008568DB">
        <w:rPr>
          <w:rFonts w:ascii="宋体" w:eastAsia="宋体" w:hAnsi="宋体" w:cs="Arial"/>
          <w:color w:val="333333"/>
          <w:kern w:val="0"/>
          <w:sz w:val="24"/>
          <w:szCs w:val="24"/>
        </w:rPr>
        <w:t>公允价值减去出售费用后的净额，</w:t>
      </w:r>
      <w:proofErr w:type="gramStart"/>
      <w:r w:rsidRPr="008568DB">
        <w:rPr>
          <w:rFonts w:ascii="宋体" w:eastAsia="宋体" w:hAnsi="宋体" w:cs="Arial"/>
          <w:color w:val="333333"/>
          <w:kern w:val="0"/>
          <w:sz w:val="24"/>
          <w:szCs w:val="24"/>
        </w:rPr>
        <w:t>减记的</w:t>
      </w:r>
      <w:proofErr w:type="gramEnd"/>
      <w:r w:rsidRPr="008568DB">
        <w:rPr>
          <w:rFonts w:ascii="宋体" w:eastAsia="宋体" w:hAnsi="宋体" w:cs="Arial"/>
          <w:color w:val="333333"/>
          <w:kern w:val="0"/>
          <w:sz w:val="24"/>
          <w:szCs w:val="24"/>
        </w:rPr>
        <w:t>金额确认为资产减值损失，计入当期损益，同时计提持有待售资产减值准备。</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第十四条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对于取得日划分为持有待售类别的非流动资产或处置组，企业应当在初始计量时比较假定其不划分为持有待售类别情况下的初始计量金额和公允价值减去出售费用后的净额，以两者孰低计量。除企业合并中取得的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外，由非流动资产或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以公允价值减去出售费用后的净额作为初始计量金额而产生的差额，应当计入当期损益。</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第十五条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企业在资产负债表日重新计量持有待售的</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时，应当首先按照相关会计准则规定计量处置组中不适用本准则计量规定的资产和负债的账面价值，然后按照本准则第十三条的规定进行会计处理。</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第十六条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对于持有待售的</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确认的资产减值损失金额，应当先抵减处置组中商誉的账面价值，再根据处置组中适用本准则计量规定的各项非流动资产账面价值所占比重，按比例抵减其账面价值。</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第十七条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后续资产负债表日持有待售的非流动资产公允价值减去出售费用后的净额增加的，</w:t>
      </w:r>
      <w:proofErr w:type="gramStart"/>
      <w:r w:rsidRPr="008568DB">
        <w:rPr>
          <w:rFonts w:ascii="宋体" w:eastAsia="宋体" w:hAnsi="宋体" w:cs="Arial"/>
          <w:color w:val="333333"/>
          <w:kern w:val="0"/>
          <w:sz w:val="24"/>
          <w:szCs w:val="24"/>
        </w:rPr>
        <w:t>以前减记</w:t>
      </w:r>
      <w:proofErr w:type="gramEnd"/>
      <w:r w:rsidRPr="008568DB">
        <w:rPr>
          <w:rFonts w:ascii="宋体" w:eastAsia="宋体" w:hAnsi="宋体" w:cs="Arial"/>
          <w:color w:val="333333"/>
          <w:kern w:val="0"/>
          <w:sz w:val="24"/>
          <w:szCs w:val="24"/>
        </w:rPr>
        <w:t>的金额应当予以恢复，并在划分为持有待售类别后确认的资产减值损失金额内转回，转回金额计入当期损益。划分为持有待售类别前确认的资产减值损失不得转回。</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第十八条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后续资产负债表日持有待售的</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公允价值减去出售费用后的净额增加的，</w:t>
      </w:r>
      <w:proofErr w:type="gramStart"/>
      <w:r w:rsidRPr="008568DB">
        <w:rPr>
          <w:rFonts w:ascii="宋体" w:eastAsia="宋体" w:hAnsi="宋体" w:cs="Arial"/>
          <w:color w:val="333333"/>
          <w:kern w:val="0"/>
          <w:sz w:val="24"/>
          <w:szCs w:val="24"/>
        </w:rPr>
        <w:t>以前减记</w:t>
      </w:r>
      <w:proofErr w:type="gramEnd"/>
      <w:r w:rsidRPr="008568DB">
        <w:rPr>
          <w:rFonts w:ascii="宋体" w:eastAsia="宋体" w:hAnsi="宋体" w:cs="Arial"/>
          <w:color w:val="333333"/>
          <w:kern w:val="0"/>
          <w:sz w:val="24"/>
          <w:szCs w:val="24"/>
        </w:rPr>
        <w:t>的金额应当予以恢复，并在划分为持有待售类别后适用本准则计量规定的非流动资产确认的资产减值损失金额内转回，转回金额计入当期损益。已抵减的商誉账面价值，以及适用本准则计量规定的非流动资产在划分为持有待售类别前确认的资产减值损失不得转回。</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第十九条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持有待售的</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确认的资产减值损失后续转回金额，应当根据处置组中除商誉外适用本准则计量规定的各项非流动资产账面价值所占比重，按比例增加其账面价值。</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第二十条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持有待售的非流动资产或处置组中的非流动资产不应计提折旧或摊销，持有待售的处置组中负债的利息和其他费用应当继续予以确认。</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第二十一条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因不再满足持有待售类别的划分条件而不再继续划分为持有待售类别或非流动资产从持有待售的处置组中移除时，应当按照以下两者孰低计量：</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（一）划分为持有待售类别前的账面价值，按照假定不划分为持有待售类别情况下本应确认的折旧、摊销或减值等进行调整后的金额；</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（二）可收回金额。</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lastRenderedPageBreak/>
        <w:t>第二十二条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企业终止确认持有待售的非流动资产或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时，应当将尚未确认的利得或损失计入当期损益。</w:t>
      </w:r>
    </w:p>
    <w:p w:rsidR="008568DB" w:rsidRPr="008568DB" w:rsidRDefault="008568DB" w:rsidP="008568DB">
      <w:pPr>
        <w:widowControl/>
        <w:shd w:val="clear" w:color="auto" w:fill="FFFFFF"/>
        <w:wordWrap w:val="0"/>
        <w:spacing w:line="378" w:lineRule="atLeast"/>
        <w:ind w:firstLine="480"/>
        <w:jc w:val="center"/>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第四章</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列报</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第二十三条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企业应当在资产负债表中区别于其他资产单独列示持有待售的非流动资产或持有待售的处置组中的资产，区别于其他负债单独列示持有待售的处置组中的负债。持有待售的非流动资产或持有待售的处置组中的资产与持有待售的处置组中的负债不应当相互</w:t>
      </w:r>
      <w:proofErr w:type="gramStart"/>
      <w:r w:rsidRPr="008568DB">
        <w:rPr>
          <w:rFonts w:ascii="宋体" w:eastAsia="宋体" w:hAnsi="宋体" w:cs="Arial"/>
          <w:color w:val="333333"/>
          <w:kern w:val="0"/>
          <w:sz w:val="24"/>
          <w:szCs w:val="24"/>
        </w:rPr>
        <w:t>抵销</w:t>
      </w:r>
      <w:proofErr w:type="gramEnd"/>
      <w:r w:rsidRPr="008568DB">
        <w:rPr>
          <w:rFonts w:ascii="宋体" w:eastAsia="宋体" w:hAnsi="宋体" w:cs="Arial"/>
          <w:color w:val="333333"/>
          <w:kern w:val="0"/>
          <w:sz w:val="24"/>
          <w:szCs w:val="24"/>
        </w:rPr>
        <w:t>，应当分别作为流动资产和流动负债列示。</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第二十四条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企业应当在利润表中分别列示持续经营损益和终止经营损益。不符合终止经营定义的持有待售的非流动资产或处置组，其减值损失和转回金额及处置损益应当作为持续经营损益列报。终止经营的减值损失和转回金额等经营损益及处置损益应当作为终止经营损益列报。</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第二十五条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企业应当在附注中披露下列信息：</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（一）持有待售的非流动资产或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的出售费用和主要类别，以及每个类别的账面价值和公允价值；</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（二）持有待售的非流动资产或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的出售原因、方式和时间安排；</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（三）列报持有待售的非流动资产或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的分部；</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（四）持有待售的非流动资产或持有待售的处置组中的资产确认的减值损失及其转回金额；</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（五）与持有待售的非流动资产或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有关的其他综合收益累计金额；</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（六）终止经营的收入、费用、利润总额、所得税费用（收益）和净利润；</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（七）终止经营的资产或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确认的减值损失及其转回金额；</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（八）终止经营的处置损益总额、所得税费用（收益）和处置净损益；</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（九）终止经营的经营活动、投资活动和筹资活动现金流量净额；</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（十）归属于母公司所有者的持续经营损益和终止经营损益。</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在资产负债表日至财务报告批准报出日之间满足持有待售类别划分条件的，应当作为资产负债表日后非调整事项进行会计处理，并按照本条（一）至（三）的规定进行披露。</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企业专为转售而取得的持有待售的子公司，应当按照本条（二）至（五）和（十）的规定进行披露。</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第二十六条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对于当期首次满足持有待售类别划分条件的非流动资产或处置组，不应当调整可比会计期间资产负债表。</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第二十七条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对于当期列报的终止经营，企业应当在当期财务报表中，将原来作为持续经营损益列报的信息重新作为可比会计期间的终止经营损益列报，并按照本准则第二十五条（六）、（七）、（九）、（十）的规定披露可比会计期间的信息。</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lastRenderedPageBreak/>
        <w:t>第二十八条</w:t>
      </w:r>
      <w:r w:rsidRPr="008568DB">
        <w:rPr>
          <w:rFonts w:ascii="Arial" w:eastAsia="微软雅黑" w:hAnsi="Arial" w:cs="Arial"/>
          <w:color w:val="333333"/>
          <w:kern w:val="0"/>
          <w:sz w:val="24"/>
          <w:szCs w:val="24"/>
        </w:rPr>
        <w:t> </w:t>
      </w:r>
      <w:proofErr w:type="gramStart"/>
      <w:r w:rsidRPr="008568DB">
        <w:rPr>
          <w:rFonts w:ascii="宋体" w:eastAsia="宋体" w:hAnsi="宋体" w:cs="Arial"/>
          <w:color w:val="333333"/>
          <w:kern w:val="0"/>
          <w:sz w:val="24"/>
          <w:szCs w:val="24"/>
        </w:rPr>
        <w:t>拟结束</w:t>
      </w:r>
      <w:proofErr w:type="gramEnd"/>
      <w:r w:rsidRPr="008568DB">
        <w:rPr>
          <w:rFonts w:ascii="宋体" w:eastAsia="宋体" w:hAnsi="宋体" w:cs="Arial"/>
          <w:color w:val="333333"/>
          <w:kern w:val="0"/>
          <w:sz w:val="24"/>
          <w:szCs w:val="24"/>
        </w:rPr>
        <w:t>使用而非出售的</w:t>
      </w:r>
      <w:proofErr w:type="gramStart"/>
      <w:r w:rsidRPr="008568DB">
        <w:rPr>
          <w:rFonts w:ascii="宋体" w:eastAsia="宋体" w:hAnsi="宋体" w:cs="Arial"/>
          <w:color w:val="333333"/>
          <w:kern w:val="0"/>
          <w:sz w:val="24"/>
          <w:szCs w:val="24"/>
        </w:rPr>
        <w:t>处置组满足</w:t>
      </w:r>
      <w:proofErr w:type="gramEnd"/>
      <w:r w:rsidRPr="008568DB">
        <w:rPr>
          <w:rFonts w:ascii="宋体" w:eastAsia="宋体" w:hAnsi="宋体" w:cs="Arial"/>
          <w:color w:val="333333"/>
          <w:kern w:val="0"/>
          <w:sz w:val="24"/>
          <w:szCs w:val="24"/>
        </w:rPr>
        <w:t>终止经营定义中有关组成部分的条件的，应当自停止使用日起作为终止经营列报。</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第二十九条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企业因出售对子公司的投资等原因导致其丧失对子公司控制权，且该子公司符合终止经营定义的，应当在合并利润表中列报相关终止经营损益，并按照本准则第二十五条（六）至（十）的规定进行披露。</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第三十条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企业应当在利润表中将终止经营处置损益的调整金额作为终止经营损益列报，并在附注中披露调整的性质和金额。可能引起调整的情形包括：</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（一）最终确定处置条款，如与买方商定交易价格调整额和补偿金；</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（二）消除与处置相关的不确定因素，如确定卖方保留的环保义务或产品质量保证义务；</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（三）履行与处置相关的职工薪</w:t>
      </w:r>
      <w:proofErr w:type="gramStart"/>
      <w:r w:rsidRPr="008568DB">
        <w:rPr>
          <w:rFonts w:ascii="宋体" w:eastAsia="宋体" w:hAnsi="宋体" w:cs="Arial"/>
          <w:color w:val="333333"/>
          <w:kern w:val="0"/>
          <w:sz w:val="24"/>
          <w:szCs w:val="24"/>
        </w:rPr>
        <w:t>酬</w:t>
      </w:r>
      <w:proofErr w:type="gramEnd"/>
      <w:r w:rsidRPr="008568DB">
        <w:rPr>
          <w:rFonts w:ascii="宋体" w:eastAsia="宋体" w:hAnsi="宋体" w:cs="Arial"/>
          <w:color w:val="333333"/>
          <w:kern w:val="0"/>
          <w:sz w:val="24"/>
          <w:szCs w:val="24"/>
        </w:rPr>
        <w:t>支付义务。</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第三十一条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非流动资产或</w:t>
      </w:r>
      <w:proofErr w:type="gramStart"/>
      <w:r w:rsidRPr="008568DB">
        <w:rPr>
          <w:rFonts w:ascii="宋体" w:eastAsia="宋体" w:hAnsi="宋体" w:cs="Arial"/>
          <w:color w:val="333333"/>
          <w:kern w:val="0"/>
          <w:sz w:val="24"/>
          <w:szCs w:val="24"/>
        </w:rPr>
        <w:t>处置组不再</w:t>
      </w:r>
      <w:proofErr w:type="gramEnd"/>
      <w:r w:rsidRPr="008568DB">
        <w:rPr>
          <w:rFonts w:ascii="宋体" w:eastAsia="宋体" w:hAnsi="宋体" w:cs="Arial"/>
          <w:color w:val="333333"/>
          <w:kern w:val="0"/>
          <w:sz w:val="24"/>
          <w:szCs w:val="24"/>
        </w:rPr>
        <w:t>继续划分为持有待售类别或非流动资产从持有待售的处置组中移除的，企业应当在当期利润表中将非流动资产或</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的账面价值调整金额作为持续经营损益列报。企业的子公司、共同经营、合营企业、联营企业以及部分对合营企业或联营企业的投资不再继续划分为持有待售类别或从持有待售的处置组中移除的，企业应当在当期财务报表中相应调整各个划分为持有待售类别后可比会计期间的比较数据。企业应当在附注中披露下列信息：</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（一）企业改变非流动资产或</w:t>
      </w:r>
      <w:proofErr w:type="gramStart"/>
      <w:r w:rsidRPr="008568DB">
        <w:rPr>
          <w:rFonts w:ascii="宋体" w:eastAsia="宋体" w:hAnsi="宋体" w:cs="Arial"/>
          <w:color w:val="333333"/>
          <w:kern w:val="0"/>
          <w:sz w:val="24"/>
          <w:szCs w:val="24"/>
        </w:rPr>
        <w:t>处置组出售</w:t>
      </w:r>
      <w:proofErr w:type="gramEnd"/>
      <w:r w:rsidRPr="008568DB">
        <w:rPr>
          <w:rFonts w:ascii="宋体" w:eastAsia="宋体" w:hAnsi="宋体" w:cs="Arial"/>
          <w:color w:val="333333"/>
          <w:kern w:val="0"/>
          <w:sz w:val="24"/>
          <w:szCs w:val="24"/>
        </w:rPr>
        <w:t>计划的原因；</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（二）可比会计期间财务报表中受影响的项目名称和影响金额。</w:t>
      </w:r>
      <w:bookmarkStart w:id="0" w:name="_GoBack"/>
      <w:bookmarkEnd w:id="0"/>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第三十二条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终止经营不再满足持有待售类别划分条件的，企业应当在当期财务报表中，将原来作为终止经营损益列报的信息重新作为可比会计期间的持续经营损益列报，并在附注中说明这一事实。</w:t>
      </w:r>
    </w:p>
    <w:p w:rsidR="008568DB" w:rsidRPr="008568DB" w:rsidRDefault="008568DB" w:rsidP="008568DB">
      <w:pPr>
        <w:widowControl/>
        <w:shd w:val="clear" w:color="auto" w:fill="FFFFFF"/>
        <w:wordWrap w:val="0"/>
        <w:spacing w:line="378" w:lineRule="atLeast"/>
        <w:ind w:firstLine="480"/>
        <w:jc w:val="center"/>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第五章</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附则</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第三十三条</w:t>
      </w:r>
      <w:r w:rsidRPr="008568DB">
        <w:rPr>
          <w:rFonts w:ascii="Arial" w:eastAsia="微软雅黑" w:hAnsi="Arial" w:cs="Arial"/>
          <w:color w:val="333333"/>
          <w:kern w:val="0"/>
          <w:sz w:val="24"/>
          <w:szCs w:val="24"/>
        </w:rPr>
        <w:t> </w:t>
      </w:r>
      <w:r w:rsidRPr="008568DB">
        <w:rPr>
          <w:rFonts w:ascii="宋体" w:eastAsia="宋体" w:hAnsi="宋体" w:cs="Arial"/>
          <w:color w:val="333333"/>
          <w:kern w:val="0"/>
          <w:sz w:val="24"/>
          <w:szCs w:val="24"/>
        </w:rPr>
        <w:t>本准则自</w:t>
      </w:r>
      <w:r w:rsidRPr="008568DB">
        <w:rPr>
          <w:rFonts w:ascii="Arial" w:eastAsia="微软雅黑" w:hAnsi="Arial" w:cs="Arial"/>
          <w:color w:val="333333"/>
          <w:kern w:val="0"/>
          <w:sz w:val="24"/>
          <w:szCs w:val="24"/>
        </w:rPr>
        <w:t>2017</w:t>
      </w:r>
      <w:r w:rsidRPr="008568DB">
        <w:rPr>
          <w:rFonts w:ascii="宋体" w:eastAsia="宋体" w:hAnsi="宋体" w:cs="Arial"/>
          <w:color w:val="333333"/>
          <w:kern w:val="0"/>
          <w:sz w:val="24"/>
          <w:szCs w:val="24"/>
        </w:rPr>
        <w:t>年</w:t>
      </w:r>
      <w:r w:rsidRPr="008568DB">
        <w:rPr>
          <w:rFonts w:ascii="Arial" w:eastAsia="微软雅黑" w:hAnsi="Arial" w:cs="Arial"/>
          <w:color w:val="333333"/>
          <w:kern w:val="0"/>
          <w:sz w:val="24"/>
          <w:szCs w:val="24"/>
        </w:rPr>
        <w:t>5</w:t>
      </w:r>
      <w:r w:rsidRPr="008568DB">
        <w:rPr>
          <w:rFonts w:ascii="宋体" w:eastAsia="宋体" w:hAnsi="宋体" w:cs="Arial"/>
          <w:color w:val="333333"/>
          <w:kern w:val="0"/>
          <w:sz w:val="24"/>
          <w:szCs w:val="24"/>
        </w:rPr>
        <w:t>月</w:t>
      </w:r>
      <w:r w:rsidRPr="008568DB">
        <w:rPr>
          <w:rFonts w:ascii="Arial" w:eastAsia="微软雅黑" w:hAnsi="Arial" w:cs="Arial"/>
          <w:color w:val="333333"/>
          <w:kern w:val="0"/>
          <w:sz w:val="24"/>
          <w:szCs w:val="24"/>
        </w:rPr>
        <w:t>28</w:t>
      </w:r>
      <w:r w:rsidRPr="008568DB">
        <w:rPr>
          <w:rFonts w:ascii="宋体" w:eastAsia="宋体" w:hAnsi="宋体" w:cs="Arial"/>
          <w:color w:val="333333"/>
          <w:kern w:val="0"/>
          <w:sz w:val="24"/>
          <w:szCs w:val="24"/>
        </w:rPr>
        <w:t>日起施行。</w:t>
      </w:r>
    </w:p>
    <w:p w:rsidR="008568DB" w:rsidRPr="008568DB" w:rsidRDefault="008568DB" w:rsidP="008568DB">
      <w:pPr>
        <w:widowControl/>
        <w:shd w:val="clear" w:color="auto" w:fill="FFFFFF"/>
        <w:wordWrap w:val="0"/>
        <w:spacing w:line="378" w:lineRule="atLeast"/>
        <w:ind w:firstLine="480"/>
        <w:rPr>
          <w:rFonts w:ascii="微软雅黑" w:eastAsia="微软雅黑" w:hAnsi="微软雅黑" w:cs="宋体" w:hint="eastAsia"/>
          <w:color w:val="333333"/>
          <w:kern w:val="0"/>
          <w:szCs w:val="21"/>
        </w:rPr>
      </w:pPr>
      <w:r w:rsidRPr="008568DB">
        <w:rPr>
          <w:rFonts w:ascii="宋体" w:eastAsia="宋体" w:hAnsi="宋体" w:cs="Arial"/>
          <w:color w:val="333333"/>
          <w:kern w:val="0"/>
          <w:sz w:val="24"/>
          <w:szCs w:val="24"/>
        </w:rPr>
        <w:t>对于本准则施行</w:t>
      </w:r>
      <w:proofErr w:type="gramStart"/>
      <w:r w:rsidRPr="008568DB">
        <w:rPr>
          <w:rFonts w:ascii="宋体" w:eastAsia="宋体" w:hAnsi="宋体" w:cs="Arial"/>
          <w:color w:val="333333"/>
          <w:kern w:val="0"/>
          <w:sz w:val="24"/>
          <w:szCs w:val="24"/>
        </w:rPr>
        <w:t>日存在</w:t>
      </w:r>
      <w:proofErr w:type="gramEnd"/>
      <w:r w:rsidRPr="008568DB">
        <w:rPr>
          <w:rFonts w:ascii="宋体" w:eastAsia="宋体" w:hAnsi="宋体" w:cs="Arial"/>
          <w:color w:val="333333"/>
          <w:kern w:val="0"/>
          <w:sz w:val="24"/>
          <w:szCs w:val="24"/>
        </w:rPr>
        <w:t>的持有待售的非流动资产、</w:t>
      </w:r>
      <w:proofErr w:type="gramStart"/>
      <w:r w:rsidRPr="008568DB">
        <w:rPr>
          <w:rFonts w:ascii="宋体" w:eastAsia="宋体" w:hAnsi="宋体" w:cs="Arial"/>
          <w:color w:val="333333"/>
          <w:kern w:val="0"/>
          <w:sz w:val="24"/>
          <w:szCs w:val="24"/>
        </w:rPr>
        <w:t>处置组</w:t>
      </w:r>
      <w:proofErr w:type="gramEnd"/>
      <w:r w:rsidRPr="008568DB">
        <w:rPr>
          <w:rFonts w:ascii="宋体" w:eastAsia="宋体" w:hAnsi="宋体" w:cs="Arial"/>
          <w:color w:val="333333"/>
          <w:kern w:val="0"/>
          <w:sz w:val="24"/>
          <w:szCs w:val="24"/>
        </w:rPr>
        <w:t>和终止经营，应当采用未来适用法处理。</w:t>
      </w:r>
    </w:p>
    <w:p w:rsidR="00495D34" w:rsidRPr="008568DB" w:rsidRDefault="00495D34"/>
    <w:sectPr w:rsidR="00495D34" w:rsidRPr="008568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515"/>
    <w:rsid w:val="001F3515"/>
    <w:rsid w:val="00495D34"/>
    <w:rsid w:val="0085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030CF-0310-44FA-A3E4-1DDB46B4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568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568DB"/>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619369">
      <w:bodyDiv w:val="1"/>
      <w:marLeft w:val="0"/>
      <w:marRight w:val="0"/>
      <w:marTop w:val="0"/>
      <w:marBottom w:val="0"/>
      <w:divBdr>
        <w:top w:val="none" w:sz="0" w:space="0" w:color="auto"/>
        <w:left w:val="none" w:sz="0" w:space="0" w:color="auto"/>
        <w:bottom w:val="none" w:sz="0" w:space="0" w:color="auto"/>
        <w:right w:val="none" w:sz="0" w:space="0" w:color="auto"/>
      </w:divBdr>
      <w:divsChild>
        <w:div w:id="1686974059">
          <w:marLeft w:val="0"/>
          <w:marRight w:val="0"/>
          <w:marTop w:val="0"/>
          <w:marBottom w:val="0"/>
          <w:divBdr>
            <w:top w:val="none" w:sz="0" w:space="0" w:color="auto"/>
            <w:left w:val="none" w:sz="0" w:space="0" w:color="auto"/>
            <w:bottom w:val="none" w:sz="0" w:space="0" w:color="auto"/>
            <w:right w:val="none" w:sz="0" w:space="0" w:color="auto"/>
          </w:divBdr>
          <w:divsChild>
            <w:div w:id="1453207418">
              <w:marLeft w:val="0"/>
              <w:marRight w:val="0"/>
              <w:marTop w:val="0"/>
              <w:marBottom w:val="0"/>
              <w:divBdr>
                <w:top w:val="none" w:sz="0" w:space="0" w:color="auto"/>
                <w:left w:val="none" w:sz="0" w:space="0" w:color="auto"/>
                <w:bottom w:val="none" w:sz="0" w:space="0" w:color="auto"/>
                <w:right w:val="none" w:sz="0" w:space="0" w:color="auto"/>
              </w:divBdr>
              <w:divsChild>
                <w:div w:id="665287948">
                  <w:marLeft w:val="0"/>
                  <w:marRight w:val="0"/>
                  <w:marTop w:val="0"/>
                  <w:marBottom w:val="0"/>
                  <w:divBdr>
                    <w:top w:val="none" w:sz="0" w:space="0" w:color="auto"/>
                    <w:left w:val="none" w:sz="0" w:space="0" w:color="auto"/>
                    <w:bottom w:val="none" w:sz="0" w:space="0" w:color="auto"/>
                    <w:right w:val="none" w:sz="0" w:space="0" w:color="auto"/>
                  </w:divBdr>
                  <w:divsChild>
                    <w:div w:id="704982527">
                      <w:marLeft w:val="0"/>
                      <w:marRight w:val="0"/>
                      <w:marTop w:val="0"/>
                      <w:marBottom w:val="0"/>
                      <w:divBdr>
                        <w:top w:val="none" w:sz="0" w:space="0" w:color="auto"/>
                        <w:left w:val="none" w:sz="0" w:space="0" w:color="auto"/>
                        <w:bottom w:val="none" w:sz="0" w:space="0" w:color="auto"/>
                        <w:right w:val="none" w:sz="0" w:space="0" w:color="auto"/>
                      </w:divBdr>
                      <w:divsChild>
                        <w:div w:id="11829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GXDF</dc:creator>
  <cp:keywords/>
  <dc:description/>
  <cp:lastModifiedBy>GXDF</cp:lastModifiedBy>
  <cp:revision>2</cp:revision>
  <dcterms:created xsi:type="dcterms:W3CDTF">2023-11-13T02:30:00Z</dcterms:created>
  <dcterms:modified xsi:type="dcterms:W3CDTF">2023-11-13T02:30:00Z</dcterms:modified>
</cp:coreProperties>
</file>