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77B49">
      <w:pPr>
        <w:spacing w:line="360" w:lineRule="auto"/>
        <w:jc w:val="left"/>
        <w:rPr>
          <w:rFonts w:ascii="宋体" w:hAnsi="宋体"/>
          <w:bCs/>
        </w:rPr>
      </w:pPr>
    </w:p>
    <w:p w14:paraId="0A89EDBF">
      <w:pPr>
        <w:spacing w:line="360" w:lineRule="auto"/>
        <w:jc w:val="center"/>
        <w:rPr>
          <w:rFonts w:ascii="宋体" w:hAnsi="宋体"/>
          <w:bCs/>
        </w:rPr>
      </w:pPr>
    </w:p>
    <w:p w14:paraId="17FDBCCE">
      <w:pPr>
        <w:spacing w:line="360" w:lineRule="auto"/>
        <w:jc w:val="center"/>
        <w:rPr>
          <w:rFonts w:ascii="宋体" w:hAnsi="宋体"/>
          <w:bCs/>
        </w:rPr>
      </w:pPr>
    </w:p>
    <w:p w14:paraId="6B76CFCE">
      <w:pPr>
        <w:spacing w:line="360" w:lineRule="auto"/>
        <w:jc w:val="center"/>
        <w:rPr>
          <w:rFonts w:ascii="宋体" w:hAnsi="宋体"/>
          <w:bCs/>
        </w:rPr>
      </w:pPr>
    </w:p>
    <w:p w14:paraId="2247219B">
      <w:pPr>
        <w:spacing w:line="360" w:lineRule="auto"/>
        <w:jc w:val="center"/>
        <w:rPr>
          <w:rFonts w:ascii="宋体" w:hAnsi="宋体"/>
          <w:bCs/>
        </w:rPr>
      </w:pPr>
    </w:p>
    <w:p w14:paraId="2D2201B2">
      <w:pPr>
        <w:spacing w:line="360" w:lineRule="auto"/>
        <w:jc w:val="center"/>
        <w:rPr>
          <w:rFonts w:eastAsia="楷体_GB2312"/>
          <w:b/>
          <w:kern w:val="0"/>
          <w:sz w:val="52"/>
          <w:szCs w:val="72"/>
        </w:rPr>
      </w:pPr>
      <w:r>
        <w:rPr>
          <w:rFonts w:hint="eastAsia" w:eastAsia="楷体_GB2312"/>
          <w:b/>
          <w:kern w:val="0"/>
          <w:sz w:val="52"/>
          <w:szCs w:val="72"/>
          <w:lang w:val="en-US" w:eastAsia="zh-CN"/>
        </w:rPr>
        <w:t>国元元信（国元证券私有化企业微信）</w:t>
      </w:r>
    </w:p>
    <w:p w14:paraId="4747E09A">
      <w:pPr>
        <w:pStyle w:val="168"/>
      </w:pPr>
      <w:r>
        <w:rPr>
          <w:rFonts w:hint="eastAsia"/>
        </w:rPr>
        <w:t>技术测试报告</w:t>
      </w:r>
    </w:p>
    <w:p w14:paraId="5CAF4579">
      <w:pPr>
        <w:spacing w:line="360" w:lineRule="auto"/>
        <w:jc w:val="center"/>
        <w:rPr>
          <w:rFonts w:ascii="宋体" w:hAnsi="宋体"/>
          <w:bCs/>
        </w:rPr>
      </w:pPr>
    </w:p>
    <w:p w14:paraId="17DF638A">
      <w:pPr>
        <w:spacing w:line="360" w:lineRule="auto"/>
        <w:jc w:val="center"/>
        <w:rPr>
          <w:rFonts w:ascii="宋体" w:hAnsi="宋体"/>
          <w:bCs/>
        </w:rPr>
      </w:pPr>
    </w:p>
    <w:p w14:paraId="6854DAE5">
      <w:pPr>
        <w:spacing w:line="360" w:lineRule="auto"/>
        <w:jc w:val="center"/>
        <w:rPr>
          <w:rFonts w:ascii="宋体" w:hAnsi="宋体"/>
          <w:bCs/>
        </w:rPr>
      </w:pPr>
    </w:p>
    <w:p w14:paraId="4B40AD20">
      <w:pPr>
        <w:spacing w:line="360" w:lineRule="auto"/>
        <w:jc w:val="center"/>
        <w:rPr>
          <w:rFonts w:ascii="宋体" w:hAnsi="宋体"/>
          <w:bCs/>
        </w:rPr>
      </w:pPr>
    </w:p>
    <w:p w14:paraId="2CB9BC45">
      <w:pPr>
        <w:spacing w:line="360" w:lineRule="auto"/>
        <w:jc w:val="both"/>
        <w:rPr>
          <w:rFonts w:ascii="宋体" w:hAnsi="宋体"/>
          <w:bCs/>
        </w:rPr>
      </w:pPr>
    </w:p>
    <w:tbl>
      <w:tblPr>
        <w:tblStyle w:val="36"/>
        <w:tblpPr w:leftFromText="180" w:rightFromText="180" w:vertAnchor="text" w:horzAnchor="margin" w:tblpXSpec="center" w:tblpY="2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2899"/>
        <w:gridCol w:w="1268"/>
        <w:gridCol w:w="1854"/>
      </w:tblGrid>
      <w:tr w14:paraId="526E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615" w:type="dxa"/>
            <w:shd w:val="clear" w:color="auto" w:fill="E0E0E0"/>
            <w:noWrap w:val="0"/>
            <w:vAlign w:val="center"/>
          </w:tcPr>
          <w:p w14:paraId="6424A3C2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文档编号</w:t>
            </w:r>
          </w:p>
        </w:tc>
        <w:tc>
          <w:tcPr>
            <w:tcW w:w="2899" w:type="dxa"/>
            <w:shd w:val="clear" w:color="auto" w:fill="auto"/>
            <w:noWrap w:val="0"/>
            <w:vAlign w:val="center"/>
          </w:tcPr>
          <w:p w14:paraId="6BBC3A26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GYZQ-WX-T-01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68" w:type="dxa"/>
            <w:shd w:val="clear" w:color="auto" w:fill="D9D9D9"/>
            <w:noWrap w:val="0"/>
            <w:vAlign w:val="center"/>
          </w:tcPr>
          <w:p w14:paraId="4DD1E6B5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版 本</w:t>
            </w:r>
          </w:p>
        </w:tc>
        <w:tc>
          <w:tcPr>
            <w:tcW w:w="1854" w:type="dxa"/>
            <w:noWrap w:val="0"/>
            <w:vAlign w:val="center"/>
          </w:tcPr>
          <w:p w14:paraId="01EE0BA4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V1.0</w:t>
            </w:r>
          </w:p>
        </w:tc>
      </w:tr>
      <w:tr w14:paraId="2D78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615" w:type="dxa"/>
            <w:shd w:val="clear" w:color="auto" w:fill="E0E0E0"/>
            <w:noWrap w:val="0"/>
            <w:vAlign w:val="center"/>
          </w:tcPr>
          <w:p w14:paraId="7CD08EDC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 写 人</w:t>
            </w:r>
          </w:p>
        </w:tc>
        <w:tc>
          <w:tcPr>
            <w:tcW w:w="2899" w:type="dxa"/>
            <w:shd w:val="clear" w:color="auto" w:fill="auto"/>
            <w:noWrap w:val="0"/>
            <w:vAlign w:val="center"/>
          </w:tcPr>
          <w:p w14:paraId="2447A142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王昭</w:t>
            </w:r>
          </w:p>
        </w:tc>
        <w:tc>
          <w:tcPr>
            <w:tcW w:w="1268" w:type="dxa"/>
            <w:shd w:val="clear" w:color="auto" w:fill="E0E0E0"/>
            <w:noWrap w:val="0"/>
            <w:vAlign w:val="center"/>
          </w:tcPr>
          <w:p w14:paraId="560AB850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编写日期</w:t>
            </w:r>
          </w:p>
        </w:tc>
        <w:tc>
          <w:tcPr>
            <w:tcW w:w="1854" w:type="dxa"/>
            <w:noWrap w:val="0"/>
            <w:vAlign w:val="center"/>
          </w:tcPr>
          <w:p w14:paraId="645EDFD4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6.06.30</w:t>
            </w:r>
          </w:p>
        </w:tc>
      </w:tr>
      <w:tr w14:paraId="64B2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615" w:type="dxa"/>
            <w:shd w:val="clear" w:color="auto" w:fill="E0E0E0"/>
            <w:noWrap w:val="0"/>
            <w:vAlign w:val="center"/>
          </w:tcPr>
          <w:p w14:paraId="62EE0089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 核 人</w:t>
            </w:r>
          </w:p>
        </w:tc>
        <w:tc>
          <w:tcPr>
            <w:tcW w:w="2899" w:type="dxa"/>
            <w:shd w:val="clear" w:color="auto" w:fill="auto"/>
            <w:noWrap w:val="0"/>
            <w:vAlign w:val="center"/>
          </w:tcPr>
          <w:p w14:paraId="084D7374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8" w:type="dxa"/>
            <w:shd w:val="clear" w:color="auto" w:fill="E0E0E0"/>
            <w:noWrap w:val="0"/>
            <w:vAlign w:val="center"/>
          </w:tcPr>
          <w:p w14:paraId="45B6B7CA">
            <w:pPr>
              <w:pStyle w:val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审核日期</w:t>
            </w:r>
          </w:p>
        </w:tc>
        <w:tc>
          <w:tcPr>
            <w:tcW w:w="1854" w:type="dxa"/>
            <w:noWrap w:val="0"/>
            <w:vAlign w:val="center"/>
          </w:tcPr>
          <w:p w14:paraId="185B49BE">
            <w:pPr>
              <w:pStyle w:val="169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9B23D02">
      <w:pPr>
        <w:spacing w:line="360" w:lineRule="auto"/>
        <w:jc w:val="center"/>
        <w:rPr>
          <w:rFonts w:ascii="宋体" w:hAnsi="宋体"/>
          <w:bCs/>
        </w:rPr>
      </w:pPr>
    </w:p>
    <w:p w14:paraId="68A3EA1F">
      <w:pPr>
        <w:spacing w:line="360" w:lineRule="auto"/>
        <w:jc w:val="center"/>
        <w:rPr>
          <w:rFonts w:ascii="宋体" w:hAnsi="宋体"/>
          <w:bCs/>
        </w:rPr>
      </w:pPr>
      <w:r>
        <w:rPr>
          <w:rFonts w:ascii="宋体" w:hAnsi="宋体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1736725</wp:posOffset>
                </wp:positionH>
                <wp:positionV relativeFrom="line">
                  <wp:posOffset>173355</wp:posOffset>
                </wp:positionV>
                <wp:extent cx="2418080" cy="4889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80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61BA7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4"/>
                              </w:rPr>
                              <w:sym w:font="Symbol" w:char="F0D3"/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国元证券 版权所有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75pt;margin-top:13.65pt;height:38.5pt;width:190.4pt;mso-position-vertical-relative:line;z-index:251659264;mso-width-relative:page;mso-height-relative:page;" filled="f" stroked="f" coordsize="21600,21600" o:gfxdata="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3DgrdUAAAAKAQAA&#10;DwAAAAAAAAABACAAAAAiAAAAZHJzL2Rvd25yZXYueG1sUEsBAhQAFAAAAAgAh07iQOiVX2gcAgAA&#10;IwQAAA4AAAAAAAAAAQAgAAAAJ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61BA7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4"/>
                        </w:rPr>
                        <w:sym w:font="Symbol" w:char="F0D3"/>
                      </w:r>
                      <w:r>
                        <w:rPr>
                          <w:rFonts w:hint="eastAsia"/>
                          <w:sz w:val="22"/>
                        </w:rPr>
                        <w:t>国元证券 版权所有</w:t>
                      </w:r>
                    </w:p>
                  </w:txbxContent>
                </v:textbox>
              </v:shape>
            </w:pict>
          </mc:Fallback>
        </mc:AlternateContent>
      </w:r>
    </w:p>
    <w:p w14:paraId="4ACE8B7C">
      <w:pPr>
        <w:jc w:val="both"/>
        <w:rPr>
          <w:b/>
          <w:bCs/>
          <w:color w:val="000000"/>
        </w:rPr>
      </w:pPr>
    </w:p>
    <w:p w14:paraId="2225B305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文档修订记录</w:t>
      </w:r>
    </w:p>
    <w:p w14:paraId="616E9823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1828"/>
        <w:gridCol w:w="3972"/>
        <w:gridCol w:w="851"/>
        <w:gridCol w:w="1136"/>
      </w:tblGrid>
      <w:tr w14:paraId="3E1C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BB4F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04DDF">
            <w:pPr>
              <w:pStyle w:val="170"/>
              <w:widowControl w:val="0"/>
              <w:spacing w:before="0" w:beforeAutospacing="0" w:after="0" w:afterAutospacing="0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1"/>
              </w:rPr>
              <w:t>日  期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EC1D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修订内容简述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DD2B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7C38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作 者</w:t>
            </w:r>
          </w:p>
        </w:tc>
      </w:tr>
      <w:tr w14:paraId="467A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21F30">
            <w:pPr>
              <w:ind w:right="44" w:rightChars="2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CA33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6-07-07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C9845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国元元信（国元证券私有化企业微信）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86FCD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V1.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05D3D">
            <w:pPr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王昭</w:t>
            </w:r>
          </w:p>
        </w:tc>
      </w:tr>
      <w:tr w14:paraId="599E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C1BB5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2F76C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CB910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7D9A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14D74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0516B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53071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26F5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5D57A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09F2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C4DD3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D7F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66AE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4AE3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6B44E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8F9C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6F0BA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39BE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4E43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AC14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7004BA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687CD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A8E28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A4D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1C486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31D2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09D7A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4BDE4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E2F85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3C8A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38ECA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385B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432E5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7D9EC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1DC54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382D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773D2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9FA1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D78EB"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9DCE6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70CCE"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06B5ECB9">
      <w:pPr>
        <w:pStyle w:val="171"/>
        <w:spacing w:line="360" w:lineRule="auto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备注说明：</w:t>
      </w:r>
    </w:p>
    <w:p w14:paraId="0EE878FE">
      <w:pPr>
        <w:pStyle w:val="15"/>
        <w:spacing w:line="360" w:lineRule="auto"/>
        <w:ind w:firstLine="0"/>
        <w:rPr>
          <w:rFonts w:hint="eastAsia" w:ascii="宋体" w:hAnsi="宋体" w:eastAsia="宋体" w:cs="宋体"/>
          <w:sz w:val="21"/>
          <w:szCs w:val="21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linePitch="312" w:charSpace="0"/>
        </w:sectPr>
      </w:pPr>
      <w:r>
        <w:rPr>
          <w:rFonts w:hint="eastAsia" w:ascii="宋体" w:hAnsi="宋体" w:eastAsia="宋体" w:cs="宋体"/>
          <w:sz w:val="21"/>
          <w:szCs w:val="21"/>
        </w:rPr>
        <w:t>提交全文时，请作者自行修改封面项目名称并检查正文文字的字体、大小、颜色和格式。要求交付件文档字体为：宋体、五号、黑色、非斜体和非下划线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99835953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66AAFA6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t>目录</w:t>
          </w:r>
        </w:p>
        <w:p w14:paraId="47036F20">
          <w:pPr>
            <w:pStyle w:val="28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TOC \o "1-9" \h \u </w:instrText>
            <w:fldChar w:fldCharType="separate"/>
            <w:fldChar w:fldCharType="begin"/>
            <w:instrText xml:space="preserve"> HYPERLINK \l _Toc1007896947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1  测试概况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_Toc1007896947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38D4E373">
          <w:pPr>
            <w:pStyle w:val="31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_Toc372980693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1.1  需求背景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_Toc372980693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0B25D71B">
          <w:pPr>
            <w:pStyle w:val="31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_Toc181741658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1.2  测试要点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_Toc181741658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2B73980C">
          <w:pPr>
            <w:pStyle w:val="28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_Toc810299972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  测试结果分析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_Toc810299972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6A2A11C4">
          <w:pPr>
            <w:pStyle w:val="31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_Toc1517823777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2.1  测试案例执行分析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_Toc1517823777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63A0E8C7">
          <w:pPr>
            <w:pStyle w:val="25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_Toc105977326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2.1.1  总体情况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_Toc105977326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03892221">
          <w:pPr>
            <w:pStyle w:val="25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_Toc896974719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2.1.2  按轮次分析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_Toc896974719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5E28CD68">
          <w:pPr>
            <w:pStyle w:val="31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_Toc118900293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2.2  测试缺陷分析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_Toc118900293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29C047C6">
          <w:pPr>
            <w:pStyle w:val="25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_Toc1197432741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2.2.1  缺陷严重程度分析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_Toc1197432741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348176B6">
          <w:pPr>
            <w:pStyle w:val="25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_Toc1182821950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2.2.2  遗留缺陷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_Toc1182821950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1B466B09">
          <w:pPr>
            <w:pStyle w:val="28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_Toc432393371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3  测试结论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_Toc432393371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095B25AC">
          <w:pPr>
            <w:pStyle w:val="28"/>
            <w:tabs>
              <w:tab w:val="right" w:leader="dot" w:pos="8312"/>
            </w:tabs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begin"/>
            <w:instrText xml:space="preserve"> HYPERLINK \l _Toc150724949 </w:instrText>
            <w:fldChar w:fldCharType="separate"/>
          </w:r>
          <w:r>
            <w:rPr>
              <w:rFonts w:hint="eastAsia" w:ascii="宋体" w:hAnsi="宋体" w:eastAsia="宋体" w:cs="宋体"/>
              <w:i w:val="0"/>
              <w:sz w:val="20"/>
              <w:szCs w:val="20"/>
            </w:rPr>
            <w:t>4  风险与建议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  <w:fldChar w:fldCharType="begin"/>
            <w:instrText xml:space="preserve"> PAGEREF _Toc150724949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  <w:p w14:paraId="3975217A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0"/>
              <w:szCs w:val="20"/>
              <w:lang w:val="en-US" w:eastAsia="en-US" w:bidi="ar-SA"/>
            </w:rPr>
            <w:fldChar w:fldCharType="end"/>
          </w:r>
        </w:p>
      </w:sdtContent>
    </w:sdt>
    <w:p w14:paraId="5776A714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31DAE2AC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201DFE8C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1A207376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3F482EC5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5C2216D8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3CB22B18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6BFB82C0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69953FD8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0D948336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212F51BF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2BCC7087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3ABE4C20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4F2563B4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53BA58A4">
      <w:pPr>
        <w:spacing w:after="80" w:line="360" w:lineRule="exact"/>
        <w:outlineLvl w:val="0"/>
      </w:pPr>
      <w:bookmarkStart w:id="0" w:name="_Toc1007896947"/>
      <w:r>
        <w:rPr>
          <w:rFonts w:ascii="宋体" w:hAnsi="宋体" w:eastAsia="宋体"/>
          <w:b/>
          <w:i w:val="0"/>
          <w:color w:val="000000"/>
          <w:sz w:val="32"/>
          <w:u w:val="none"/>
        </w:rPr>
        <w:t>1  测试概况</w:t>
      </w:r>
      <w:bookmarkEnd w:id="0"/>
    </w:p>
    <w:p w14:paraId="3C447369">
      <w:pPr>
        <w:spacing w:after="80" w:line="360" w:lineRule="exact"/>
        <w:outlineLvl w:val="1"/>
      </w:pPr>
      <w:bookmarkStart w:id="1" w:name="_Toc372980693"/>
      <w:r>
        <w:rPr>
          <w:rFonts w:ascii="宋体" w:hAnsi="宋体" w:eastAsia="宋体"/>
          <w:b/>
          <w:i w:val="0"/>
          <w:color w:val="000000"/>
          <w:sz w:val="28"/>
          <w:u w:val="none"/>
        </w:rPr>
        <w:t>1.1  需求背景</w:t>
      </w:r>
      <w:bookmarkEnd w:id="1"/>
    </w:p>
    <w:p w14:paraId="2F260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ind w:firstLine="420" w:firstLineChars="200"/>
        <w:textAlignment w:val="auto"/>
      </w:pPr>
      <w:r>
        <w:rPr>
          <w:rFonts w:hint="eastAsia" w:ascii="宋体" w:hAnsi="宋体" w:eastAsia="宋体"/>
          <w:i w:val="0"/>
          <w:color w:val="000000"/>
          <w:sz w:val="21"/>
          <w:u w:val="none"/>
          <w:lang w:val="en-US" w:eastAsia="zh-CN"/>
        </w:rPr>
        <w:t>国元元信（国元证券私有化企业微信）</w:t>
      </w:r>
      <w:r>
        <w:rPr>
          <w:rFonts w:ascii="宋体" w:hAnsi="宋体" w:eastAsia="宋体"/>
          <w:i w:val="0"/>
          <w:color w:val="000000"/>
          <w:sz w:val="21"/>
          <w:u w:val="none"/>
        </w:rPr>
        <w:t>V1.0.0版本覆盖管理后台、PC运行端、移动运行端三大平台，包含私有化企微（元信）核心</w:t>
      </w:r>
      <w:bookmarkStart w:id="12" w:name="_GoBack"/>
      <w:bookmarkEnd w:id="12"/>
      <w:r>
        <w:rPr>
          <w:rFonts w:ascii="宋体" w:hAnsi="宋体" w:eastAsia="宋体"/>
          <w:i w:val="0"/>
          <w:color w:val="000000"/>
          <w:sz w:val="21"/>
          <w:u w:val="none"/>
        </w:rPr>
        <w:t>功能模块。本次功能测试旨在验证平台各功能模块的正确性和稳定性。</w:t>
      </w:r>
    </w:p>
    <w:p w14:paraId="0AD78076">
      <w:pPr>
        <w:spacing w:after="80" w:line="360" w:lineRule="exact"/>
        <w:outlineLvl w:val="1"/>
      </w:pPr>
      <w:bookmarkStart w:id="2" w:name="_Toc181741658"/>
      <w:r>
        <w:rPr>
          <w:rFonts w:ascii="宋体" w:hAnsi="宋体" w:eastAsia="宋体"/>
          <w:b/>
          <w:i w:val="0"/>
          <w:color w:val="000000"/>
          <w:sz w:val="28"/>
          <w:u w:val="none"/>
        </w:rPr>
        <w:t>1.2  测试要点</w:t>
      </w:r>
      <w:bookmarkEnd w:id="2"/>
    </w:p>
    <w:p w14:paraId="449DF10D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本次测试共设计测试用例按功能模块设计，覆盖全部功能模块。测试要点如下：</w:t>
      </w:r>
    </w:p>
    <w:tbl>
      <w:tblPr>
        <w:tblStyle w:val="3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BBA9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AF2063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系统名称</w:t>
            </w:r>
          </w:p>
        </w:tc>
        <w:tc>
          <w:tcPr>
            <w:tcW w:w="2771" w:type="dxa"/>
          </w:tcPr>
          <w:p w14:paraId="4A480951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功能模块</w:t>
            </w:r>
          </w:p>
        </w:tc>
        <w:tc>
          <w:tcPr>
            <w:tcW w:w="2771" w:type="dxa"/>
          </w:tcPr>
          <w:p w14:paraId="0905608F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功能名称</w:t>
            </w:r>
          </w:p>
        </w:tc>
      </w:tr>
      <w:tr w14:paraId="5CBFF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1B82163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6EE3B3BD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客户端登录</w:t>
            </w:r>
          </w:p>
        </w:tc>
        <w:tc>
          <w:tcPr>
            <w:tcW w:w="2771" w:type="dxa"/>
          </w:tcPr>
          <w:p w14:paraId="7ACCF0F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手机号登录/微信授权登录/扫码登录</w:t>
            </w:r>
          </w:p>
        </w:tc>
      </w:tr>
      <w:tr w14:paraId="6450A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CD8623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62B3EFCE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通讯录同步</w:t>
            </w:r>
          </w:p>
        </w:tc>
        <w:tc>
          <w:tcPr>
            <w:tcW w:w="2771" w:type="dxa"/>
          </w:tcPr>
          <w:p w14:paraId="63A9BD1C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组织架构/成员/部门/标签管理</w:t>
            </w:r>
          </w:p>
        </w:tc>
      </w:tr>
      <w:tr w14:paraId="6FA81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D10080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180BEC18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消息收发</w:t>
            </w:r>
          </w:p>
        </w:tc>
        <w:tc>
          <w:tcPr>
            <w:tcW w:w="2771" w:type="dxa"/>
          </w:tcPr>
          <w:p w14:paraId="273BCB8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单聊/群聊/消息撤回/文件传输</w:t>
            </w:r>
          </w:p>
        </w:tc>
      </w:tr>
      <w:tr w14:paraId="6C212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05DCC5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50A32295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应用接入</w:t>
            </w:r>
          </w:p>
        </w:tc>
        <w:tc>
          <w:tcPr>
            <w:tcW w:w="2771" w:type="dxa"/>
          </w:tcPr>
          <w:p w14:paraId="7BF11353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应用上架/授权/工作台展示</w:t>
            </w:r>
          </w:p>
        </w:tc>
      </w:tr>
      <w:tr w14:paraId="23763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DF0B30D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5DF019C0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2771" w:type="dxa"/>
          </w:tcPr>
          <w:p w14:paraId="6EAB1223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系统设置/安全策略/审计日志</w:t>
            </w:r>
          </w:p>
        </w:tc>
      </w:tr>
      <w:tr w14:paraId="1A7BE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A07E22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1F6EBA1D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安全网关</w:t>
            </w:r>
          </w:p>
        </w:tc>
        <w:tc>
          <w:tcPr>
            <w:tcW w:w="2771" w:type="dxa"/>
          </w:tcPr>
          <w:p w14:paraId="6A3F73EB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访问控制/IP策略/加密通信</w:t>
            </w:r>
          </w:p>
        </w:tc>
      </w:tr>
      <w:tr w14:paraId="08571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6A3138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3D19852A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客户端PC端</w:t>
            </w:r>
          </w:p>
        </w:tc>
        <w:tc>
          <w:tcPr>
            <w:tcW w:w="2771" w:type="dxa"/>
          </w:tcPr>
          <w:p w14:paraId="011CB7B6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Windows/Mac桌面功能验证</w:t>
            </w:r>
          </w:p>
        </w:tc>
      </w:tr>
      <w:tr w14:paraId="12CE5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DD5CBB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04B65D01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客户端移动端</w:t>
            </w:r>
          </w:p>
        </w:tc>
        <w:tc>
          <w:tcPr>
            <w:tcW w:w="2771" w:type="dxa"/>
          </w:tcPr>
          <w:p w14:paraId="1C4F7A44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iOS/Android功能验证</w:t>
            </w:r>
          </w:p>
        </w:tc>
      </w:tr>
      <w:tr w14:paraId="56F5F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8E441F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07A0EF81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企业微信互通</w:t>
            </w:r>
          </w:p>
        </w:tc>
        <w:tc>
          <w:tcPr>
            <w:tcW w:w="2771" w:type="dxa"/>
          </w:tcPr>
          <w:p w14:paraId="48D04C01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与微信插件/公众号集成</w:t>
            </w:r>
          </w:p>
        </w:tc>
      </w:tr>
      <w:tr w14:paraId="6FE65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692C5D1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08C0A043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数据安全</w:t>
            </w:r>
          </w:p>
        </w:tc>
        <w:tc>
          <w:tcPr>
            <w:tcW w:w="2771" w:type="dxa"/>
          </w:tcPr>
          <w:p w14:paraId="4EFCB619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会话存档/数据备份</w:t>
            </w:r>
          </w:p>
        </w:tc>
      </w:tr>
      <w:tr w14:paraId="0B8CC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E95D07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579CB9A0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系统监控</w:t>
            </w:r>
          </w:p>
        </w:tc>
        <w:tc>
          <w:tcPr>
            <w:tcW w:w="2771" w:type="dxa"/>
          </w:tcPr>
          <w:p w14:paraId="24433916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运行监视/告警/日志</w:t>
            </w:r>
          </w:p>
        </w:tc>
      </w:tr>
      <w:tr w14:paraId="77C42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E56DC9">
            <w:pPr>
              <w:spacing w:before="20" w:after="2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eastAsia="zh-CN"/>
              </w:rPr>
              <w:t>国元元信（国元证券私有化企业微信）</w:t>
            </w:r>
          </w:p>
        </w:tc>
        <w:tc>
          <w:tcPr>
            <w:tcW w:w="2771" w:type="dxa"/>
          </w:tcPr>
          <w:p w14:paraId="1739AFC8">
            <w:pPr>
              <w:spacing w:before="20" w:after="2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第三方对接</w:t>
            </w:r>
          </w:p>
        </w:tc>
        <w:tc>
          <w:tcPr>
            <w:tcW w:w="2771" w:type="dxa"/>
          </w:tcPr>
          <w:p w14:paraId="6D9A233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与智能门户/七巧低码集成</w:t>
            </w:r>
          </w:p>
        </w:tc>
      </w:tr>
    </w:tbl>
    <w:p w14:paraId="7F01634F">
      <w:r>
        <w:br w:type="page"/>
      </w:r>
    </w:p>
    <w:p w14:paraId="5EB71D5F">
      <w:pPr>
        <w:spacing w:after="80" w:line="360" w:lineRule="exact"/>
        <w:outlineLvl w:val="0"/>
      </w:pPr>
      <w:bookmarkStart w:id="3" w:name="_Toc810299972"/>
      <w:r>
        <w:rPr>
          <w:rFonts w:ascii="宋体" w:hAnsi="宋体" w:eastAsia="宋体"/>
          <w:b/>
          <w:i w:val="0"/>
          <w:color w:val="000000"/>
          <w:sz w:val="32"/>
          <w:u w:val="none"/>
        </w:rPr>
        <w:t>2  测试结果分析</w:t>
      </w:r>
      <w:bookmarkEnd w:id="3"/>
    </w:p>
    <w:p w14:paraId="7BB01F59">
      <w:pPr>
        <w:spacing w:after="80" w:line="360" w:lineRule="exact"/>
        <w:outlineLvl w:val="1"/>
      </w:pPr>
      <w:bookmarkStart w:id="4" w:name="_Toc1517823777"/>
      <w:r>
        <w:rPr>
          <w:rFonts w:ascii="宋体" w:hAnsi="宋体" w:eastAsia="宋体"/>
          <w:b/>
          <w:i w:val="0"/>
          <w:color w:val="000000"/>
          <w:sz w:val="28"/>
          <w:u w:val="none"/>
        </w:rPr>
        <w:t>2.1  测试案例执行分析</w:t>
      </w:r>
      <w:bookmarkEnd w:id="4"/>
    </w:p>
    <w:p w14:paraId="269CACB1">
      <w:pPr>
        <w:spacing w:after="80" w:line="360" w:lineRule="exact"/>
        <w:outlineLvl w:val="2"/>
      </w:pPr>
      <w:bookmarkStart w:id="5" w:name="_Toc105977326"/>
      <w:r>
        <w:rPr>
          <w:rFonts w:ascii="宋体" w:hAnsi="宋体" w:eastAsia="宋体"/>
          <w:b/>
          <w:i w:val="0"/>
          <w:color w:val="000000"/>
          <w:sz w:val="24"/>
          <w:u w:val="none"/>
        </w:rPr>
        <w:t>2.1.1  总体情况</w:t>
      </w:r>
      <w:bookmarkEnd w:id="5"/>
    </w:p>
    <w:tbl>
      <w:tblPr>
        <w:tblStyle w:val="3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70B1F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219B3D2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总测试案例数</w:t>
            </w:r>
          </w:p>
        </w:tc>
        <w:tc>
          <w:tcPr>
            <w:tcW w:w="1385" w:type="dxa"/>
          </w:tcPr>
          <w:p w14:paraId="54F1471A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通过案例数</w:t>
            </w:r>
          </w:p>
        </w:tc>
        <w:tc>
          <w:tcPr>
            <w:tcW w:w="1385" w:type="dxa"/>
          </w:tcPr>
          <w:p w14:paraId="6369703B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失败案例数</w:t>
            </w:r>
          </w:p>
        </w:tc>
        <w:tc>
          <w:tcPr>
            <w:tcW w:w="1385" w:type="dxa"/>
          </w:tcPr>
          <w:p w14:paraId="2C5070EB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无效案例数</w:t>
            </w:r>
          </w:p>
        </w:tc>
        <w:tc>
          <w:tcPr>
            <w:tcW w:w="1385" w:type="dxa"/>
          </w:tcPr>
          <w:p w14:paraId="2595D227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通过案例百分比</w:t>
            </w:r>
          </w:p>
        </w:tc>
        <w:tc>
          <w:tcPr>
            <w:tcW w:w="1385" w:type="dxa"/>
          </w:tcPr>
          <w:p w14:paraId="20CF8F1E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失败案例百分比</w:t>
            </w:r>
          </w:p>
        </w:tc>
      </w:tr>
      <w:tr w14:paraId="67321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C96FDF4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170</w:t>
            </w:r>
          </w:p>
        </w:tc>
        <w:tc>
          <w:tcPr>
            <w:tcW w:w="1385" w:type="dxa"/>
          </w:tcPr>
          <w:p w14:paraId="58BD2A51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165</w:t>
            </w:r>
          </w:p>
        </w:tc>
        <w:tc>
          <w:tcPr>
            <w:tcW w:w="1385" w:type="dxa"/>
          </w:tcPr>
          <w:p w14:paraId="6A5405C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385" w:type="dxa"/>
          </w:tcPr>
          <w:p w14:paraId="4FD9E230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385" w:type="dxa"/>
          </w:tcPr>
          <w:p w14:paraId="1F219DF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97.1%</w:t>
            </w:r>
          </w:p>
        </w:tc>
        <w:tc>
          <w:tcPr>
            <w:tcW w:w="1385" w:type="dxa"/>
          </w:tcPr>
          <w:p w14:paraId="5961D0D4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1.8%</w:t>
            </w:r>
          </w:p>
        </w:tc>
      </w:tr>
    </w:tbl>
    <w:p w14:paraId="53560A88">
      <w:pPr>
        <w:spacing w:after="80" w:line="360" w:lineRule="exact"/>
        <w:outlineLvl w:val="2"/>
      </w:pPr>
      <w:bookmarkStart w:id="6" w:name="_Toc896974719"/>
      <w:r>
        <w:rPr>
          <w:rFonts w:ascii="宋体" w:hAnsi="宋体" w:eastAsia="宋体"/>
          <w:b/>
          <w:i w:val="0"/>
          <w:color w:val="000000"/>
          <w:sz w:val="24"/>
          <w:u w:val="none"/>
        </w:rPr>
        <w:t>2.1.2  按轮次分析</w:t>
      </w:r>
      <w:bookmarkEnd w:id="6"/>
    </w:p>
    <w:tbl>
      <w:tblPr>
        <w:tblStyle w:val="3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26AD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D206965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轮  次</w:t>
            </w:r>
          </w:p>
        </w:tc>
        <w:tc>
          <w:tcPr>
            <w:tcW w:w="1385" w:type="dxa"/>
          </w:tcPr>
          <w:p w14:paraId="08DBAB03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测试时间段</w:t>
            </w:r>
          </w:p>
        </w:tc>
        <w:tc>
          <w:tcPr>
            <w:tcW w:w="1385" w:type="dxa"/>
          </w:tcPr>
          <w:p w14:paraId="3A1946CB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本轮缺陷数（个）</w:t>
            </w:r>
          </w:p>
        </w:tc>
        <w:tc>
          <w:tcPr>
            <w:tcW w:w="1385" w:type="dxa"/>
          </w:tcPr>
          <w:p w14:paraId="417FD497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本轮执行案例（个）</w:t>
            </w:r>
          </w:p>
        </w:tc>
        <w:tc>
          <w:tcPr>
            <w:tcW w:w="1385" w:type="dxa"/>
          </w:tcPr>
          <w:p w14:paraId="323B26DB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本轮修复缺陷数（个）</w:t>
            </w:r>
          </w:p>
        </w:tc>
        <w:tc>
          <w:tcPr>
            <w:tcW w:w="1385" w:type="dxa"/>
          </w:tcPr>
          <w:p w14:paraId="6241B7A5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未修复缺陷（个）</w:t>
            </w:r>
          </w:p>
        </w:tc>
      </w:tr>
      <w:tr w14:paraId="7BEA5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6E59826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1385" w:type="dxa"/>
          </w:tcPr>
          <w:p w14:paraId="7261255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2026-07-10</w:t>
            </w:r>
          </w:p>
        </w:tc>
        <w:tc>
          <w:tcPr>
            <w:tcW w:w="1385" w:type="dxa"/>
          </w:tcPr>
          <w:p w14:paraId="48789E9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1385" w:type="dxa"/>
          </w:tcPr>
          <w:p w14:paraId="1524323B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170</w:t>
            </w:r>
          </w:p>
        </w:tc>
        <w:tc>
          <w:tcPr>
            <w:tcW w:w="1385" w:type="dxa"/>
          </w:tcPr>
          <w:p w14:paraId="5CFFFC39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1385" w:type="dxa"/>
          </w:tcPr>
          <w:p w14:paraId="7CA78910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0</w:t>
            </w:r>
          </w:p>
        </w:tc>
      </w:tr>
      <w:tr w14:paraId="6ABE6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534A59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385" w:type="dxa"/>
          </w:tcPr>
          <w:p w14:paraId="0D0A7507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2026-07-11</w:t>
            </w:r>
          </w:p>
        </w:tc>
        <w:tc>
          <w:tcPr>
            <w:tcW w:w="1385" w:type="dxa"/>
          </w:tcPr>
          <w:p w14:paraId="074330EA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385" w:type="dxa"/>
          </w:tcPr>
          <w:p w14:paraId="1981B1AA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168</w:t>
            </w:r>
          </w:p>
        </w:tc>
        <w:tc>
          <w:tcPr>
            <w:tcW w:w="1385" w:type="dxa"/>
          </w:tcPr>
          <w:p w14:paraId="4E566753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385" w:type="dxa"/>
          </w:tcPr>
          <w:p w14:paraId="576CE07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</w:tr>
      <w:tr w14:paraId="051B8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C6CB7AB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385" w:type="dxa"/>
          </w:tcPr>
          <w:p w14:paraId="66C1079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2026-07-12</w:t>
            </w:r>
          </w:p>
        </w:tc>
        <w:tc>
          <w:tcPr>
            <w:tcW w:w="1385" w:type="dxa"/>
          </w:tcPr>
          <w:p w14:paraId="6E9D8F59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1385" w:type="dxa"/>
          </w:tcPr>
          <w:p w14:paraId="2E4C6B0D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165</w:t>
            </w:r>
          </w:p>
        </w:tc>
        <w:tc>
          <w:tcPr>
            <w:tcW w:w="1385" w:type="dxa"/>
          </w:tcPr>
          <w:p w14:paraId="35B3341E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1385" w:type="dxa"/>
          </w:tcPr>
          <w:p w14:paraId="3FB0E1C7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0</w:t>
            </w:r>
          </w:p>
        </w:tc>
      </w:tr>
    </w:tbl>
    <w:p w14:paraId="6E3D3165">
      <w:pPr>
        <w:spacing w:after="80" w:line="360" w:lineRule="exact"/>
        <w:outlineLvl w:val="1"/>
      </w:pPr>
      <w:bookmarkStart w:id="7" w:name="_Toc118900293"/>
      <w:r>
        <w:rPr>
          <w:rFonts w:ascii="宋体" w:hAnsi="宋体" w:eastAsia="宋体"/>
          <w:b/>
          <w:i w:val="0"/>
          <w:color w:val="000000"/>
          <w:sz w:val="28"/>
          <w:u w:val="none"/>
        </w:rPr>
        <w:t>2.2  测试缺陷分析</w:t>
      </w:r>
      <w:bookmarkEnd w:id="7"/>
    </w:p>
    <w:p w14:paraId="4389A56C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本次测试共发现缺陷9个，其中较严重缺陷2个（占比22.2%），一般缺陷4个（占比44.4%），轻微缺陷3个（占比33.3%）。缺陷主要集中在客户端兼容性和第三方对接模块，具体表现为：</w:t>
      </w:r>
    </w:p>
    <w:p w14:paraId="4389A56D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（1）客户端兼容性：部分国产操作系统（银河麒麟V10）下客户端界面显示异常，已通过调整前端渲染逻辑修复；</w:t>
      </w:r>
    </w:p>
    <w:p w14:paraId="4389A56E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（2）第三方对接：智能门户单点登录偶发token超时，已优化超时配置并增加自动刷新机制；</w:t>
      </w:r>
    </w:p>
    <w:p w14:paraId="4389A56F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（3）消息推送：部分场景下消息推送延迟，已优化推送队列及重试策略。</w:t>
      </w:r>
    </w:p>
    <w:p w14:paraId="4389A570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所有缺陷均已完成修复并回归验证，关闭率为100%。</w:t>
      </w:r>
    </w:p>
    <w:p w14:paraId="2314D6F6">
      <w:pPr>
        <w:spacing w:after="80" w:line="360" w:lineRule="exact"/>
        <w:outlineLvl w:val="2"/>
      </w:pPr>
      <w:bookmarkStart w:id="8" w:name="_Toc1197432741"/>
      <w:r>
        <w:rPr>
          <w:rFonts w:ascii="宋体" w:hAnsi="宋体" w:eastAsia="宋体"/>
          <w:b/>
          <w:i w:val="0"/>
          <w:color w:val="000000"/>
          <w:sz w:val="24"/>
          <w:u w:val="none"/>
        </w:rPr>
        <w:t>2.2.1  缺陷严重程度分析</w:t>
      </w:r>
      <w:bookmarkEnd w:id="8"/>
    </w:p>
    <w:tbl>
      <w:tblPr>
        <w:tblStyle w:val="3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EAF4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7B192E4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严  重</w:t>
            </w:r>
          </w:p>
        </w:tc>
        <w:tc>
          <w:tcPr>
            <w:tcW w:w="1662" w:type="dxa"/>
          </w:tcPr>
          <w:p w14:paraId="2D6959B8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较严重</w:t>
            </w:r>
          </w:p>
        </w:tc>
        <w:tc>
          <w:tcPr>
            <w:tcW w:w="1662" w:type="dxa"/>
          </w:tcPr>
          <w:p w14:paraId="0157DDEF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一  般</w:t>
            </w:r>
          </w:p>
        </w:tc>
        <w:tc>
          <w:tcPr>
            <w:tcW w:w="1662" w:type="dxa"/>
          </w:tcPr>
          <w:p w14:paraId="58051888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轻  微</w:t>
            </w:r>
          </w:p>
        </w:tc>
        <w:tc>
          <w:tcPr>
            <w:tcW w:w="1662" w:type="dxa"/>
          </w:tcPr>
          <w:p w14:paraId="22F760BE"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合  计</w:t>
            </w:r>
          </w:p>
        </w:tc>
      </w:tr>
      <w:tr w14:paraId="7E335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8091F03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0</w:t>
            </w:r>
          </w:p>
        </w:tc>
        <w:tc>
          <w:tcPr>
            <w:tcW w:w="1662" w:type="dxa"/>
          </w:tcPr>
          <w:p w14:paraId="106472C5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662" w:type="dxa"/>
          </w:tcPr>
          <w:p w14:paraId="44CC4E54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w="1662" w:type="dxa"/>
          </w:tcPr>
          <w:p w14:paraId="6829DDBA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662" w:type="dxa"/>
          </w:tcPr>
          <w:p w14:paraId="1A89BFFD">
            <w:pPr>
              <w:spacing w:before="20" w:after="2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9</w:t>
            </w:r>
          </w:p>
        </w:tc>
      </w:tr>
    </w:tbl>
    <w:p w14:paraId="687ECFCB">
      <w:pPr>
        <w:spacing w:after="80" w:line="360" w:lineRule="exact"/>
        <w:outlineLvl w:val="2"/>
      </w:pPr>
      <w:bookmarkStart w:id="9" w:name="_Toc1182821950"/>
      <w:r>
        <w:rPr>
          <w:rFonts w:ascii="宋体" w:hAnsi="宋体" w:eastAsia="宋体"/>
          <w:b/>
          <w:i w:val="0"/>
          <w:color w:val="000000"/>
          <w:sz w:val="24"/>
          <w:u w:val="none"/>
        </w:rPr>
        <w:t>2.2.2  遗留缺陷</w:t>
      </w:r>
      <w:bookmarkEnd w:id="9"/>
    </w:p>
    <w:p w14:paraId="3C813CAB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本次测试无遗留缺陷。全部9个缺陷已在2026年7月12日前完成修复，经回归验证确认通过，缺陷关闭率为100%。系统功能满足V1.0.0版本设计需求。</w:t>
      </w:r>
    </w:p>
    <w:p w14:paraId="20EE9AC3">
      <w:pPr>
        <w:spacing w:after="80" w:line="360" w:lineRule="exact"/>
        <w:outlineLvl w:val="0"/>
      </w:pPr>
      <w:bookmarkStart w:id="10" w:name="_Toc432393371"/>
      <w:r>
        <w:rPr>
          <w:rFonts w:ascii="宋体" w:hAnsi="宋体" w:eastAsia="宋体"/>
          <w:b/>
          <w:i w:val="0"/>
          <w:color w:val="000000"/>
          <w:sz w:val="32"/>
          <w:u w:val="none"/>
        </w:rPr>
        <w:t>3  测试结论</w:t>
      </w:r>
      <w:bookmarkEnd w:id="10"/>
    </w:p>
    <w:p w14:paraId="7479582E">
      <w:pPr>
        <w:spacing w:after="80" w:line="360" w:lineRule="exact"/>
      </w:pPr>
      <w:r>
        <w:rPr>
          <w:rFonts w:ascii="宋体" w:hAnsi="宋体" w:eastAsia="宋体"/>
          <w:i w:val="0"/>
          <w:color w:val="0000FF"/>
          <w:sz w:val="21"/>
          <w:u w:val="none"/>
        </w:rPr>
        <w:t>此次</w:t>
      </w:r>
      <w:r>
        <w:rPr>
          <w:rFonts w:hint="eastAsia" w:ascii="宋体" w:hAnsi="宋体" w:eastAsia="宋体"/>
          <w:i w:val="0"/>
          <w:color w:val="0000FF"/>
          <w:sz w:val="21"/>
          <w:u w:val="none"/>
          <w:lang w:eastAsia="zh-CN"/>
        </w:rPr>
        <w:t>国元元信（国元证券私有化企业微信）</w:t>
      </w:r>
      <w:r>
        <w:rPr>
          <w:rFonts w:ascii="宋体" w:hAnsi="宋体" w:eastAsia="宋体"/>
          <w:i w:val="0"/>
          <w:color w:val="0000FF"/>
          <w:sz w:val="21"/>
          <w:u w:val="none"/>
        </w:rPr>
        <w:t>V1.0.0功能测试。本次测试共执行170条测试用例，通过165条，失败3条，无效2条，通过率97.1%。测试覆盖客户端登录、通讯录同步、消息收发、应用接入、管理后台、安全网关等12个核心功能模块，共发现缺陷9个（其中较严重2个、一般4个、轻微3个），已全部修复并回归验证通过，未遗留严重或较严重缺陷。系统功能满足设计需求，验收通过。</w:t>
      </w:r>
    </w:p>
    <w:p w14:paraId="36CCD26A">
      <w:pPr>
        <w:spacing w:after="80" w:line="360" w:lineRule="exact"/>
        <w:outlineLvl w:val="0"/>
      </w:pPr>
      <w:bookmarkStart w:id="11" w:name="_Toc150724949"/>
      <w:r>
        <w:rPr>
          <w:rFonts w:ascii="宋体" w:hAnsi="宋体" w:eastAsia="宋体"/>
          <w:b/>
          <w:i w:val="0"/>
          <w:color w:val="000000"/>
          <w:sz w:val="32"/>
          <w:u w:val="none"/>
        </w:rPr>
        <w:t>4  风险与建议</w:t>
      </w:r>
      <w:bookmarkEnd w:id="11"/>
    </w:p>
    <w:p w14:paraId="06E24035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根据本次测试结果，对系统上线提出以下风险提示与建议：</w:t>
      </w:r>
    </w:p>
    <w:p w14:paraId="06E24036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（1）建议在正式上线前完成全量用户客户端安装与升级验证，确保所有终端设备兼容；</w:t>
      </w:r>
    </w:p>
    <w:p w14:paraId="06E24037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（2）上线初期建议安排运维人员驻场，重点关注第三方对接（智能门户、七巧低码）的接口稳定性；</w:t>
      </w:r>
    </w:p>
    <w:p w14:paraId="06E24038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（3）建议制定数据备份策略，会话存档等重要数据每日定时备份至异地存储；</w:t>
      </w:r>
    </w:p>
    <w:p w14:paraId="06E24039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（4）建议在上线后持续监控系统性能，根据实际运行情况进行优化调整。</w:t>
      </w:r>
    </w:p>
    <w:p w14:paraId="6F99F6F9">
      <w:pPr>
        <w:spacing w:after="80" w:line="360" w:lineRule="exact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6D16B">
    <w:pPr>
      <w:pStyle w:val="26"/>
      <w:tabs>
        <w:tab w:val="center" w:pos="4153"/>
        <w:tab w:val="right" w:pos="8306"/>
        <w:tab w:val="clear" w:pos="4680"/>
        <w:tab w:val="clear" w:pos="9360"/>
      </w:tabs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F4375">
    <w:pPr>
      <w:pStyle w:val="27"/>
      <w:tabs>
        <w:tab w:val="center" w:pos="4153"/>
        <w:tab w:val="right" w:pos="8306"/>
        <w:tab w:val="clear" w:pos="4680"/>
        <w:tab w:val="clear" w:pos="9360"/>
      </w:tabs>
      <w:jc w:val="right"/>
    </w:pPr>
    <w:r>
      <w:rPr>
        <w:rFonts w:hint="eastAsia" w:ascii="宋体" w:hAnsi="宋体" w:eastAsia="宋体" w:cs="宋体"/>
        <w:sz w:val="18"/>
        <w:szCs w:val="18"/>
      </w:rPr>
      <w:t>日常需求技术测试报告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F2129"/>
    <w:rsid w:val="255079C3"/>
    <w:rsid w:val="269009DE"/>
    <w:rsid w:val="3A685E82"/>
    <w:rsid w:val="3FE9994B"/>
    <w:rsid w:val="3FEFDC50"/>
    <w:rsid w:val="5F0B0627"/>
    <w:rsid w:val="66D7F528"/>
    <w:rsid w:val="73FB6210"/>
    <w:rsid w:val="79DDFDBB"/>
    <w:rsid w:val="7DC4436B"/>
    <w:rsid w:val="7FDB15A5"/>
    <w:rsid w:val="9EDFF8E9"/>
    <w:rsid w:val="B7FBB5DC"/>
    <w:rsid w:val="F36CB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Normal Indent"/>
    <w:basedOn w:val="1"/>
    <w:qFormat/>
    <w:uiPriority w:val="0"/>
    <w:pPr>
      <w:ind w:firstLine="420"/>
    </w:pPr>
    <w:rPr>
      <w:szCs w:val="20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8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6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semiHidden/>
    <w:unhideWhenUsed/>
    <w:uiPriority w:val="39"/>
  </w:style>
  <w:style w:type="paragraph" w:styleId="29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2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7"/>
    <w:uiPriority w:val="99"/>
  </w:style>
  <w:style w:type="character" w:customStyle="1" w:styleId="140">
    <w:name w:val="Footer Char"/>
    <w:basedOn w:val="136"/>
    <w:link w:val="26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6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6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20"/>
    <w:uiPriority w:val="99"/>
  </w:style>
  <w:style w:type="character" w:customStyle="1" w:styleId="149">
    <w:name w:val="Body Text 2 Char"/>
    <w:basedOn w:val="136"/>
    <w:link w:val="32"/>
    <w:uiPriority w:val="99"/>
  </w:style>
  <w:style w:type="character" w:customStyle="1" w:styleId="150">
    <w:name w:val="Body Text 3 Char"/>
    <w:basedOn w:val="136"/>
    <w:link w:val="18"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6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文档标题"/>
    <w:basedOn w:val="1"/>
    <w:next w:val="15"/>
    <w:qFormat/>
    <w:uiPriority w:val="0"/>
    <w:pPr>
      <w:jc w:val="center"/>
    </w:pPr>
    <w:rPr>
      <w:rFonts w:eastAsia="楷体_GB2312"/>
      <w:b/>
      <w:kern w:val="0"/>
      <w:sz w:val="52"/>
      <w:szCs w:val="72"/>
    </w:rPr>
  </w:style>
  <w:style w:type="paragraph" w:customStyle="1" w:styleId="169">
    <w:name w:val="表头文字"/>
    <w:basedOn w:val="1"/>
    <w:qFormat/>
    <w:uiPriority w:val="0"/>
    <w:pPr>
      <w:jc w:val="center"/>
    </w:pPr>
    <w:rPr>
      <w:b/>
      <w:bCs/>
    </w:rPr>
  </w:style>
  <w:style w:type="paragraph" w:customStyle="1" w:styleId="170">
    <w:name w:val="xl5512344"/>
    <w:basedOn w:val="1"/>
    <w:qFormat/>
    <w:uiPriority w:val="0"/>
    <w:pPr>
      <w:widowControl/>
      <w:spacing w:before="100" w:beforeAutospacing="1" w:after="100" w:afterAutospacing="1"/>
      <w:jc w:val="center"/>
      <w:textAlignment w:val="bottom"/>
    </w:pPr>
    <w:rPr>
      <w:rFonts w:hint="eastAsia" w:ascii="宋体" w:hAnsi="宋体"/>
      <w:kern w:val="0"/>
      <w:szCs w:val="21"/>
    </w:rPr>
  </w:style>
  <w:style w:type="paragraph" w:customStyle="1" w:styleId="171">
    <w:name w:val="文档小标题"/>
    <w:basedOn w:val="1"/>
    <w:next w:val="15"/>
    <w:qFormat/>
    <w:uiPriority w:val="0"/>
    <w:pPr>
      <w:jc w:val="center"/>
    </w:pPr>
    <w:rPr>
      <w:rFonts w:eastAsia="楷体_GB2312"/>
      <w:b/>
      <w:kern w:val="0"/>
      <w:sz w:val="30"/>
      <w:szCs w:val="72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1276</Words>
  <Characters>1447</Characters>
  <Lines>0</Lines>
  <Paragraphs>0</Paragraphs>
  <TotalTime>3</TotalTime>
  <ScaleCrop>false</ScaleCrop>
  <LinksUpToDate>false</LinksUpToDate>
  <CharactersWithSpaces>1549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hzmengli</cp:lastModifiedBy>
  <dcterms:modified xsi:type="dcterms:W3CDTF">2026-07-13T02:58:25Z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0ACB4CF433CB36BD308A4D6A2CF5A72C_42</vt:lpwstr>
  </property>
  <property fmtid="{D5CDD505-2E9C-101B-9397-08002B2CF9AE}" pid="4" name="KSOTemplateDocerSaveRecord">
    <vt:lpwstr>eyJoZGlkIjoiYTgxZjEwNmNjZDk0MDJiM2M2MTkwZDU4MWE3ZDRkYjUiLCJ1c2VySWQiOiI1MDcwMTYzMjYifQ==</vt:lpwstr>
  </property>
</Properties>
</file>