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PingFang SC" w:hAnsi="PingFang SC" w:eastAsia="PingFang SC" w:cs="PingFang SC"/>
          <w:b/>
          <w:bCs/>
          <w:caps w:val="0"/>
          <w:color w:val="34383E"/>
          <w:spacing w:val="0"/>
          <w:sz w:val="48"/>
          <w:szCs w:val="48"/>
        </w:rPr>
      </w:pPr>
      <w:r>
        <w:rPr>
          <w:rFonts w:hint="eastAsia" w:ascii="PingFang SC" w:hAnsi="PingFang SC" w:eastAsia="PingFang SC" w:cs="PingFang SC"/>
          <w:b/>
          <w:bCs/>
          <w:caps w:val="0"/>
          <w:color w:val="34383E"/>
          <w:spacing w:val="0"/>
          <w:sz w:val="48"/>
          <w:szCs w:val="48"/>
          <w:bdr w:val="none" w:color="auto" w:sz="0" w:space="0"/>
          <w:shd w:val="clear" w:fill="FFFFFF"/>
        </w:rPr>
        <w:t>工信部APP备案申请指引</w:t>
      </w:r>
    </w:p>
    <w:p>
      <w:pPr>
        <w:pStyle w:val="2"/>
        <w:numPr>
          <w:ilvl w:val="0"/>
          <w:numId w:val="1"/>
        </w:numPr>
        <w:bidi w:val="0"/>
      </w:pPr>
      <w:r>
        <w:rPr>
          <w:rFonts w:hint="eastAsia"/>
          <w:lang w:val="en-US" w:eastAsia="zh-CN"/>
        </w:rPr>
        <w:t>什么是备案</w:t>
      </w:r>
    </w:p>
    <w:p>
      <w:pPr>
        <w:pStyle w:val="5"/>
        <w:keepNext w:val="0"/>
        <w:keepLines w:val="0"/>
        <w:widowControl/>
        <w:suppressLineNumbers w:val="0"/>
        <w:spacing w:before="60" w:beforeAutospacing="0" w:after="60" w:afterAutospacing="0"/>
        <w:ind w:left="0" w:right="0"/>
        <w:jc w:val="left"/>
        <w:rPr>
          <w:rFonts w:hint="eastAsia"/>
          <w:b w:val="0"/>
          <w:bCs w:val="0"/>
          <w:i w:val="0"/>
          <w:iCs w:val="0"/>
          <w:color w:val="2E3033"/>
          <w:spacing w:val="0"/>
          <w:w w:val="100"/>
          <w:sz w:val="21"/>
          <w:szCs w:val="21"/>
          <w:shd w:val="clear" w:fill="FFFFFF"/>
          <w:vertAlign w:val="baseline"/>
          <w:lang w:eastAsia="zh-CN"/>
        </w:rPr>
      </w:pPr>
      <w:r>
        <w:rPr>
          <w:rFonts w:hint="eastAsia"/>
          <w:b w:val="0"/>
          <w:bCs w:val="0"/>
          <w:i w:val="0"/>
          <w:iCs w:val="0"/>
          <w:color w:val="2E3033"/>
          <w:spacing w:val="0"/>
          <w:w w:val="100"/>
          <w:sz w:val="21"/>
          <w:szCs w:val="21"/>
          <w:shd w:val="clear" w:fill="FFFFFF"/>
          <w:vertAlign w:val="baseline"/>
          <w:lang w:eastAsia="zh-CN"/>
        </w:rPr>
        <w:t>根据国务院令第292号（https://cloud.tencent.com/document/product/243/50316）和《</w:t>
      </w:r>
      <w:r>
        <w:rPr>
          <w:rFonts w:hint="eastAsia"/>
          <w:b w:val="0"/>
          <w:bCs w:val="0"/>
          <w:i w:val="0"/>
          <w:iCs w:val="0"/>
          <w:color w:val="2E3033"/>
          <w:spacing w:val="0"/>
          <w:w w:val="100"/>
          <w:sz w:val="21"/>
          <w:szCs w:val="21"/>
          <w:shd w:val="clear" w:fill="FFFFFF"/>
          <w:vertAlign w:val="baseline"/>
          <w:lang w:eastAsia="zh-CN"/>
        </w:rPr>
        <w:fldChar w:fldCharType="begin"/>
      </w:r>
      <w:r>
        <w:rPr>
          <w:rFonts w:hint="eastAsia"/>
          <w:b w:val="0"/>
          <w:bCs w:val="0"/>
          <w:i w:val="0"/>
          <w:iCs w:val="0"/>
          <w:color w:val="2E3033"/>
          <w:spacing w:val="0"/>
          <w:w w:val="100"/>
          <w:sz w:val="21"/>
          <w:szCs w:val="21"/>
          <w:shd w:val="clear" w:fill="FFFFFF"/>
          <w:vertAlign w:val="baseline"/>
          <w:lang w:eastAsia="zh-CN"/>
        </w:rPr>
        <w:instrText xml:space="preserve"> HYPERLINK "https://cloud.tencent.com/document/product/243/50315" </w:instrText>
      </w:r>
      <w:r>
        <w:rPr>
          <w:rFonts w:hint="eastAsia"/>
          <w:b w:val="0"/>
          <w:bCs w:val="0"/>
          <w:i w:val="0"/>
          <w:iCs w:val="0"/>
          <w:color w:val="2E3033"/>
          <w:spacing w:val="0"/>
          <w:w w:val="100"/>
          <w:sz w:val="21"/>
          <w:szCs w:val="21"/>
          <w:shd w:val="clear" w:fill="FFFFFF"/>
          <w:vertAlign w:val="baseline"/>
          <w:lang w:eastAsia="zh-CN"/>
        </w:rPr>
        <w:fldChar w:fldCharType="separate"/>
      </w:r>
      <w:r>
        <w:rPr>
          <w:rFonts w:hint="eastAsia"/>
          <w:b w:val="0"/>
          <w:bCs w:val="0"/>
          <w:i w:val="0"/>
          <w:iCs w:val="0"/>
          <w:color w:val="2E3033"/>
          <w:spacing w:val="0"/>
          <w:w w:val="100"/>
          <w:sz w:val="21"/>
          <w:szCs w:val="21"/>
          <w:shd w:val="clear" w:fill="FFFFFF"/>
          <w:vertAlign w:val="baseline"/>
          <w:lang w:eastAsia="zh-CN"/>
        </w:rPr>
        <w:t>ICP 备案 《非经营性互联网信息服务备案管理办法》（信息产业部令第33号）》</w:t>
      </w:r>
      <w:r>
        <w:rPr>
          <w:rFonts w:hint="eastAsia"/>
          <w:b w:val="0"/>
          <w:bCs w:val="0"/>
          <w:i w:val="0"/>
          <w:iCs w:val="0"/>
          <w:color w:val="2E3033"/>
          <w:spacing w:val="0"/>
          <w:w w:val="100"/>
          <w:sz w:val="21"/>
          <w:szCs w:val="21"/>
          <w:shd w:val="clear" w:fill="FFFFFF"/>
          <w:vertAlign w:val="baseline"/>
          <w:lang w:eastAsia="zh-CN"/>
        </w:rPr>
        <w:fldChar w:fldCharType="end"/>
      </w:r>
      <w:r>
        <w:rPr>
          <w:rFonts w:hint="eastAsia"/>
          <w:b w:val="0"/>
          <w:bCs w:val="0"/>
          <w:i w:val="0"/>
          <w:iCs w:val="0"/>
          <w:color w:val="2E3033"/>
          <w:spacing w:val="0"/>
          <w:w w:val="100"/>
          <w:sz w:val="21"/>
          <w:szCs w:val="21"/>
          <w:shd w:val="clear" w:fill="FFFFFF"/>
          <w:vertAlign w:val="baseline"/>
          <w:lang w:eastAsia="zh-CN"/>
        </w:rPr>
        <w:t xml:space="preserve">（https://cloud.tencent.com/document/product/243/50315）规定，国家对经营性互联网信息服务实行许可制度，对非经营性互联网信息服务实行备案制度。未获取许可或者未履行备案手续的，不得从事互联网信息服务，否则属于违法行为。 </w:t>
      </w:r>
    </w:p>
    <w:p>
      <w:pPr>
        <w:pStyle w:val="5"/>
        <w:keepNext w:val="0"/>
        <w:keepLines w:val="0"/>
        <w:widowControl/>
        <w:suppressLineNumbers w:val="0"/>
        <w:spacing w:before="60" w:beforeAutospacing="0" w:after="60" w:afterAutospacing="0"/>
        <w:ind w:left="0" w:right="0"/>
        <w:jc w:val="left"/>
        <w:rPr>
          <w:rFonts w:hint="eastAsia"/>
          <w:b w:val="0"/>
          <w:bCs w:val="0"/>
          <w:i w:val="0"/>
          <w:iCs w:val="0"/>
          <w:color w:val="2E3033"/>
          <w:spacing w:val="0"/>
          <w:w w:val="100"/>
          <w:sz w:val="21"/>
          <w:szCs w:val="21"/>
          <w:shd w:val="clear" w:fill="FFFFFF"/>
          <w:vertAlign w:val="baseline"/>
          <w:lang w:eastAsia="zh-CN"/>
        </w:rPr>
      </w:pPr>
      <w:r>
        <w:rPr>
          <w:rFonts w:hint="eastAsia"/>
          <w:b w:val="0"/>
          <w:bCs w:val="0"/>
          <w:i w:val="0"/>
          <w:iCs w:val="0"/>
          <w:color w:val="2E3033"/>
          <w:spacing w:val="0"/>
          <w:w w:val="100"/>
          <w:sz w:val="21"/>
          <w:szCs w:val="21"/>
          <w:shd w:val="clear" w:fill="FFFFFF"/>
          <w:vertAlign w:val="baseline"/>
          <w:lang w:eastAsia="zh-CN"/>
        </w:rPr>
        <w:t>因此，所有对中国大陆境内提供服务的网站/APP（非经营性互联网信息服务）都必须先进行 ICP 备案，备案成功并获取通信管理局下发的 ICP 备案号后才能开通访问。</w:t>
      </w:r>
    </w:p>
    <w:p>
      <w:pPr>
        <w:pStyle w:val="5"/>
        <w:keepNext w:val="0"/>
        <w:keepLines w:val="0"/>
        <w:widowControl/>
        <w:suppressLineNumbers w:val="0"/>
        <w:spacing w:before="60" w:beforeAutospacing="0" w:after="60" w:afterAutospacing="0"/>
        <w:ind w:left="0" w:right="0"/>
        <w:jc w:val="left"/>
        <w:rPr>
          <w:rFonts w:hint="eastAsia"/>
          <w:b w:val="0"/>
          <w:bCs w:val="0"/>
          <w:i w:val="0"/>
          <w:iCs w:val="0"/>
          <w:color w:val="2E3033"/>
          <w:spacing w:val="0"/>
          <w:w w:val="100"/>
          <w:sz w:val="21"/>
          <w:szCs w:val="21"/>
          <w:shd w:val="clear" w:fill="FFFFFF"/>
          <w:vertAlign w:val="baseline"/>
          <w:lang w:eastAsia="zh-CN"/>
        </w:rPr>
      </w:pPr>
      <w:r>
        <w:rPr>
          <w:rFonts w:hint="eastAsia"/>
          <w:b w:val="0"/>
          <w:bCs w:val="0"/>
          <w:i w:val="0"/>
          <w:iCs w:val="0"/>
          <w:color w:val="2E3033"/>
          <w:spacing w:val="0"/>
          <w:w w:val="100"/>
          <w:sz w:val="21"/>
          <w:szCs w:val="21"/>
          <w:shd w:val="clear" w:fill="FFFFFF"/>
          <w:vertAlign w:val="baseline"/>
          <w:lang w:eastAsia="zh-CN"/>
        </w:rPr>
        <w:t>更多相关法律法规请参见工业和信息化https://beian.miit.gov.cn/#/Integrated/lawStatute</w:t>
      </w:r>
    </w:p>
    <w:p>
      <w:pPr>
        <w:pStyle w:val="5"/>
        <w:keepNext w:val="0"/>
        <w:keepLines w:val="0"/>
        <w:widowControl/>
        <w:suppressLineNumbers w:val="0"/>
        <w:spacing w:before="60" w:beforeAutospacing="0" w:after="60" w:afterAutospacing="0" w:line="26" w:lineRule="atLeast"/>
        <w:ind w:left="0" w:right="0"/>
        <w:jc w:val="left"/>
      </w:pPr>
      <w:r>
        <w:drawing>
          <wp:inline distT="0" distB="0" distL="114300" distR="114300">
            <wp:extent cx="1330960" cy="10805795"/>
            <wp:effectExtent l="0" t="0" r="15240" b="146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330960" cy="10805795"/>
                    </a:xfrm>
                    <a:prstGeom prst="rect">
                      <a:avLst/>
                    </a:prstGeom>
                    <a:noFill/>
                    <a:ln w="9525">
                      <a:noFill/>
                    </a:ln>
                  </pic:spPr>
                </pic:pic>
              </a:graphicData>
            </a:graphic>
          </wp:inline>
        </w:drawing>
      </w:r>
    </w:p>
    <w:p>
      <w:pPr>
        <w:pStyle w:val="2"/>
        <w:numPr>
          <w:ilvl w:val="0"/>
          <w:numId w:val="1"/>
        </w:numPr>
        <w:bidi w:val="0"/>
      </w:pPr>
      <w:r>
        <w:rPr>
          <w:rFonts w:hint="eastAsia"/>
          <w:lang w:val="en-US" w:eastAsia="zh-CN"/>
        </w:rPr>
        <w:t>私有化应用不接入备案的影响</w:t>
      </w:r>
    </w:p>
    <w:p>
      <w:pPr>
        <w:pStyle w:val="5"/>
        <w:keepNext w:val="0"/>
        <w:keepLines w:val="0"/>
        <w:widowControl/>
        <w:suppressLineNumbers w:val="0"/>
        <w:spacing w:before="60" w:beforeAutospacing="0" w:after="60" w:afterAutospacing="0" w:line="26" w:lineRule="atLeast"/>
        <w:ind w:left="0" w:right="0"/>
        <w:jc w:val="left"/>
      </w:pPr>
      <w:r>
        <w:rPr>
          <w:b w:val="0"/>
          <w:bCs w:val="0"/>
          <w:i w:val="0"/>
          <w:iCs w:val="0"/>
          <w:color w:val="333333"/>
          <w:spacing w:val="0"/>
          <w:w w:val="100"/>
          <w:sz w:val="22"/>
          <w:szCs w:val="22"/>
          <w:vertAlign w:val="baseline"/>
        </w:rPr>
        <w:t>不接入备案对私有化应用的影响有：</w:t>
      </w:r>
    </w:p>
    <w:p>
      <w:pPr>
        <w:pStyle w:val="5"/>
        <w:keepNext w:val="0"/>
        <w:keepLines w:val="0"/>
        <w:widowControl/>
        <w:numPr>
          <w:ilvl w:val="0"/>
          <w:numId w:val="2"/>
        </w:numPr>
        <w:suppressLineNumbers w:val="0"/>
        <w:spacing w:before="60" w:beforeAutospacing="0" w:after="60" w:afterAutospacing="0" w:line="26" w:lineRule="atLeast"/>
        <w:ind w:left="336" w:right="0" w:hanging="336"/>
        <w:jc w:val="left"/>
      </w:pPr>
      <w:r>
        <w:t xml:space="preserve"> </w:t>
      </w:r>
      <w:r>
        <w:rPr>
          <w:b w:val="0"/>
          <w:bCs w:val="0"/>
          <w:i w:val="0"/>
          <w:iCs w:val="0"/>
          <w:color w:val="333333"/>
          <w:spacing w:val="0"/>
          <w:w w:val="100"/>
          <w:sz w:val="22"/>
          <w:szCs w:val="22"/>
          <w:vertAlign w:val="baseline"/>
        </w:rPr>
        <w:t>无法接入安卓消息推送服务</w:t>
      </w:r>
    </w:p>
    <w:p>
      <w:pPr>
        <w:pStyle w:val="5"/>
        <w:keepNext w:val="0"/>
        <w:keepLines w:val="0"/>
        <w:widowControl/>
        <w:numPr>
          <w:ilvl w:val="0"/>
          <w:numId w:val="2"/>
        </w:numPr>
        <w:suppressLineNumbers w:val="0"/>
        <w:spacing w:before="60" w:beforeAutospacing="0" w:after="60" w:afterAutospacing="0" w:line="26" w:lineRule="atLeast"/>
        <w:ind w:left="336" w:right="0" w:hanging="336"/>
        <w:jc w:val="left"/>
      </w:pPr>
      <w:r>
        <w:t xml:space="preserve"> </w:t>
      </w:r>
      <w:r>
        <w:rPr>
          <w:b w:val="0"/>
          <w:bCs w:val="0"/>
          <w:i w:val="0"/>
          <w:iCs w:val="0"/>
          <w:color w:val="333333"/>
          <w:spacing w:val="0"/>
          <w:w w:val="100"/>
          <w:sz w:val="22"/>
          <w:szCs w:val="22"/>
          <w:vertAlign w:val="baseline"/>
        </w:rPr>
        <w:t>无法非公开上架各安卓应用市场和苹果应用市场（ABM模式）</w:t>
      </w:r>
    </w:p>
    <w:p>
      <w:pPr>
        <w:pStyle w:val="5"/>
        <w:keepNext w:val="0"/>
        <w:keepLines w:val="0"/>
        <w:widowControl/>
        <w:numPr>
          <w:ilvl w:val="0"/>
          <w:numId w:val="2"/>
        </w:numPr>
        <w:suppressLineNumbers w:val="0"/>
        <w:spacing w:before="60" w:beforeAutospacing="0" w:after="60" w:afterAutospacing="0" w:line="26" w:lineRule="atLeast"/>
        <w:ind w:left="336" w:right="0" w:hanging="336"/>
        <w:jc w:val="left"/>
      </w:pPr>
      <w:r>
        <w:t xml:space="preserve"> </w:t>
      </w:r>
      <w:r>
        <w:rPr>
          <w:b w:val="0"/>
          <w:bCs w:val="0"/>
          <w:i w:val="0"/>
          <w:iCs w:val="0"/>
          <w:color w:val="333333"/>
          <w:spacing w:val="0"/>
          <w:w w:val="100"/>
          <w:sz w:val="22"/>
          <w:szCs w:val="22"/>
          <w:vertAlign w:val="baseline"/>
        </w:rPr>
        <w:t>无法使用微信相关能力，如小程序服务等</w:t>
      </w:r>
    </w:p>
    <w:p/>
    <w:p>
      <w:pPr>
        <w:pStyle w:val="2"/>
        <w:numPr>
          <w:ilvl w:val="0"/>
          <w:numId w:val="1"/>
        </w:numPr>
        <w:bidi w:val="0"/>
        <w:rPr>
          <w:rFonts w:hint="eastAsia" w:ascii="宋体" w:hAnsi="宋体" w:eastAsia="宋体" w:cs="宋体"/>
          <w:b/>
          <w:bCs/>
          <w:kern w:val="44"/>
          <w:sz w:val="48"/>
          <w:szCs w:val="48"/>
          <w:lang w:val="en-US" w:eastAsia="zh-CN" w:bidi="ar"/>
        </w:rPr>
      </w:pPr>
      <w:r>
        <w:rPr>
          <w:rFonts w:hint="eastAsia"/>
          <w:lang w:val="en-US" w:eastAsia="zh-CN"/>
        </w:rPr>
        <w:t>备案流程</w:t>
      </w:r>
    </w:p>
    <w:p>
      <w:pPr>
        <w:pStyle w:val="3"/>
        <w:numPr>
          <w:ilvl w:val="0"/>
          <w:numId w:val="3"/>
        </w:numPr>
        <w:bidi w:val="0"/>
        <w:rPr>
          <w:rFonts w:hint="eastAsia"/>
          <w:lang w:val="en-US" w:eastAsia="zh-CN"/>
        </w:rPr>
      </w:pPr>
      <w:r>
        <w:rPr>
          <w:rFonts w:hint="eastAsia"/>
          <w:lang w:val="en-US" w:eastAsia="zh-CN"/>
        </w:rPr>
        <w:t>域名备案</w:t>
      </w:r>
    </w:p>
    <w:p>
      <w:pPr>
        <w:pStyle w:val="5"/>
        <w:keepNext w:val="0"/>
        <w:keepLines w:val="0"/>
        <w:widowControl/>
        <w:numPr>
          <w:ilvl w:val="0"/>
          <w:numId w:val="4"/>
        </w:numPr>
        <w:suppressLineNumbers w:val="0"/>
        <w:spacing w:before="60" w:beforeAutospacing="0" w:after="60" w:afterAutospacing="0" w:line="26" w:lineRule="atLeast"/>
        <w:ind w:left="336" w:right="0" w:hanging="336"/>
        <w:jc w:val="left"/>
      </w:pPr>
      <w:r>
        <w:rPr>
          <w:b w:val="0"/>
          <w:bCs w:val="0"/>
          <w:i w:val="0"/>
          <w:iCs w:val="0"/>
          <w:color w:val="333333"/>
          <w:spacing w:val="0"/>
          <w:w w:val="100"/>
          <w:sz w:val="22"/>
          <w:szCs w:val="22"/>
          <w:vertAlign w:val="baseline"/>
        </w:rPr>
        <w:t>ICP备案要求提供域名信息，同时域名注册主体和ICP备案主体需一致。因此要求做ICP备案前，必须先做域名备案。</w:t>
      </w:r>
    </w:p>
    <w:p>
      <w:pPr>
        <w:pStyle w:val="4"/>
        <w:numPr>
          <w:ilvl w:val="0"/>
          <w:numId w:val="5"/>
        </w:numPr>
        <w:bidi w:val="0"/>
        <w:ind w:left="425" w:leftChars="0" w:hanging="425" w:firstLineChars="0"/>
        <w:rPr>
          <w:rFonts w:hint="default"/>
          <w:lang w:val="en-US" w:eastAsia="zh-CN"/>
        </w:rPr>
      </w:pPr>
      <w:r>
        <w:rPr>
          <w:rFonts w:hint="eastAsia"/>
          <w:lang w:val="en-US" w:eastAsia="zh-CN"/>
        </w:rPr>
        <w:t>域名备案要求</w:t>
      </w:r>
    </w:p>
    <w:p>
      <w:pPr>
        <w:pStyle w:val="5"/>
        <w:keepNext w:val="0"/>
        <w:keepLines w:val="0"/>
        <w:widowControl/>
        <w:suppressLineNumbers w:val="0"/>
        <w:spacing w:before="60" w:beforeAutospacing="0" w:after="60" w:afterAutospacing="0" w:line="26" w:lineRule="atLeast"/>
        <w:ind w:left="0" w:right="0"/>
        <w:jc w:val="left"/>
      </w:pPr>
      <w:r>
        <w:rPr>
          <w:b w:val="0"/>
          <w:bCs w:val="0"/>
          <w:i w:val="0"/>
          <w:iCs w:val="0"/>
          <w:color w:val="333333"/>
          <w:spacing w:val="0"/>
          <w:w w:val="100"/>
          <w:sz w:val="22"/>
          <w:szCs w:val="22"/>
          <w:vertAlign w:val="baseline"/>
        </w:rPr>
        <w:t>备案域名需满足表格里的条件，才能通过备案域名核验：</w:t>
      </w:r>
    </w:p>
    <w:p>
      <w:pPr>
        <w:pStyle w:val="5"/>
        <w:keepNext w:val="0"/>
        <w:keepLines w:val="0"/>
        <w:widowControl/>
        <w:numPr>
          <w:ilvl w:val="0"/>
          <w:numId w:val="6"/>
        </w:numPr>
        <w:suppressLineNumbers w:val="0"/>
        <w:spacing w:before="60" w:beforeAutospacing="0" w:after="60" w:afterAutospacing="0" w:line="26" w:lineRule="atLeast"/>
        <w:ind w:left="336" w:right="0" w:hanging="336"/>
        <w:jc w:val="left"/>
      </w:pPr>
      <w:r>
        <w:rPr>
          <w:b w:val="0"/>
          <w:bCs w:val="0"/>
          <w:i w:val="0"/>
          <w:iCs w:val="0"/>
          <w:color w:val="333333"/>
          <w:spacing w:val="0"/>
          <w:w w:val="100"/>
          <w:sz w:val="22"/>
          <w:szCs w:val="22"/>
          <w:vertAlign w:val="baseline"/>
        </w:rPr>
        <w:t>私有化单位可对管理后台域名做备案。</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724"/>
        <w:gridCol w:w="3798"/>
      </w:tblGrid>
      <w:tr>
        <w:tc>
          <w:tcPr>
            <w:tcW w:w="4724" w:type="dxa"/>
          </w:tcPr>
          <w:p>
            <w:pPr>
              <w:pStyle w:val="5"/>
              <w:keepNext w:val="0"/>
              <w:keepLines w:val="0"/>
              <w:widowControl/>
              <w:suppressLineNumbers w:val="0"/>
              <w:spacing w:before="0" w:beforeAutospacing="0" w:after="0" w:afterAutospacing="0"/>
              <w:ind w:left="0" w:right="0"/>
              <w:jc w:val="left"/>
              <w:rPr>
                <w:rFonts w:hint="default"/>
                <w:vertAlign w:val="baseline"/>
                <w:lang w:val="en-US" w:eastAsia="zh-CN"/>
              </w:rPr>
            </w:pPr>
            <w:r>
              <w:rPr>
                <w:b w:val="0"/>
                <w:bCs w:val="0"/>
                <w:i w:val="0"/>
                <w:iCs w:val="0"/>
                <w:color w:val="2E3033"/>
                <w:spacing w:val="0"/>
                <w:w w:val="100"/>
                <w:sz w:val="21"/>
                <w:szCs w:val="21"/>
                <w:vertAlign w:val="baseline"/>
              </w:rPr>
              <w:t>需 “同时符合” 以下条件</w:t>
            </w:r>
          </w:p>
        </w:tc>
        <w:tc>
          <w:tcPr>
            <w:tcW w:w="3798" w:type="dxa"/>
          </w:tcPr>
          <w:p>
            <w:pPr>
              <w:rPr>
                <w:rFonts w:hint="default"/>
                <w:vertAlign w:val="baseline"/>
                <w:lang w:val="en-US" w:eastAsia="zh-CN"/>
              </w:rPr>
            </w:pPr>
            <w:r>
              <w:rPr>
                <w:rFonts w:hint="eastAsia"/>
                <w:vertAlign w:val="baseline"/>
                <w:lang w:val="en-US" w:eastAsia="zh-CN"/>
              </w:rPr>
              <w:t>相关参考</w:t>
            </w:r>
          </w:p>
        </w:tc>
      </w:tr>
      <w:tr>
        <w:tc>
          <w:tcPr>
            <w:tcW w:w="4724" w:type="dxa"/>
          </w:tcPr>
          <w:p>
            <w:pPr>
              <w:pStyle w:val="5"/>
              <w:keepNext w:val="0"/>
              <w:keepLines w:val="0"/>
              <w:widowControl/>
              <w:suppressLineNumbers w:val="0"/>
              <w:spacing w:before="60" w:beforeAutospacing="0" w:after="60" w:afterAutospacing="0" w:line="26" w:lineRule="atLeast"/>
              <w:ind w:left="0" w:right="0"/>
              <w:jc w:val="left"/>
              <w:rPr>
                <w:rFonts w:hint="default"/>
                <w:vertAlign w:val="baseline"/>
                <w:lang w:val="en-US" w:eastAsia="zh-CN"/>
              </w:rPr>
            </w:pPr>
            <w:r>
              <w:rPr>
                <w:b w:val="0"/>
                <w:bCs w:val="0"/>
                <w:i w:val="0"/>
                <w:iCs w:val="0"/>
                <w:color w:val="333333"/>
                <w:spacing w:val="0"/>
                <w:w w:val="100"/>
                <w:sz w:val="22"/>
                <w:szCs w:val="22"/>
                <w:vertAlign w:val="baseline"/>
              </w:rPr>
              <w:t>备案的域名要求在域名注册有效期内</w:t>
            </w:r>
          </w:p>
        </w:tc>
        <w:tc>
          <w:tcPr>
            <w:tcW w:w="3798" w:type="dxa"/>
          </w:tcPr>
          <w:p>
            <w:pPr>
              <w:pStyle w:val="5"/>
              <w:keepNext w:val="0"/>
              <w:keepLines w:val="0"/>
              <w:widowControl/>
              <w:suppressLineNumbers w:val="0"/>
              <w:spacing w:before="0" w:beforeAutospacing="0" w:after="0" w:afterAutospacing="0"/>
              <w:ind w:left="0" w:right="0"/>
              <w:jc w:val="left"/>
              <w:rPr>
                <w:rFonts w:hint="default"/>
                <w:vertAlign w:val="baseline"/>
                <w:lang w:val="en-US" w:eastAsia="zh-CN"/>
              </w:rPr>
            </w:pPr>
            <w:r>
              <w:rPr>
                <w:b w:val="0"/>
                <w:bCs w:val="0"/>
                <w:i w:val="0"/>
                <w:iCs w:val="0"/>
                <w:color w:val="2E3033"/>
                <w:spacing w:val="0"/>
                <w:w w:val="100"/>
                <w:sz w:val="21"/>
                <w:szCs w:val="21"/>
                <w:vertAlign w:val="baseline"/>
              </w:rPr>
              <w:t>域名有效期查询请参见</w:t>
            </w:r>
            <w:r>
              <w:rPr>
                <w:rFonts w:hint="eastAsia"/>
                <w:b w:val="0"/>
                <w:bCs w:val="0"/>
                <w:i w:val="0"/>
                <w:iCs w:val="0"/>
                <w:color w:val="2E3033"/>
                <w:spacing w:val="0"/>
                <w:w w:val="100"/>
                <w:sz w:val="21"/>
                <w:szCs w:val="21"/>
                <w:vertAlign w:val="baseline"/>
              </w:rPr>
              <w:t>https://whois.cloud.tencent.com/</w:t>
            </w:r>
            <w:r>
              <w:rPr>
                <w:b w:val="0"/>
                <w:bCs w:val="0"/>
                <w:i w:val="0"/>
                <w:iCs w:val="0"/>
                <w:color w:val="2E3033"/>
                <w:spacing w:val="0"/>
                <w:w w:val="100"/>
                <w:sz w:val="21"/>
                <w:szCs w:val="21"/>
                <w:vertAlign w:val="baseline"/>
              </w:rPr>
              <w:t>信息中的过期时间。</w:t>
            </w:r>
          </w:p>
        </w:tc>
      </w:tr>
      <w:tr>
        <w:tc>
          <w:tcPr>
            <w:tcW w:w="4724" w:type="dxa"/>
          </w:tcPr>
          <w:p>
            <w:pPr>
              <w:pStyle w:val="5"/>
              <w:keepNext w:val="0"/>
              <w:keepLines w:val="0"/>
              <w:widowControl/>
              <w:suppressLineNumbers w:val="0"/>
              <w:spacing w:before="60" w:beforeAutospacing="0" w:after="60" w:afterAutospacing="0" w:line="26" w:lineRule="atLeast"/>
              <w:ind w:left="0" w:right="0"/>
              <w:jc w:val="left"/>
              <w:rPr>
                <w:rFonts w:hint="default"/>
                <w:vertAlign w:val="baseline"/>
                <w:lang w:val="en-US" w:eastAsia="zh-CN"/>
              </w:rPr>
            </w:pPr>
            <w:r>
              <w:rPr>
                <w:b w:val="0"/>
                <w:bCs w:val="0"/>
                <w:i w:val="0"/>
                <w:iCs w:val="0"/>
                <w:color w:val="333333"/>
                <w:spacing w:val="0"/>
                <w:w w:val="100"/>
                <w:sz w:val="22"/>
                <w:szCs w:val="22"/>
                <w:vertAlign w:val="baseline"/>
              </w:rPr>
              <w:t>备案的域名实名认证完成后需要约三天时间将实名认证信息入库工信部。建议您在实名认证完成后至少等待三天，待实名信息同步入库工信部后再申请 ICP 备案，否则可能存在管局审核时检查不到最新域名实名认证信息，导致 ICP 备案失败的风险。</w:t>
            </w:r>
          </w:p>
        </w:tc>
        <w:tc>
          <w:tcPr>
            <w:tcW w:w="3798" w:type="dxa"/>
            <w:vMerge w:val="restart"/>
          </w:tcPr>
          <w:p>
            <w:pPr>
              <w:pStyle w:val="5"/>
              <w:keepNext w:val="0"/>
              <w:keepLines w:val="0"/>
              <w:widowControl/>
              <w:suppressLineNumbers w:val="0"/>
              <w:spacing w:before="0" w:beforeAutospacing="0" w:after="0" w:afterAutospacing="0"/>
              <w:ind w:left="0" w:right="0"/>
              <w:jc w:val="left"/>
            </w:pPr>
            <w:r>
              <w:rPr>
                <w:b w:val="0"/>
                <w:bCs w:val="0"/>
                <w:i w:val="0"/>
                <w:iCs w:val="0"/>
                <w:color w:val="2E3033"/>
                <w:spacing w:val="0"/>
                <w:w w:val="100"/>
                <w:sz w:val="21"/>
                <w:szCs w:val="21"/>
                <w:vertAlign w:val="baseline"/>
              </w:rPr>
              <w:t xml:space="preserve">域名实名认证请参见 </w:t>
            </w:r>
            <w:r>
              <w:rPr>
                <w:rFonts w:hint="eastAsia"/>
              </w:rPr>
              <w:t>https://cloud.tencent.com/document/product/242/6707</w:t>
            </w:r>
            <w:r>
              <w:rPr>
                <w:b w:val="0"/>
                <w:bCs w:val="0"/>
                <w:i w:val="0"/>
                <w:iCs w:val="0"/>
                <w:color w:val="2E3033"/>
                <w:spacing w:val="0"/>
                <w:w w:val="100"/>
                <w:sz w:val="21"/>
                <w:szCs w:val="21"/>
                <w:vertAlign w:val="baseline"/>
              </w:rPr>
              <w:t>进行操作。</w:t>
            </w:r>
          </w:p>
          <w:p>
            <w:pPr>
              <w:rPr>
                <w:rFonts w:hint="default"/>
                <w:vertAlign w:val="baseline"/>
                <w:lang w:val="en-US" w:eastAsia="zh-CN"/>
              </w:rPr>
            </w:pPr>
          </w:p>
        </w:tc>
      </w:tr>
      <w:tr>
        <w:tc>
          <w:tcPr>
            <w:tcW w:w="4724" w:type="dxa"/>
          </w:tcPr>
          <w:p>
            <w:pPr>
              <w:pStyle w:val="5"/>
              <w:keepNext w:val="0"/>
              <w:keepLines w:val="0"/>
              <w:widowControl/>
              <w:suppressLineNumbers w:val="0"/>
              <w:spacing w:before="60" w:beforeAutospacing="0" w:after="60" w:afterAutospacing="0" w:line="26" w:lineRule="atLeast"/>
              <w:ind w:left="0" w:right="0"/>
              <w:jc w:val="left"/>
              <w:rPr>
                <w:rFonts w:hint="default"/>
                <w:vertAlign w:val="baseline"/>
                <w:lang w:val="en-US" w:eastAsia="zh-CN"/>
              </w:rPr>
            </w:pPr>
            <w:r>
              <w:rPr>
                <w:b w:val="0"/>
                <w:bCs w:val="0"/>
                <w:i w:val="0"/>
                <w:iCs w:val="0"/>
                <w:color w:val="333333"/>
                <w:spacing w:val="0"/>
                <w:w w:val="100"/>
                <w:sz w:val="22"/>
                <w:szCs w:val="22"/>
                <w:vertAlign w:val="baseline"/>
              </w:rPr>
              <w:t>申请备案时填报的备案主体信息应与域名所有者实名认证信息相符。</w:t>
            </w:r>
          </w:p>
        </w:tc>
        <w:tc>
          <w:tcPr>
            <w:tcW w:w="3798" w:type="dxa"/>
            <w:vMerge w:val="continue"/>
            <w:tcBorders/>
          </w:tcPr>
          <w:p>
            <w:pPr>
              <w:jc w:val="left"/>
              <w:rPr>
                <w:rFonts w:hint="default"/>
                <w:vertAlign w:val="baseline"/>
                <w:lang w:val="en-US" w:eastAsia="zh-CN"/>
              </w:rPr>
            </w:pPr>
          </w:p>
        </w:tc>
      </w:tr>
      <w:tr>
        <w:tc>
          <w:tcPr>
            <w:tcW w:w="4724" w:type="dxa"/>
          </w:tcPr>
          <w:p>
            <w:pPr>
              <w:pStyle w:val="5"/>
              <w:keepNext w:val="0"/>
              <w:keepLines w:val="0"/>
              <w:widowControl/>
              <w:suppressLineNumbers w:val="0"/>
              <w:spacing w:before="60" w:beforeAutospacing="0" w:after="60" w:afterAutospacing="0" w:line="26" w:lineRule="atLeast"/>
              <w:ind w:left="0" w:right="0"/>
              <w:jc w:val="left"/>
              <w:rPr>
                <w:rFonts w:hint="default"/>
                <w:vertAlign w:val="baseline"/>
                <w:lang w:val="en-US" w:eastAsia="zh-CN"/>
              </w:rPr>
            </w:pPr>
            <w:r>
              <w:rPr>
                <w:b w:val="0"/>
                <w:bCs w:val="0"/>
                <w:i w:val="0"/>
                <w:iCs w:val="0"/>
                <w:color w:val="333333"/>
                <w:spacing w:val="0"/>
                <w:w w:val="100"/>
                <w:sz w:val="22"/>
                <w:szCs w:val="22"/>
                <w:vertAlign w:val="baseline"/>
              </w:rPr>
              <w:t>备案的域名要求为国家批复的域名。</w:t>
            </w:r>
          </w:p>
        </w:tc>
        <w:tc>
          <w:tcPr>
            <w:tcW w:w="3798" w:type="dxa"/>
          </w:tcPr>
          <w:p>
            <w:pPr>
              <w:jc w:val="left"/>
              <w:rPr>
                <w:rFonts w:hint="default"/>
                <w:vertAlign w:val="baseline"/>
                <w:lang w:val="en-US" w:eastAsia="zh-CN"/>
              </w:rPr>
            </w:pPr>
            <w:r>
              <w:rPr>
                <w:rFonts w:hint="eastAsia"/>
                <w:vertAlign w:val="baseline"/>
                <w:lang w:val="en-US" w:eastAsia="zh-CN"/>
              </w:rPr>
              <w:t>域名后缀请参见https://cloud.tencent.com/document/product/243/18905#beia</w:t>
            </w:r>
          </w:p>
        </w:tc>
      </w:tr>
      <w:tr>
        <w:tc>
          <w:tcPr>
            <w:tcW w:w="4724" w:type="dxa"/>
          </w:tcPr>
          <w:p>
            <w:pPr>
              <w:pStyle w:val="5"/>
              <w:keepNext w:val="0"/>
              <w:keepLines w:val="0"/>
              <w:widowControl/>
              <w:suppressLineNumbers w:val="0"/>
              <w:spacing w:before="60" w:beforeAutospacing="0" w:after="60" w:afterAutospacing="0" w:line="26" w:lineRule="atLeast"/>
              <w:ind w:left="0" w:right="0"/>
              <w:jc w:val="left"/>
              <w:rPr>
                <w:b w:val="0"/>
                <w:bCs w:val="0"/>
                <w:i w:val="0"/>
                <w:iCs w:val="0"/>
                <w:color w:val="333333"/>
                <w:spacing w:val="0"/>
                <w:w w:val="100"/>
                <w:sz w:val="22"/>
                <w:szCs w:val="22"/>
                <w:vertAlign w:val="baseline"/>
              </w:rPr>
            </w:pPr>
            <w:r>
              <w:rPr>
                <w:b w:val="0"/>
                <w:bCs w:val="0"/>
                <w:i w:val="0"/>
                <w:iCs w:val="0"/>
                <w:color w:val="333333"/>
                <w:spacing w:val="0"/>
                <w:w w:val="100"/>
                <w:sz w:val="22"/>
                <w:szCs w:val="22"/>
                <w:vertAlign w:val="baseline"/>
              </w:rPr>
              <w:t>境外注册商所注册的域名不能直接备案。</w:t>
            </w:r>
          </w:p>
        </w:tc>
        <w:tc>
          <w:tcPr>
            <w:tcW w:w="3798" w:type="dxa"/>
          </w:tcPr>
          <w:p>
            <w:pPr>
              <w:pStyle w:val="5"/>
              <w:keepNext w:val="0"/>
              <w:keepLines w:val="0"/>
              <w:widowControl/>
              <w:suppressLineNumbers w:val="0"/>
              <w:spacing w:before="0" w:beforeAutospacing="0" w:after="0" w:afterAutospacing="0"/>
              <w:ind w:left="0" w:right="0"/>
              <w:jc w:val="left"/>
            </w:pPr>
            <w:r>
              <w:rPr>
                <w:b w:val="0"/>
                <w:bCs w:val="0"/>
                <w:i w:val="0"/>
                <w:iCs w:val="0"/>
                <w:color w:val="2E3033"/>
                <w:spacing w:val="0"/>
                <w:w w:val="100"/>
                <w:sz w:val="21"/>
                <w:szCs w:val="21"/>
                <w:vertAlign w:val="baseline"/>
              </w:rPr>
              <w:t>请转入境内有资质的服务商。</w:t>
            </w:r>
          </w:p>
          <w:p>
            <w:pPr>
              <w:pStyle w:val="5"/>
              <w:keepNext w:val="0"/>
              <w:keepLines w:val="0"/>
              <w:widowControl/>
              <w:suppressLineNumbers w:val="0"/>
              <w:spacing w:before="0" w:beforeAutospacing="0" w:after="0" w:afterAutospacing="0"/>
              <w:ind w:left="0" w:right="0"/>
              <w:jc w:val="left"/>
            </w:pPr>
            <w:r>
              <w:rPr>
                <w:b w:val="0"/>
                <w:bCs w:val="0"/>
                <w:i w:val="0"/>
                <w:iCs w:val="0"/>
                <w:color w:val="2E3033"/>
                <w:spacing w:val="0"/>
                <w:w w:val="100"/>
                <w:sz w:val="21"/>
                <w:szCs w:val="21"/>
                <w:vertAlign w:val="baseline"/>
              </w:rPr>
              <w:t xml:space="preserve">例如腾讯云。具体操作请参见 </w:t>
            </w:r>
          </w:p>
          <w:p>
            <w:pPr>
              <w:rPr>
                <w:rFonts w:hint="default"/>
                <w:vertAlign w:val="baseline"/>
                <w:lang w:val="en-US" w:eastAsia="zh-CN"/>
              </w:rPr>
            </w:pPr>
            <w:r>
              <w:rPr>
                <w:rFonts w:hint="default"/>
                <w:vertAlign w:val="baseline"/>
                <w:lang w:val="en-US" w:eastAsia="zh-CN"/>
              </w:rPr>
              <w:t>https://cloud.tencent.com/document/product/242/3645</w:t>
            </w:r>
          </w:p>
        </w:tc>
      </w:tr>
    </w:tbl>
    <w:p>
      <w:pPr>
        <w:pStyle w:val="4"/>
        <w:numPr>
          <w:ilvl w:val="0"/>
          <w:numId w:val="5"/>
        </w:numPr>
        <w:bidi w:val="0"/>
        <w:ind w:left="425" w:leftChars="0" w:hanging="425" w:firstLineChars="0"/>
        <w:jc w:val="left"/>
        <w:rPr>
          <w:rFonts w:hint="eastAsia" w:ascii="宋体" w:hAnsi="宋体" w:eastAsia="宋体" w:cs="宋体"/>
          <w:lang w:val="en-US" w:eastAsia="zh-CN"/>
        </w:rPr>
      </w:pPr>
      <w:r>
        <w:rPr>
          <w:rFonts w:hint="eastAsia" w:ascii="宋体" w:hAnsi="宋体" w:eastAsia="宋体" w:cs="宋体"/>
          <w:lang w:val="en-US" w:eastAsia="zh-CN"/>
        </w:rPr>
        <w:t xml:space="preserve"> ICP备案主体与域名所有者的关系</w:t>
      </w:r>
    </w:p>
    <w:p>
      <w:pPr>
        <w:pStyle w:val="5"/>
        <w:keepNext w:val="0"/>
        <w:keepLines w:val="0"/>
        <w:widowControl/>
        <w:suppressLineNumbers w:val="0"/>
        <w:spacing w:before="60" w:beforeAutospacing="0" w:after="60" w:afterAutospacing="0" w:line="26" w:lineRule="atLeast"/>
        <w:ind w:left="0" w:right="0"/>
        <w:jc w:val="left"/>
      </w:pPr>
      <w:r>
        <w:rPr>
          <w:b w:val="0"/>
          <w:bCs w:val="0"/>
          <w:i w:val="0"/>
          <w:iCs w:val="0"/>
          <w:color w:val="333333"/>
          <w:spacing w:val="0"/>
          <w:w w:val="100"/>
          <w:sz w:val="22"/>
          <w:szCs w:val="22"/>
          <w:vertAlign w:val="baseline"/>
        </w:rPr>
        <w:t>请备案时填报的备案主体信息应与域名所有者实名认证信息相符。</w:t>
      </w:r>
    </w:p>
    <w:p>
      <w:pPr>
        <w:pStyle w:val="5"/>
        <w:keepNext w:val="0"/>
        <w:keepLines w:val="0"/>
        <w:widowControl/>
        <w:numPr>
          <w:ilvl w:val="0"/>
          <w:numId w:val="7"/>
        </w:numPr>
        <w:suppressLineNumbers w:val="0"/>
        <w:spacing w:before="60" w:beforeAutospacing="0" w:after="60" w:afterAutospacing="0" w:line="26" w:lineRule="atLeast"/>
        <w:ind w:left="336" w:right="0" w:hanging="336"/>
        <w:jc w:val="left"/>
      </w:pPr>
      <w:r>
        <w:rPr>
          <w:b w:val="0"/>
          <w:bCs w:val="0"/>
          <w:i w:val="0"/>
          <w:iCs w:val="0"/>
          <w:color w:val="333333"/>
          <w:spacing w:val="0"/>
          <w:w w:val="100"/>
          <w:sz w:val="22"/>
          <w:szCs w:val="22"/>
          <w:vertAlign w:val="baseline"/>
        </w:rPr>
        <w:t>单位备案：备案主办单位名称或法定代表人需要与域名所有者实名认证信息保持一致（比对信息为：姓名、证件类型、证件号码）。</w:t>
      </w:r>
    </w:p>
    <w:p>
      <w:pPr>
        <w:pStyle w:val="5"/>
        <w:keepNext w:val="0"/>
        <w:keepLines w:val="0"/>
        <w:widowControl/>
        <w:numPr>
          <w:ilvl w:val="0"/>
          <w:numId w:val="7"/>
        </w:numPr>
        <w:suppressLineNumbers w:val="0"/>
        <w:spacing w:before="60" w:beforeAutospacing="0" w:after="60" w:afterAutospacing="0" w:line="26" w:lineRule="atLeast"/>
        <w:ind w:left="336" w:right="0" w:hanging="336"/>
        <w:jc w:val="left"/>
      </w:pPr>
      <w:r>
        <w:rPr>
          <w:b w:val="0"/>
          <w:bCs w:val="0"/>
          <w:i w:val="0"/>
          <w:iCs w:val="0"/>
          <w:color w:val="333333"/>
          <w:spacing w:val="0"/>
          <w:w w:val="100"/>
          <w:sz w:val="22"/>
          <w:szCs w:val="22"/>
          <w:vertAlign w:val="baseline"/>
        </w:rPr>
        <w:t>一般情况下，企业备案域名所有者需要与企业备案主体名称或者法定代表人一致。</w:t>
      </w:r>
    </w:p>
    <w:p>
      <w:pPr>
        <w:pStyle w:val="5"/>
        <w:keepNext w:val="0"/>
        <w:keepLines w:val="0"/>
        <w:widowControl/>
        <w:numPr>
          <w:ilvl w:val="0"/>
          <w:numId w:val="7"/>
        </w:numPr>
        <w:suppressLineNumbers w:val="0"/>
        <w:spacing w:before="60" w:beforeAutospacing="0" w:after="60" w:afterAutospacing="0" w:line="26" w:lineRule="atLeast"/>
        <w:ind w:left="336" w:right="0" w:hanging="336"/>
        <w:jc w:val="left"/>
      </w:pPr>
      <w:r>
        <w:rPr>
          <w:b w:val="0"/>
          <w:bCs w:val="0"/>
          <w:i w:val="0"/>
          <w:iCs w:val="0"/>
          <w:color w:val="333333"/>
          <w:spacing w:val="0"/>
          <w:w w:val="100"/>
          <w:sz w:val="22"/>
          <w:szCs w:val="22"/>
          <w:vertAlign w:val="baseline"/>
        </w:rPr>
        <w:t>存在部分特殊情况，例如，国家机密单位、大型公司进行备案，域名所有者可以是单位主要负责人或者高级管理人员，但需提供相关证明材料（仅部分省份，具体请参见</w:t>
      </w:r>
      <w:r>
        <w:rPr>
          <w:rFonts w:hint="eastAsia"/>
          <w:b w:val="0"/>
          <w:bCs w:val="0"/>
          <w:i w:val="0"/>
          <w:iCs w:val="0"/>
          <w:color w:val="333333"/>
          <w:spacing w:val="0"/>
          <w:w w:val="100"/>
          <w:sz w:val="22"/>
          <w:szCs w:val="22"/>
          <w:vertAlign w:val="baseline"/>
        </w:rPr>
        <w:t>https://cloud.tencent.com/document/product/243/3474</w:t>
      </w:r>
    </w:p>
    <w:p>
      <w:pPr>
        <w:pStyle w:val="5"/>
        <w:keepNext w:val="0"/>
        <w:keepLines w:val="0"/>
        <w:widowControl/>
        <w:numPr>
          <w:numId w:val="0"/>
        </w:numPr>
        <w:suppressLineNumbers w:val="0"/>
        <w:spacing w:before="60" w:beforeAutospacing="0" w:after="60" w:afterAutospacing="0" w:line="26" w:lineRule="atLeast"/>
        <w:ind w:leftChars="0" w:right="0" w:rightChars="0"/>
        <w:jc w:val="left"/>
        <w:rPr>
          <w:rFonts w:hint="eastAsia"/>
          <w:b w:val="0"/>
          <w:bCs w:val="0"/>
          <w:i w:val="0"/>
          <w:iCs w:val="0"/>
          <w:color w:val="333333"/>
          <w:spacing w:val="0"/>
          <w:w w:val="100"/>
          <w:sz w:val="22"/>
          <w:szCs w:val="22"/>
          <w:vertAlign w:val="baseline"/>
        </w:rPr>
      </w:pPr>
    </w:p>
    <w:p>
      <w:pPr>
        <w:pStyle w:val="4"/>
        <w:numPr>
          <w:ilvl w:val="0"/>
          <w:numId w:val="5"/>
        </w:numPr>
        <w:bidi w:val="0"/>
        <w:ind w:left="425" w:leftChars="0" w:hanging="425" w:firstLineChars="0"/>
        <w:jc w:val="left"/>
        <w:rPr>
          <w:rFonts w:hint="eastAsia" w:ascii="宋体" w:hAnsi="宋体" w:eastAsia="宋体" w:cs="宋体"/>
          <w:lang w:val="en-US" w:eastAsia="zh-CN"/>
        </w:rPr>
      </w:pPr>
      <w:r>
        <w:rPr>
          <w:rFonts w:hint="eastAsia" w:ascii="宋体" w:hAnsi="宋体" w:eastAsia="宋体" w:cs="宋体"/>
          <w:lang w:val="en-US" w:eastAsia="zh-CN"/>
        </w:rPr>
        <w:t xml:space="preserve"> APP应用服务备案要求</w:t>
      </w:r>
    </w:p>
    <w:p>
      <w:pPr>
        <w:pStyle w:val="5"/>
        <w:keepNext w:val="0"/>
        <w:keepLines w:val="0"/>
        <w:widowControl/>
        <w:suppressLineNumbers w:val="0"/>
        <w:spacing w:before="60" w:beforeAutospacing="0" w:after="60" w:afterAutospacing="0" w:line="26" w:lineRule="atLeast"/>
        <w:ind w:left="0" w:right="0"/>
        <w:jc w:val="left"/>
      </w:pPr>
      <w:r>
        <w:rPr>
          <w:b w:val="0"/>
          <w:bCs w:val="0"/>
          <w:i w:val="0"/>
          <w:iCs w:val="0"/>
          <w:color w:val="333333"/>
          <w:spacing w:val="0"/>
          <w:w w:val="100"/>
          <w:sz w:val="22"/>
          <w:szCs w:val="22"/>
          <w:vertAlign w:val="baseline"/>
        </w:rPr>
        <w:t>进行 APP 应用服务 ICP 备案时，APP 所在的运行平台使用的域名进行填写。域名实名信息需要与备案主体一致，同时支持最多四级域名填写，二级域名（qcloud.com）、三级域名（beian.qcloud.com）、四级域名（shenzhen.beian.qcloud.com），可以输入多个域名。</w:t>
      </w:r>
    </w:p>
    <w:p>
      <w:pPr>
        <w:pStyle w:val="5"/>
        <w:keepNext w:val="0"/>
        <w:keepLines w:val="0"/>
        <w:widowControl/>
        <w:suppressLineNumbers w:val="0"/>
        <w:spacing w:before="60" w:beforeAutospacing="0" w:after="60" w:afterAutospacing="0" w:line="26" w:lineRule="atLeast"/>
        <w:ind w:left="0" w:right="0"/>
        <w:jc w:val="left"/>
      </w:pPr>
      <w:r>
        <w:drawing>
          <wp:inline distT="0" distB="0" distL="114300" distR="114300">
            <wp:extent cx="5591175" cy="923925"/>
            <wp:effectExtent l="0" t="0" r="22225" b="1587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591175" cy="923925"/>
                    </a:xfrm>
                    <a:prstGeom prst="rect">
                      <a:avLst/>
                    </a:prstGeom>
                    <a:noFill/>
                    <a:ln w="9525">
                      <a:noFill/>
                    </a:ln>
                  </pic:spPr>
                </pic:pic>
              </a:graphicData>
            </a:graphic>
          </wp:inline>
        </w:drawing>
      </w:r>
    </w:p>
    <w:p>
      <w:pPr>
        <w:pStyle w:val="5"/>
        <w:keepNext w:val="0"/>
        <w:keepLines w:val="0"/>
        <w:widowControl/>
        <w:numPr>
          <w:numId w:val="0"/>
        </w:numPr>
        <w:suppressLineNumbers w:val="0"/>
        <w:spacing w:before="60" w:beforeAutospacing="0" w:after="60" w:afterAutospacing="0" w:line="26" w:lineRule="atLeast"/>
        <w:ind w:leftChars="0" w:right="0" w:rightChars="0"/>
        <w:jc w:val="left"/>
        <w:rPr>
          <w:rFonts w:hint="eastAsia"/>
          <w:b w:val="0"/>
          <w:bCs w:val="0"/>
          <w:i w:val="0"/>
          <w:iCs w:val="0"/>
          <w:color w:val="333333"/>
          <w:spacing w:val="0"/>
          <w:w w:val="100"/>
          <w:sz w:val="22"/>
          <w:szCs w:val="22"/>
          <w:vertAlign w:val="baseline"/>
        </w:rPr>
      </w:pPr>
    </w:p>
    <w:p>
      <w:pPr>
        <w:pStyle w:val="3"/>
        <w:numPr>
          <w:ilvl w:val="0"/>
          <w:numId w:val="3"/>
        </w:numPr>
        <w:bidi w:val="0"/>
        <w:rPr>
          <w:rFonts w:hint="eastAsia"/>
          <w:lang w:val="en-US" w:eastAsia="zh-CN"/>
        </w:rPr>
      </w:pPr>
      <w:r>
        <w:rPr>
          <w:rFonts w:hint="eastAsia"/>
          <w:lang w:val="en-US" w:eastAsia="zh-CN"/>
        </w:rPr>
        <w:t>ICP备案</w:t>
      </w:r>
    </w:p>
    <w:p>
      <w:pPr>
        <w:pStyle w:val="5"/>
        <w:keepNext w:val="0"/>
        <w:keepLines w:val="0"/>
        <w:widowControl/>
        <w:suppressLineNumbers w:val="0"/>
        <w:spacing w:before="60" w:beforeAutospacing="0" w:after="60" w:afterAutospacing="0" w:line="26" w:lineRule="atLeast"/>
        <w:ind w:left="0" w:right="0"/>
        <w:jc w:val="left"/>
      </w:pPr>
      <w:r>
        <w:rPr>
          <w:b w:val="0"/>
          <w:bCs w:val="0"/>
          <w:i w:val="0"/>
          <w:iCs w:val="0"/>
          <w:color w:val="333333"/>
          <w:spacing w:val="0"/>
          <w:w w:val="100"/>
          <w:sz w:val="22"/>
          <w:szCs w:val="22"/>
          <w:vertAlign w:val="baseline"/>
        </w:rPr>
        <w:t>PS：</w:t>
      </w:r>
    </w:p>
    <w:p>
      <w:pPr>
        <w:pStyle w:val="5"/>
        <w:keepNext w:val="0"/>
        <w:keepLines w:val="0"/>
        <w:widowControl/>
        <w:numPr>
          <w:ilvl w:val="0"/>
          <w:numId w:val="8"/>
        </w:numPr>
        <w:suppressLineNumbers w:val="0"/>
        <w:spacing w:before="60" w:beforeAutospacing="0" w:after="60" w:afterAutospacing="0" w:line="26" w:lineRule="atLeast"/>
        <w:ind w:left="336" w:right="0" w:hanging="336"/>
        <w:jc w:val="left"/>
      </w:pPr>
      <w:r>
        <w:rPr>
          <w:b w:val="0"/>
          <w:bCs w:val="0"/>
          <w:i w:val="0"/>
          <w:iCs w:val="0"/>
          <w:color w:val="333333"/>
          <w:spacing w:val="0"/>
          <w:w w:val="100"/>
          <w:sz w:val="22"/>
          <w:szCs w:val="22"/>
          <w:vertAlign w:val="baseline"/>
        </w:rPr>
        <w:t>如果您使用了腾讯云服务，请直接参考</w:t>
      </w:r>
    </w:p>
    <w:p>
      <w:pPr>
        <w:rPr>
          <w:rFonts w:hint="default"/>
          <w:lang w:val="en-US" w:eastAsia="zh-CN"/>
        </w:rPr>
      </w:pPr>
      <w:r>
        <w:rPr>
          <w:rFonts w:hint="default"/>
          <w:lang w:val="en-US" w:eastAsia="zh-CN"/>
        </w:rPr>
        <w:fldChar w:fldCharType="begin"/>
      </w:r>
      <w:r>
        <w:rPr>
          <w:rFonts w:hint="default"/>
          <w:lang w:val="en-US" w:eastAsia="zh-CN"/>
        </w:rPr>
        <w:instrText xml:space="preserve"> HYPERLINK "https://cloud.tencent.com/document/product/243/18909" </w:instrText>
      </w:r>
      <w:r>
        <w:rPr>
          <w:rFonts w:hint="default"/>
          <w:lang w:val="en-US" w:eastAsia="zh-CN"/>
        </w:rPr>
        <w:fldChar w:fldCharType="separate"/>
      </w:r>
      <w:r>
        <w:rPr>
          <w:rStyle w:val="9"/>
          <w:rFonts w:hint="default"/>
          <w:lang w:val="en-US" w:eastAsia="zh-CN"/>
        </w:rPr>
        <w:t>https://cloud.tencent.com/document/product/243/18909</w:t>
      </w:r>
      <w:r>
        <w:rPr>
          <w:rFonts w:hint="default"/>
          <w:lang w:val="en-US" w:eastAsia="zh-CN"/>
        </w:rPr>
        <w:fldChar w:fldCharType="end"/>
      </w:r>
    </w:p>
    <w:p>
      <w:pPr>
        <w:pStyle w:val="5"/>
        <w:keepNext w:val="0"/>
        <w:keepLines w:val="0"/>
        <w:widowControl/>
        <w:numPr>
          <w:ilvl w:val="0"/>
          <w:numId w:val="9"/>
        </w:numPr>
        <w:suppressLineNumbers w:val="0"/>
        <w:spacing w:before="60" w:beforeAutospacing="0" w:after="60" w:afterAutospacing="0" w:line="26" w:lineRule="atLeast"/>
        <w:ind w:left="336" w:right="0" w:hanging="336"/>
        <w:jc w:val="left"/>
      </w:pPr>
      <w:r>
        <w:rPr>
          <w:b w:val="0"/>
          <w:bCs w:val="0"/>
          <w:i w:val="0"/>
          <w:iCs w:val="0"/>
          <w:color w:val="333333"/>
          <w:spacing w:val="0"/>
          <w:w w:val="100"/>
          <w:sz w:val="22"/>
          <w:szCs w:val="22"/>
          <w:vertAlign w:val="baseline"/>
        </w:rPr>
        <w:t>如果您使用了其他接入商的服务，以下指引也可以帮忙您快速知晓完整流程。</w:t>
      </w:r>
    </w:p>
    <w:p>
      <w:pPr>
        <w:rPr>
          <w:rFonts w:hint="default"/>
          <w:lang w:val="en-US" w:eastAsia="zh-CN"/>
        </w:rPr>
      </w:pPr>
    </w:p>
    <w:p>
      <w:pPr>
        <w:pStyle w:val="4"/>
        <w:numPr>
          <w:ilvl w:val="0"/>
          <w:numId w:val="10"/>
        </w:numPr>
        <w:bidi w:val="0"/>
      </w:pPr>
      <w:r>
        <w:t xml:space="preserve"> </w:t>
      </w:r>
      <w:r>
        <w:rPr>
          <w:rFonts w:hint="eastAsia"/>
          <w:lang w:val="en-US" w:eastAsia="zh-CN"/>
        </w:rPr>
        <w:t>主办者申请</w:t>
      </w:r>
    </w:p>
    <w:p>
      <w:pPr>
        <w:pStyle w:val="5"/>
        <w:keepNext w:val="0"/>
        <w:keepLines w:val="0"/>
        <w:widowControl/>
        <w:suppressLineNumbers w:val="0"/>
        <w:spacing w:before="60" w:beforeAutospacing="0" w:after="60" w:afterAutospacing="0" w:line="26" w:lineRule="atLeast"/>
        <w:ind w:left="0" w:right="0"/>
        <w:jc w:val="left"/>
      </w:pPr>
      <w:r>
        <w:rPr>
          <w:b w:val="0"/>
          <w:bCs w:val="0"/>
          <w:i w:val="0"/>
          <w:iCs w:val="0"/>
          <w:color w:val="333333"/>
          <w:spacing w:val="0"/>
          <w:w w:val="100"/>
          <w:sz w:val="22"/>
          <w:szCs w:val="22"/>
          <w:vertAlign w:val="baseline"/>
        </w:rPr>
        <w:t>通过网络接入服务提供者、小程序平台、快应用平台的企业侧备案系统向主办者所在省级通信管理局提交申请</w:t>
      </w:r>
    </w:p>
    <w:p>
      <w:pPr>
        <w:pStyle w:val="4"/>
        <w:numPr>
          <w:ilvl w:val="0"/>
          <w:numId w:val="10"/>
        </w:numPr>
        <w:bidi w:val="0"/>
        <w:jc w:val="left"/>
        <w:rPr>
          <w:rFonts w:ascii="宋体" w:hAnsi="宋体" w:eastAsia="宋体" w:cs="宋体"/>
        </w:rPr>
      </w:pPr>
      <w:r>
        <w:rPr>
          <w:rFonts w:ascii="宋体" w:hAnsi="宋体" w:eastAsia="宋体" w:cs="宋体"/>
        </w:rPr>
        <w:t xml:space="preserve"> 材料核验</w:t>
      </w:r>
    </w:p>
    <w:p>
      <w:pPr>
        <w:pStyle w:val="5"/>
        <w:keepNext w:val="0"/>
        <w:keepLines w:val="0"/>
        <w:widowControl/>
        <w:suppressLineNumbers w:val="0"/>
        <w:spacing w:before="60" w:beforeAutospacing="0" w:after="60" w:afterAutospacing="0" w:line="26" w:lineRule="atLeast"/>
        <w:ind w:left="0" w:right="0"/>
        <w:jc w:val="left"/>
      </w:pPr>
      <w:r>
        <w:rPr>
          <w:b w:val="0"/>
          <w:bCs w:val="0"/>
          <w:i w:val="0"/>
          <w:iCs w:val="0"/>
          <w:color w:val="333333"/>
          <w:spacing w:val="0"/>
          <w:w w:val="100"/>
          <w:sz w:val="22"/>
          <w:szCs w:val="22"/>
          <w:vertAlign w:val="baseline"/>
        </w:rPr>
        <w:t>网络接入服务提供者、小程序平台、快应用平台对主办者提交的申请材料进行核验。</w:t>
      </w:r>
    </w:p>
    <w:p>
      <w:pPr>
        <w:pStyle w:val="4"/>
        <w:numPr>
          <w:ilvl w:val="0"/>
          <w:numId w:val="10"/>
        </w:numPr>
        <w:bidi w:val="0"/>
        <w:jc w:val="left"/>
        <w:rPr>
          <w:rFonts w:ascii="宋体" w:hAnsi="宋体" w:eastAsia="宋体" w:cs="宋体"/>
        </w:rPr>
      </w:pPr>
      <w:r>
        <w:rPr>
          <w:rFonts w:ascii="宋体" w:hAnsi="宋体" w:eastAsia="宋体" w:cs="宋体"/>
        </w:rPr>
        <w:t xml:space="preserve"> 主办者确认</w:t>
      </w:r>
    </w:p>
    <w:p>
      <w:pPr>
        <w:pStyle w:val="5"/>
        <w:keepNext w:val="0"/>
        <w:keepLines w:val="0"/>
        <w:widowControl/>
        <w:suppressLineNumbers w:val="0"/>
        <w:spacing w:before="60" w:beforeAutospacing="0" w:after="60" w:afterAutospacing="0" w:line="26" w:lineRule="atLeast"/>
        <w:ind w:left="0" w:right="0"/>
        <w:jc w:val="left"/>
      </w:pPr>
      <w:r>
        <w:rPr>
          <w:b w:val="0"/>
          <w:bCs w:val="0"/>
          <w:i w:val="0"/>
          <w:iCs w:val="0"/>
          <w:color w:val="333333"/>
          <w:spacing w:val="0"/>
          <w:w w:val="100"/>
          <w:sz w:val="22"/>
          <w:szCs w:val="22"/>
          <w:vertAlign w:val="baseline"/>
        </w:rPr>
        <w:t>核验通过后，向主办者发送短信验证。主办者根据短信提示，登录 https://beian.miit.gov.cn/进行确认。</w:t>
      </w:r>
    </w:p>
    <w:p>
      <w:pPr>
        <w:pStyle w:val="4"/>
        <w:numPr>
          <w:ilvl w:val="0"/>
          <w:numId w:val="10"/>
        </w:numPr>
        <w:bidi w:val="0"/>
        <w:jc w:val="left"/>
        <w:rPr>
          <w:rFonts w:ascii="宋体" w:hAnsi="宋体" w:eastAsia="宋体" w:cs="宋体"/>
        </w:rPr>
      </w:pPr>
      <w:r>
        <w:rPr>
          <w:rFonts w:ascii="宋体" w:hAnsi="宋体" w:eastAsia="宋体" w:cs="宋体"/>
        </w:rPr>
        <w:t xml:space="preserve"> 材料审核</w:t>
      </w:r>
    </w:p>
    <w:p>
      <w:pPr>
        <w:pStyle w:val="5"/>
        <w:keepNext w:val="0"/>
        <w:keepLines w:val="0"/>
        <w:widowControl/>
        <w:suppressLineNumbers w:val="0"/>
        <w:spacing w:before="60" w:beforeAutospacing="0" w:after="60" w:afterAutospacing="0" w:line="26" w:lineRule="atLeast"/>
        <w:ind w:left="0" w:right="0"/>
        <w:jc w:val="left"/>
      </w:pPr>
      <w:r>
        <w:rPr>
          <w:b w:val="0"/>
          <w:bCs w:val="0"/>
          <w:i w:val="0"/>
          <w:iCs w:val="0"/>
          <w:color w:val="333333"/>
          <w:spacing w:val="0"/>
          <w:w w:val="100"/>
          <w:sz w:val="22"/>
          <w:szCs w:val="22"/>
          <w:vertAlign w:val="baseline"/>
        </w:rPr>
        <w:t>主办者确认后，省级通信管理局进行审核。约20个工作日。</w:t>
      </w:r>
    </w:p>
    <w:p>
      <w:pPr>
        <w:pStyle w:val="4"/>
        <w:numPr>
          <w:ilvl w:val="0"/>
          <w:numId w:val="10"/>
        </w:numPr>
        <w:bidi w:val="0"/>
        <w:jc w:val="left"/>
        <w:rPr>
          <w:rFonts w:ascii="宋体" w:hAnsi="宋体" w:eastAsia="宋体" w:cs="宋体"/>
        </w:rPr>
      </w:pPr>
      <w:r>
        <w:rPr>
          <w:rFonts w:ascii="宋体" w:hAnsi="宋体" w:eastAsia="宋体" w:cs="宋体"/>
        </w:rPr>
        <w:t xml:space="preserve"> 结果下发</w:t>
      </w:r>
    </w:p>
    <w:p>
      <w:pPr>
        <w:pStyle w:val="5"/>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审核通过后，通过短信、邮件将APP备案号告知主办者。主办者也可通过</w:t>
      </w:r>
    </w:p>
    <w:p>
      <w:pPr>
        <w:pStyle w:val="5"/>
        <w:keepNext w:val="0"/>
        <w:keepLines w:val="0"/>
        <w:widowControl/>
        <w:suppressLineNumbers w:val="0"/>
        <w:spacing w:before="60" w:beforeAutospacing="0" w:after="60" w:afterAutospacing="0" w:line="26" w:lineRule="atLeast"/>
        <w:ind w:left="0" w:right="0"/>
        <w:jc w:val="left"/>
      </w:pPr>
      <w:r>
        <w:rPr>
          <w:b w:val="0"/>
          <w:bCs w:val="0"/>
          <w:i w:val="0"/>
          <w:iCs w:val="0"/>
          <w:color w:val="333333"/>
          <w:spacing w:val="0"/>
          <w:w w:val="100"/>
          <w:sz w:val="22"/>
          <w:szCs w:val="22"/>
          <w:vertAlign w:val="baseline"/>
        </w:rPr>
        <w:t>https://beian.miit.gov.cn/查看备案结果。</w:t>
      </w:r>
    </w:p>
    <w:p>
      <w:pPr>
        <w:pStyle w:val="4"/>
        <w:numPr>
          <w:ilvl w:val="0"/>
          <w:numId w:val="10"/>
        </w:numPr>
        <w:bidi w:val="0"/>
        <w:jc w:val="left"/>
        <w:rPr>
          <w:rFonts w:ascii="宋体" w:hAnsi="宋体" w:eastAsia="宋体" w:cs="宋体"/>
        </w:rPr>
      </w:pPr>
      <w:r>
        <w:rPr>
          <w:rFonts w:ascii="宋体" w:hAnsi="宋体" w:eastAsia="宋体" w:cs="宋体"/>
        </w:rPr>
        <w:t xml:space="preserve"> 结果公示</w:t>
      </w:r>
    </w:p>
    <w:p>
      <w:pPr>
        <w:pStyle w:val="5"/>
        <w:keepNext w:val="0"/>
        <w:keepLines w:val="0"/>
        <w:widowControl/>
        <w:suppressLineNumbers w:val="0"/>
        <w:spacing w:before="60" w:beforeAutospacing="0" w:after="60" w:afterAutospacing="0" w:line="26" w:lineRule="atLeast"/>
        <w:ind w:left="0" w:right="0"/>
        <w:jc w:val="left"/>
      </w:pPr>
      <w:r>
        <w:rPr>
          <w:b w:val="0"/>
          <w:bCs w:val="0"/>
          <w:i w:val="0"/>
          <w:iCs w:val="0"/>
          <w:color w:val="333333"/>
          <w:spacing w:val="0"/>
          <w:w w:val="100"/>
          <w:sz w:val="22"/>
          <w:szCs w:val="22"/>
          <w:vertAlign w:val="baseline"/>
        </w:rPr>
        <w:t>工业和信息化部通过</w:t>
      </w:r>
      <w:r>
        <w:fldChar w:fldCharType="begin"/>
      </w:r>
      <w:r>
        <w:instrText xml:space="preserve"> HYPERLINK "https://beian.miit.gov.cn/" \l "/Integrated/index" </w:instrText>
      </w:r>
      <w:r>
        <w:fldChar w:fldCharType="separate"/>
      </w:r>
      <w:r>
        <w:rPr>
          <w:rStyle w:val="9"/>
          <w:b w:val="0"/>
          <w:bCs w:val="0"/>
          <w:i w:val="0"/>
          <w:iCs w:val="0"/>
          <w:color w:val="1E6FFF"/>
          <w:spacing w:val="0"/>
          <w:w w:val="100"/>
          <w:sz w:val="22"/>
          <w:szCs w:val="22"/>
          <w:u w:val="single"/>
          <w:vertAlign w:val="baseline"/>
        </w:rPr>
        <w:t>https://beian.miit.gov.cn/#/Integrated/index</w:t>
      </w:r>
      <w:r>
        <w:fldChar w:fldCharType="end"/>
      </w:r>
    </w:p>
    <w:p>
      <w:pPr>
        <w:pStyle w:val="5"/>
        <w:keepNext w:val="0"/>
        <w:keepLines w:val="0"/>
        <w:widowControl/>
        <w:suppressLineNumbers w:val="0"/>
        <w:spacing w:before="60" w:beforeAutospacing="0" w:after="60" w:afterAutospacing="0" w:line="26" w:lineRule="atLeast"/>
        <w:ind w:left="0" w:right="0"/>
        <w:jc w:val="left"/>
      </w:pPr>
    </w:p>
    <w:p>
      <w:pPr>
        <w:pStyle w:val="5"/>
        <w:keepNext w:val="0"/>
        <w:keepLines w:val="0"/>
        <w:widowControl/>
        <w:suppressLineNumbers w:val="0"/>
        <w:spacing w:before="60" w:beforeAutospacing="0" w:after="60" w:afterAutospacing="0" w:line="26" w:lineRule="atLeast"/>
        <w:ind w:left="0" w:right="0"/>
        <w:jc w:val="left"/>
      </w:pPr>
      <w:r>
        <w:drawing>
          <wp:inline distT="0" distB="0" distL="114300" distR="114300">
            <wp:extent cx="5267325" cy="1943100"/>
            <wp:effectExtent l="0" t="0" r="15875" b="1270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5267325" cy="1943100"/>
                    </a:xfrm>
                    <a:prstGeom prst="rect">
                      <a:avLst/>
                    </a:prstGeom>
                    <a:noFill/>
                    <a:ln w="9525">
                      <a:solidFill>
                        <a:schemeClr val="bg1">
                          <a:lumMod val="85000"/>
                        </a:schemeClr>
                      </a:solidFill>
                    </a:ln>
                  </pic:spPr>
                </pic:pic>
              </a:graphicData>
            </a:graphic>
          </wp:inline>
        </w:drawing>
      </w:r>
    </w:p>
    <w:p>
      <w:pPr>
        <w:pStyle w:val="5"/>
        <w:keepNext w:val="0"/>
        <w:keepLines w:val="0"/>
        <w:widowControl/>
        <w:suppressLineNumbers w:val="0"/>
        <w:spacing w:before="60" w:beforeAutospacing="0" w:after="60" w:afterAutospacing="0" w:line="26" w:lineRule="atLeast"/>
        <w:ind w:left="0" w:right="0"/>
        <w:jc w:val="left"/>
      </w:pPr>
      <w:r>
        <w:drawing>
          <wp:inline distT="0" distB="0" distL="114300" distR="114300">
            <wp:extent cx="5181600" cy="3352800"/>
            <wp:effectExtent l="12700" t="12700" r="12700" b="1270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a:off x="0" y="0"/>
                      <a:ext cx="5181600" cy="3352800"/>
                    </a:xfrm>
                    <a:prstGeom prst="rect">
                      <a:avLst/>
                    </a:prstGeom>
                    <a:noFill/>
                    <a:ln w="9525">
                      <a:solidFill>
                        <a:schemeClr val="bg1">
                          <a:lumMod val="85000"/>
                        </a:schemeClr>
                      </a:solidFill>
                    </a:ln>
                  </pic:spPr>
                </pic:pic>
              </a:graphicData>
            </a:graphic>
          </wp:inline>
        </w:drawing>
      </w:r>
    </w:p>
    <w:p>
      <w:pPr>
        <w:pStyle w:val="2"/>
        <w:numPr>
          <w:ilvl w:val="0"/>
          <w:numId w:val="1"/>
        </w:numPr>
        <w:bidi w:val="0"/>
        <w:jc w:val="left"/>
        <w:rPr>
          <w:rFonts w:hint="eastAsia" w:ascii="宋体" w:hAnsi="宋体" w:eastAsia="宋体" w:cs="宋体"/>
          <w:lang w:val="en-US" w:eastAsia="zh-CN"/>
        </w:rPr>
      </w:pPr>
      <w:r>
        <w:rPr>
          <w:rFonts w:hint="eastAsia" w:ascii="宋体" w:hAnsi="宋体" w:eastAsia="宋体" w:cs="宋体"/>
          <w:lang w:val="en-US" w:eastAsia="zh-CN"/>
        </w:rPr>
        <w:t xml:space="preserve"> 填写备案资料</w:t>
      </w:r>
    </w:p>
    <w:p>
      <w:pPr>
        <w:pStyle w:val="5"/>
        <w:keepNext w:val="0"/>
        <w:keepLines w:val="0"/>
        <w:widowControl/>
        <w:suppressLineNumbers w:val="0"/>
        <w:spacing w:before="60" w:beforeAutospacing="0" w:after="60" w:afterAutospacing="0" w:line="26" w:lineRule="atLeast"/>
        <w:ind w:left="0" w:right="0"/>
        <w:jc w:val="left"/>
      </w:pPr>
      <w:r>
        <w:rPr>
          <w:b w:val="0"/>
          <w:bCs w:val="0"/>
          <w:i w:val="0"/>
          <w:iCs w:val="0"/>
          <w:color w:val="333333"/>
          <w:spacing w:val="0"/>
          <w:w w:val="100"/>
          <w:sz w:val="22"/>
          <w:szCs w:val="22"/>
          <w:vertAlign w:val="baseline"/>
        </w:rPr>
        <w:t>PS：</w:t>
      </w:r>
    </w:p>
    <w:p>
      <w:pPr>
        <w:pStyle w:val="5"/>
        <w:keepNext w:val="0"/>
        <w:keepLines w:val="0"/>
        <w:widowControl/>
        <w:numPr>
          <w:ilvl w:val="0"/>
          <w:numId w:val="11"/>
        </w:numPr>
        <w:suppressLineNumbers w:val="0"/>
        <w:spacing w:before="60" w:beforeAutospacing="0" w:after="60" w:afterAutospacing="0" w:line="26" w:lineRule="atLeast"/>
        <w:ind w:left="336" w:right="0" w:hanging="336"/>
        <w:jc w:val="left"/>
      </w:pPr>
      <w:r>
        <w:rPr>
          <w:b w:val="0"/>
          <w:bCs w:val="0"/>
          <w:i w:val="0"/>
          <w:iCs w:val="0"/>
          <w:color w:val="333333"/>
          <w:spacing w:val="0"/>
          <w:w w:val="100"/>
          <w:sz w:val="22"/>
          <w:szCs w:val="22"/>
          <w:vertAlign w:val="baseline"/>
        </w:rPr>
        <w:t>如果您使用了腾讯云服务，请直接参考</w:t>
      </w:r>
      <w:r>
        <w:rPr>
          <w:rFonts w:hint="eastAsia"/>
        </w:rPr>
        <w:t>https://cloud.tencent.com/document/product/243/97668#07046aaf-e9f5-476d-b2d3-39c88bd0b00d</w:t>
      </w:r>
    </w:p>
    <w:p>
      <w:pPr>
        <w:pStyle w:val="5"/>
        <w:keepNext w:val="0"/>
        <w:keepLines w:val="0"/>
        <w:widowControl/>
        <w:numPr>
          <w:ilvl w:val="0"/>
          <w:numId w:val="11"/>
        </w:numPr>
        <w:suppressLineNumbers w:val="0"/>
        <w:spacing w:before="60" w:beforeAutospacing="0" w:after="60" w:afterAutospacing="0" w:line="26" w:lineRule="atLeast"/>
        <w:ind w:left="336" w:right="0" w:hanging="336"/>
        <w:jc w:val="left"/>
      </w:pPr>
      <w:r>
        <w:rPr>
          <w:b w:val="0"/>
          <w:bCs w:val="0"/>
          <w:i w:val="0"/>
          <w:iCs w:val="0"/>
          <w:color w:val="333333"/>
          <w:spacing w:val="0"/>
          <w:w w:val="100"/>
          <w:sz w:val="22"/>
          <w:szCs w:val="22"/>
          <w:vertAlign w:val="baseline"/>
        </w:rPr>
        <w:t>如果您使用了其他接入商的服务，以下文档也可以帮忙您快速知晓需要填写的关键信息。</w:t>
      </w:r>
    </w:p>
    <w:p>
      <w:pPr>
        <w:rPr>
          <w:rFonts w:hint="default"/>
          <w:lang w:val="en-US" w:eastAsia="zh-CN"/>
        </w:rPr>
      </w:pPr>
      <w:r>
        <w:rPr>
          <w:rFonts w:hint="default"/>
          <w:lang w:val="en-US" w:eastAsia="zh-CN"/>
        </w:rPr>
        <w:object>
          <v:shape id="_x0000_i1029" o:spt="75" type="#_x0000_t75" style="height:120pt;width:120pt;" o:ole="t" filled="f" o:preferrelative="t" stroked="f" coordsize="21600,21600">
            <v:fill on="f" focussize="0,0"/>
            <v:stroke on="f"/>
            <v:imagedata r:id="rId9" o:title="oleimage"/>
            <o:lock v:ext="edit" aspectratio="t"/>
            <w10:wrap type="none"/>
            <w10:anchorlock/>
          </v:shape>
          <o:OLEObject Type="Embed" ProgID="Excel.Sheet.12" ShapeID="_x0000_i1029" DrawAspect="Icon" ObjectID="_1468075725" r:id="rId8">
            <o:LockedField>false</o:LockedField>
          </o:OLEObject>
        </w:object>
      </w:r>
    </w:p>
    <w:p>
      <w:pPr>
        <w:rPr>
          <w:rFonts w:hint="default"/>
          <w:lang w:val="en-US" w:eastAsia="zh-CN"/>
        </w:rPr>
      </w:pPr>
    </w:p>
    <w:p>
      <w:pPr>
        <w:keepNext w:val="0"/>
        <w:keepLines w:val="0"/>
        <w:widowControl/>
        <w:suppressLineNumbers w:val="0"/>
        <w:jc w:val="left"/>
        <w:rPr>
          <w:rFonts w:asciiTheme="minorHAnsi" w:hAnsiTheme="minorHAnsi" w:eastAsiaTheme="minorEastAsia" w:cstheme="minorBidi"/>
          <w:b w:val="0"/>
          <w:bCs w:val="0"/>
          <w:i w:val="0"/>
          <w:iCs w:val="0"/>
          <w:color w:val="333333"/>
          <w:spacing w:val="0"/>
          <w:w w:val="100"/>
          <w:kern w:val="2"/>
          <w:sz w:val="22"/>
          <w:szCs w:val="22"/>
          <w:vertAlign w:val="baseline"/>
          <w:lang w:val="en-US" w:eastAsia="zh-CN" w:bidi="ar-SA"/>
        </w:rPr>
      </w:pPr>
      <w:r>
        <w:rPr>
          <w:rFonts w:asciiTheme="minorHAnsi" w:hAnsiTheme="minorHAnsi" w:eastAsiaTheme="minorEastAsia" w:cstheme="minorBidi"/>
          <w:b w:val="0"/>
          <w:bCs w:val="0"/>
          <w:i w:val="0"/>
          <w:iCs w:val="0"/>
          <w:color w:val="333333"/>
          <w:spacing w:val="0"/>
          <w:w w:val="100"/>
          <w:kern w:val="2"/>
          <w:sz w:val="22"/>
          <w:szCs w:val="22"/>
          <w:vertAlign w:val="baseline"/>
          <w:lang w:val="en-US" w:eastAsia="zh-CN" w:bidi="ar-SA"/>
        </w:rPr>
        <w:t>如何判断定制包是否做了重签？</w:t>
      </w:r>
      <w:r>
        <w:rPr>
          <w:rFonts w:hint="default" w:asciiTheme="minorHAnsi" w:hAnsiTheme="minorHAnsi" w:eastAsiaTheme="minorEastAsia" w:cstheme="minorBidi"/>
          <w:b w:val="0"/>
          <w:bCs w:val="0"/>
          <w:i w:val="0"/>
          <w:iCs w:val="0"/>
          <w:color w:val="333333"/>
          <w:spacing w:val="0"/>
          <w:w w:val="100"/>
          <w:kern w:val="2"/>
          <w:sz w:val="22"/>
          <w:szCs w:val="22"/>
          <w:vertAlign w:val="baseline"/>
          <w:lang w:val="en-US" w:eastAsia="zh-CN" w:bidi="ar-SA"/>
        </w:rPr>
        <w:br w:type="textWrapping"/>
      </w:r>
      <w:r>
        <w:rPr>
          <w:rFonts w:hint="default" w:asciiTheme="minorHAnsi" w:hAnsiTheme="minorHAnsi" w:eastAsiaTheme="minorEastAsia" w:cstheme="minorBidi"/>
          <w:b w:val="0"/>
          <w:bCs w:val="0"/>
          <w:i w:val="0"/>
          <w:iCs w:val="0"/>
          <w:color w:val="333333"/>
          <w:spacing w:val="0"/>
          <w:w w:val="100"/>
          <w:kern w:val="2"/>
          <w:sz w:val="22"/>
          <w:szCs w:val="22"/>
          <w:vertAlign w:val="baseline"/>
          <w:lang w:val="en-US" w:eastAsia="zh-CN" w:bidi="ar-SA"/>
        </w:rPr>
        <w:t>在WeCRM的客户端构建中，企业可以使用自己的安卓keystore来签名安卓包，可以不上传iOS的构建证书来获得白包后重签：</w:t>
      </w:r>
    </w:p>
    <w:p>
      <w:pPr>
        <w:pStyle w:val="5"/>
        <w:keepNext w:val="0"/>
        <w:keepLines w:val="0"/>
        <w:widowControl/>
        <w:suppressLineNumbers w:val="0"/>
        <w:spacing w:before="0" w:beforeAutospacing="0" w:after="320" w:afterAutospacing="0"/>
        <w:ind w:left="0" w:right="0"/>
        <w:jc w:val="left"/>
      </w:pPr>
      <w:r>
        <w:drawing>
          <wp:inline distT="0" distB="0" distL="114300" distR="114300">
            <wp:extent cx="2857500" cy="1685925"/>
            <wp:effectExtent l="0" t="0" r="12700" b="15875"/>
            <wp:docPr id="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56"/>
                    <pic:cNvPicPr>
                      <a:picLocks noChangeAspect="1"/>
                    </pic:cNvPicPr>
                  </pic:nvPicPr>
                  <pic:blipFill>
                    <a:blip r:embed="rId10"/>
                    <a:stretch>
                      <a:fillRect/>
                    </a:stretch>
                  </pic:blipFill>
                  <pic:spPr>
                    <a:xfrm>
                      <a:off x="0" y="0"/>
                      <a:ext cx="2857500" cy="1685925"/>
                    </a:xfrm>
                    <a:prstGeom prst="rect">
                      <a:avLst/>
                    </a:prstGeom>
                    <a:noFill/>
                    <a:ln w="9525">
                      <a:noFill/>
                    </a:ln>
                  </pic:spPr>
                </pic:pic>
              </a:graphicData>
            </a:graphic>
          </wp:inline>
        </w:drawing>
      </w:r>
    </w:p>
    <w:p>
      <w:pPr>
        <w:pStyle w:val="5"/>
        <w:keepNext w:val="0"/>
        <w:keepLines w:val="0"/>
        <w:widowControl/>
        <w:suppressLineNumbers w:val="0"/>
        <w:spacing w:before="0" w:beforeAutospacing="0" w:after="320" w:afterAutospacing="0"/>
        <w:ind w:left="0" w:right="0"/>
        <w:jc w:val="left"/>
      </w:pPr>
      <w:r>
        <w:drawing>
          <wp:inline distT="0" distB="0" distL="114300" distR="114300">
            <wp:extent cx="2638425" cy="1552575"/>
            <wp:effectExtent l="0" t="0" r="3175" b="22225"/>
            <wp:docPr id="6"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56"/>
                    <pic:cNvPicPr>
                      <a:picLocks noChangeAspect="1"/>
                    </pic:cNvPicPr>
                  </pic:nvPicPr>
                  <pic:blipFill>
                    <a:blip r:embed="rId10"/>
                    <a:stretch>
                      <a:fillRect/>
                    </a:stretch>
                  </pic:blipFill>
                  <pic:spPr>
                    <a:xfrm>
                      <a:off x="0" y="0"/>
                      <a:ext cx="2638425" cy="1552575"/>
                    </a:xfrm>
                    <a:prstGeom prst="rect">
                      <a:avLst/>
                    </a:prstGeom>
                    <a:noFill/>
                    <a:ln w="9525">
                      <a:noFill/>
                    </a:ln>
                  </pic:spPr>
                </pic:pic>
              </a:graphicData>
            </a:graphic>
          </wp:inline>
        </w:drawing>
      </w:r>
    </w:p>
    <w:p>
      <w:pPr>
        <w:pStyle w:val="2"/>
        <w:numPr>
          <w:ilvl w:val="0"/>
          <w:numId w:val="1"/>
        </w:numPr>
        <w:bidi w:val="0"/>
        <w:jc w:val="left"/>
        <w:rPr>
          <w:rFonts w:hint="eastAsia" w:ascii="宋体" w:hAnsi="宋体" w:eastAsia="宋体" w:cs="宋体"/>
          <w:lang w:val="en-US" w:eastAsia="zh-CN"/>
        </w:rPr>
      </w:pPr>
      <w:r>
        <w:rPr>
          <w:rFonts w:hint="eastAsia" w:ascii="宋体" w:hAnsi="宋体" w:eastAsia="宋体" w:cs="宋体"/>
          <w:lang w:val="en-US" w:eastAsia="zh-CN"/>
        </w:rPr>
        <w:t xml:space="preserve"> 获取备案结果</w:t>
      </w:r>
    </w:p>
    <w:p>
      <w:pPr>
        <w:pStyle w:val="5"/>
        <w:keepNext w:val="0"/>
        <w:keepLines w:val="0"/>
        <w:widowControl/>
        <w:suppressLineNumbers w:val="0"/>
        <w:spacing w:before="60" w:beforeAutospacing="0" w:after="60" w:afterAutospacing="0" w:line="26" w:lineRule="atLeast"/>
        <w:ind w:left="0" w:right="0"/>
        <w:jc w:val="left"/>
      </w:pPr>
      <w:r>
        <w:rPr>
          <w:b w:val="0"/>
          <w:bCs w:val="0"/>
          <w:i w:val="0"/>
          <w:iCs w:val="0"/>
          <w:color w:val="333333"/>
          <w:spacing w:val="0"/>
          <w:w w:val="100"/>
          <w:sz w:val="22"/>
          <w:szCs w:val="22"/>
          <w:vertAlign w:val="baseline"/>
        </w:rPr>
        <w:t>备案号查询地址，获取后将其提供给原厂</w:t>
      </w:r>
    </w:p>
    <w:p>
      <w:pPr>
        <w:pStyle w:val="5"/>
        <w:keepNext w:val="0"/>
        <w:keepLines w:val="0"/>
        <w:widowControl/>
        <w:suppressLineNumbers w:val="0"/>
        <w:spacing w:before="60" w:beforeAutospacing="0" w:after="60" w:afterAutospacing="0" w:line="26" w:lineRule="atLeast"/>
        <w:ind w:left="0" w:right="0"/>
        <w:jc w:val="left"/>
      </w:pPr>
      <w:r>
        <w:fldChar w:fldCharType="begin"/>
      </w:r>
      <w:r>
        <w:instrText xml:space="preserve"> HYPERLINK "https://beian.miit.gov.cn/" \l "/Integrated/index" </w:instrText>
      </w:r>
      <w:r>
        <w:fldChar w:fldCharType="separate"/>
      </w:r>
      <w:r>
        <w:rPr>
          <w:rStyle w:val="9"/>
          <w:b w:val="0"/>
          <w:bCs w:val="0"/>
          <w:i w:val="0"/>
          <w:iCs w:val="0"/>
          <w:color w:val="1E6FFF"/>
          <w:spacing w:val="0"/>
          <w:w w:val="100"/>
          <w:sz w:val="22"/>
          <w:szCs w:val="22"/>
          <w:u w:val="single"/>
          <w:vertAlign w:val="baseline"/>
        </w:rPr>
        <w:t>https://beian.miit.gov.cn/#/Integrated/index</w:t>
      </w:r>
      <w:r>
        <w:fldChar w:fldCharType="end"/>
      </w:r>
    </w:p>
    <w:p>
      <w:pPr>
        <w:pStyle w:val="5"/>
        <w:keepNext w:val="0"/>
        <w:keepLines w:val="0"/>
        <w:widowControl/>
        <w:suppressLineNumbers w:val="0"/>
        <w:spacing w:before="60" w:beforeAutospacing="0" w:after="60" w:afterAutospacing="0" w:line="26" w:lineRule="atLeast"/>
        <w:ind w:left="0" w:right="0"/>
        <w:jc w:val="left"/>
      </w:pPr>
      <w:r>
        <w:drawing>
          <wp:inline distT="0" distB="0" distL="114300" distR="114300">
            <wp:extent cx="4276725" cy="1571625"/>
            <wp:effectExtent l="12700" t="12700" r="28575" b="15875"/>
            <wp:docPr id="7"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56"/>
                    <pic:cNvPicPr>
                      <a:picLocks noChangeAspect="1"/>
                    </pic:cNvPicPr>
                  </pic:nvPicPr>
                  <pic:blipFill>
                    <a:blip r:embed="rId6"/>
                    <a:stretch>
                      <a:fillRect/>
                    </a:stretch>
                  </pic:blipFill>
                  <pic:spPr>
                    <a:xfrm>
                      <a:off x="0" y="0"/>
                      <a:ext cx="4276725" cy="1571625"/>
                    </a:xfrm>
                    <a:prstGeom prst="rect">
                      <a:avLst/>
                    </a:prstGeom>
                    <a:noFill/>
                    <a:ln w="9525">
                      <a:solidFill>
                        <a:schemeClr val="bg1">
                          <a:lumMod val="85000"/>
                        </a:schemeClr>
                      </a:solidFill>
                    </a:ln>
                  </pic:spPr>
                </pic:pic>
              </a:graphicData>
            </a:graphic>
          </wp:inline>
        </w:drawing>
      </w:r>
    </w:p>
    <w:p>
      <w:pPr>
        <w:pStyle w:val="5"/>
        <w:keepNext w:val="0"/>
        <w:keepLines w:val="0"/>
        <w:widowControl/>
        <w:suppressLineNumbers w:val="0"/>
        <w:spacing w:before="60" w:beforeAutospacing="0" w:after="60" w:afterAutospacing="0" w:line="26" w:lineRule="atLeast"/>
        <w:ind w:left="0" w:right="0"/>
        <w:jc w:val="left"/>
      </w:pPr>
    </w:p>
    <w:p>
      <w:pPr>
        <w:pStyle w:val="5"/>
        <w:keepNext w:val="0"/>
        <w:keepLines w:val="0"/>
        <w:widowControl/>
        <w:suppressLineNumbers w:val="0"/>
        <w:spacing w:before="60" w:beforeAutospacing="0" w:after="60" w:afterAutospacing="0" w:line="26" w:lineRule="atLeast"/>
        <w:ind w:left="0" w:right="0"/>
        <w:jc w:val="left"/>
      </w:pPr>
      <w:r>
        <w:drawing>
          <wp:inline distT="0" distB="0" distL="114300" distR="114300">
            <wp:extent cx="4276725" cy="2771775"/>
            <wp:effectExtent l="12700" t="12700" r="28575" b="34925"/>
            <wp:docPr id="8"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IMG_256"/>
                    <pic:cNvPicPr>
                      <a:picLocks noChangeAspect="1"/>
                    </pic:cNvPicPr>
                  </pic:nvPicPr>
                  <pic:blipFill>
                    <a:blip r:embed="rId7"/>
                    <a:stretch>
                      <a:fillRect/>
                    </a:stretch>
                  </pic:blipFill>
                  <pic:spPr>
                    <a:xfrm>
                      <a:off x="0" y="0"/>
                      <a:ext cx="4276725" cy="2771775"/>
                    </a:xfrm>
                    <a:prstGeom prst="rect">
                      <a:avLst/>
                    </a:prstGeom>
                    <a:noFill/>
                    <a:ln w="9525">
                      <a:solidFill>
                        <a:schemeClr val="bg1">
                          <a:lumMod val="85000"/>
                        </a:schemeClr>
                      </a:solidFill>
                    </a:ln>
                  </pic:spPr>
                </pic:pic>
              </a:graphicData>
            </a:graphic>
          </wp:inline>
        </w:drawing>
      </w:r>
    </w:p>
    <w:p>
      <w:pPr>
        <w:pStyle w:val="2"/>
        <w:numPr>
          <w:ilvl w:val="0"/>
          <w:numId w:val="1"/>
        </w:numPr>
        <w:bidi w:val="0"/>
        <w:jc w:val="left"/>
        <w:rPr>
          <w:rFonts w:hint="eastAsia" w:ascii="宋体" w:hAnsi="宋体" w:eastAsia="宋体" w:cs="宋体"/>
          <w:lang w:val="en-US" w:eastAsia="zh-CN"/>
        </w:rPr>
      </w:pPr>
      <w:r>
        <w:rPr>
          <w:rFonts w:hint="eastAsia" w:ascii="宋体" w:hAnsi="宋体" w:eastAsia="宋体" w:cs="宋体"/>
          <w:lang w:val="en-US" w:eastAsia="zh-CN"/>
        </w:rPr>
        <w:t xml:space="preserve"> 备案号的显示</w:t>
      </w:r>
    </w:p>
    <w:p>
      <w:pPr>
        <w:pStyle w:val="5"/>
        <w:keepNext w:val="0"/>
        <w:keepLines w:val="0"/>
        <w:widowControl/>
        <w:suppressLineNumbers w:val="0"/>
        <w:spacing w:before="60" w:beforeAutospacing="0" w:after="60" w:afterAutospacing="0" w:line="26" w:lineRule="atLeast"/>
        <w:ind w:left="0" w:right="0"/>
        <w:jc w:val="left"/>
      </w:pPr>
      <w:r>
        <w:rPr>
          <w:b w:val="0"/>
          <w:bCs w:val="0"/>
          <w:i w:val="0"/>
          <w:iCs w:val="0"/>
          <w:color w:val="333333"/>
          <w:spacing w:val="0"/>
          <w:w w:val="100"/>
          <w:sz w:val="22"/>
          <w:szCs w:val="22"/>
          <w:vertAlign w:val="baseline"/>
        </w:rPr>
        <w:t>备注：客户端托管单位的客户端备案号，由客户提供给原厂，原厂负责打入包内。</w:t>
      </w:r>
    </w:p>
    <w:p>
      <w:pPr>
        <w:pStyle w:val="5"/>
        <w:keepNext w:val="0"/>
        <w:keepLines w:val="0"/>
        <w:widowControl/>
        <w:numPr>
          <w:ilvl w:val="0"/>
          <w:numId w:val="12"/>
        </w:numPr>
        <w:suppressLineNumbers w:val="0"/>
        <w:spacing w:before="60" w:beforeAutospacing="0" w:after="60" w:afterAutospacing="0" w:line="26" w:lineRule="atLeast"/>
        <w:ind w:left="336" w:leftChars="0" w:right="0" w:rightChars="0" w:hanging="336" w:firstLineChars="0"/>
        <w:jc w:val="left"/>
      </w:pPr>
      <w:r>
        <w:rPr>
          <w:b w:val="0"/>
          <w:bCs w:val="0"/>
          <w:i w:val="0"/>
          <w:iCs w:val="0"/>
          <w:color w:val="333333"/>
          <w:spacing w:val="0"/>
          <w:w w:val="100"/>
          <w:sz w:val="22"/>
          <w:szCs w:val="22"/>
          <w:vertAlign w:val="baseline"/>
        </w:rPr>
        <w:t>将备案好填入wecrm，重新打包</w:t>
      </w:r>
    </w:p>
    <w:p>
      <w:pPr>
        <w:pStyle w:val="5"/>
        <w:keepNext w:val="0"/>
        <w:keepLines w:val="0"/>
        <w:widowControl/>
        <w:suppressLineNumbers w:val="0"/>
        <w:spacing w:before="60" w:beforeAutospacing="0" w:after="60" w:afterAutospacing="0" w:line="26" w:lineRule="atLeast"/>
        <w:ind w:left="0" w:right="0"/>
        <w:jc w:val="left"/>
      </w:pPr>
      <w:r>
        <w:drawing>
          <wp:inline distT="0" distB="0" distL="114300" distR="114300">
            <wp:extent cx="5657850" cy="1009650"/>
            <wp:effectExtent l="0" t="0" r="6350" b="6350"/>
            <wp:docPr id="9"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IMG_256"/>
                    <pic:cNvPicPr>
                      <a:picLocks noChangeAspect="1"/>
                    </pic:cNvPicPr>
                  </pic:nvPicPr>
                  <pic:blipFill>
                    <a:blip r:embed="rId11"/>
                    <a:stretch>
                      <a:fillRect/>
                    </a:stretch>
                  </pic:blipFill>
                  <pic:spPr>
                    <a:xfrm>
                      <a:off x="0" y="0"/>
                      <a:ext cx="5657850" cy="1009650"/>
                    </a:xfrm>
                    <a:prstGeom prst="rect">
                      <a:avLst/>
                    </a:prstGeom>
                    <a:noFill/>
                    <a:ln w="9525">
                      <a:noFill/>
                    </a:ln>
                  </pic:spPr>
                </pic:pic>
              </a:graphicData>
            </a:graphic>
          </wp:inline>
        </w:drawing>
      </w:r>
    </w:p>
    <w:p>
      <w:pPr>
        <w:pStyle w:val="5"/>
        <w:keepNext w:val="0"/>
        <w:keepLines w:val="0"/>
        <w:widowControl/>
        <w:numPr>
          <w:ilvl w:val="0"/>
          <w:numId w:val="12"/>
        </w:numPr>
        <w:suppressLineNumbers w:val="0"/>
        <w:spacing w:before="60" w:beforeAutospacing="0" w:after="60" w:afterAutospacing="0" w:line="26" w:lineRule="atLeast"/>
        <w:ind w:left="336" w:leftChars="0" w:right="0" w:rightChars="0" w:hanging="336" w:firstLineChars="0"/>
        <w:jc w:val="left"/>
        <w:rPr>
          <w:b w:val="0"/>
          <w:bCs w:val="0"/>
          <w:i w:val="0"/>
          <w:iCs w:val="0"/>
          <w:color w:val="333333"/>
          <w:spacing w:val="0"/>
          <w:w w:val="100"/>
          <w:sz w:val="22"/>
          <w:szCs w:val="22"/>
          <w:vertAlign w:val="baseline"/>
        </w:rPr>
      </w:pPr>
      <w:r>
        <w:rPr>
          <w:b w:val="0"/>
          <w:bCs w:val="0"/>
          <w:i w:val="0"/>
          <w:iCs w:val="0"/>
          <w:color w:val="333333"/>
          <w:spacing w:val="0"/>
          <w:w w:val="100"/>
          <w:sz w:val="22"/>
          <w:szCs w:val="22"/>
          <w:vertAlign w:val="baseline"/>
        </w:rPr>
        <w:t xml:space="preserve"> 客户端构建成功后，【关于】页面将显示备案号信息</w:t>
      </w:r>
    </w:p>
    <w:p>
      <w:pPr>
        <w:pStyle w:val="5"/>
        <w:keepNext w:val="0"/>
        <w:keepLines w:val="0"/>
        <w:widowControl/>
        <w:suppressLineNumbers w:val="0"/>
        <w:spacing w:before="60" w:beforeAutospacing="0" w:after="60" w:afterAutospacing="0" w:line="26" w:lineRule="atLeast"/>
        <w:ind w:left="0" w:right="0"/>
        <w:jc w:val="left"/>
      </w:pPr>
      <w:r>
        <w:drawing>
          <wp:inline distT="0" distB="0" distL="114300" distR="114300">
            <wp:extent cx="1876425" cy="3886200"/>
            <wp:effectExtent l="0" t="0" r="3175" b="0"/>
            <wp:docPr id="10"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56"/>
                    <pic:cNvPicPr>
                      <a:picLocks noChangeAspect="1"/>
                    </pic:cNvPicPr>
                  </pic:nvPicPr>
                  <pic:blipFill>
                    <a:blip r:embed="rId12"/>
                    <a:stretch>
                      <a:fillRect/>
                    </a:stretch>
                  </pic:blipFill>
                  <pic:spPr>
                    <a:xfrm>
                      <a:off x="0" y="0"/>
                      <a:ext cx="1876425" cy="3886200"/>
                    </a:xfrm>
                    <a:prstGeom prst="rect">
                      <a:avLst/>
                    </a:prstGeom>
                    <a:noFill/>
                    <a:ln w="9525">
                      <a:noFill/>
                    </a:ln>
                  </pic:spPr>
                </pic:pic>
              </a:graphicData>
            </a:graphic>
          </wp:inline>
        </w:drawing>
      </w:r>
    </w:p>
    <w:p>
      <w:pPr>
        <w:pStyle w:val="5"/>
        <w:keepNext w:val="0"/>
        <w:keepLines w:val="0"/>
        <w:widowControl/>
        <w:numPr>
          <w:ilvl w:val="0"/>
          <w:numId w:val="12"/>
        </w:numPr>
        <w:suppressLineNumbers w:val="0"/>
        <w:spacing w:before="60" w:beforeAutospacing="0" w:after="60" w:afterAutospacing="0" w:line="26" w:lineRule="atLeast"/>
        <w:ind w:left="425" w:leftChars="0" w:right="0" w:hanging="425" w:firstLineChars="0"/>
        <w:jc w:val="left"/>
      </w:pPr>
      <w:r>
        <w:rPr>
          <w:b w:val="0"/>
          <w:bCs w:val="0"/>
          <w:i w:val="0"/>
          <w:iCs w:val="0"/>
          <w:color w:val="333333"/>
          <w:spacing w:val="0"/>
          <w:w w:val="100"/>
          <w:sz w:val="22"/>
          <w:szCs w:val="22"/>
          <w:vertAlign w:val="baseline"/>
        </w:rPr>
        <w:t>企业管理员可以将域名备案信息填入管理后台，路径：控制台-部署与安全。配置</w:t>
      </w:r>
      <w:r>
        <w:rPr>
          <w:b w:val="0"/>
          <w:bCs w:val="0"/>
          <w:i w:val="0"/>
          <w:iCs w:val="0"/>
          <w:color w:val="333333"/>
          <w:spacing w:val="0"/>
          <w:w w:val="100"/>
          <w:sz w:val="22"/>
          <w:szCs w:val="22"/>
          <w:vertAlign w:val="baseline"/>
        </w:rPr>
        <w:t>完成后，备案信息将展示在管理端首页</w:t>
      </w:r>
    </w:p>
    <w:p>
      <w:pPr>
        <w:pStyle w:val="5"/>
        <w:keepNext w:val="0"/>
        <w:keepLines w:val="0"/>
        <w:widowControl/>
        <w:suppressLineNumbers w:val="0"/>
        <w:spacing w:before="60" w:beforeAutospacing="0" w:after="60" w:afterAutospacing="0" w:line="26" w:lineRule="atLeast"/>
        <w:ind w:left="0" w:right="0"/>
        <w:jc w:val="left"/>
      </w:pPr>
      <w:r>
        <w:drawing>
          <wp:inline distT="0" distB="0" distL="114300" distR="114300">
            <wp:extent cx="4962525" cy="1247775"/>
            <wp:effectExtent l="12700" t="12700" r="28575" b="34925"/>
            <wp:docPr id="11"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descr="IMG_256"/>
                    <pic:cNvPicPr>
                      <a:picLocks noChangeAspect="1"/>
                    </pic:cNvPicPr>
                  </pic:nvPicPr>
                  <pic:blipFill>
                    <a:blip r:embed="rId13"/>
                    <a:stretch>
                      <a:fillRect/>
                    </a:stretch>
                  </pic:blipFill>
                  <pic:spPr>
                    <a:xfrm>
                      <a:off x="0" y="0"/>
                      <a:ext cx="4962525" cy="1247775"/>
                    </a:xfrm>
                    <a:prstGeom prst="rect">
                      <a:avLst/>
                    </a:prstGeom>
                    <a:noFill/>
                    <a:ln w="9525">
                      <a:solidFill>
                        <a:schemeClr val="bg1">
                          <a:lumMod val="85000"/>
                        </a:schemeClr>
                      </a:solidFill>
                    </a:ln>
                  </pic:spPr>
                </pic:pic>
              </a:graphicData>
            </a:graphic>
          </wp:inline>
        </w:drawing>
      </w:r>
    </w:p>
    <w:p>
      <w:pPr>
        <w:pStyle w:val="5"/>
        <w:keepNext w:val="0"/>
        <w:keepLines w:val="0"/>
        <w:widowControl/>
        <w:suppressLineNumbers w:val="0"/>
        <w:spacing w:before="60" w:beforeAutospacing="0" w:after="60" w:afterAutospacing="0" w:line="26" w:lineRule="atLeast"/>
        <w:ind w:left="0" w:right="0"/>
        <w:jc w:val="left"/>
      </w:pPr>
      <w:r>
        <w:drawing>
          <wp:inline distT="0" distB="0" distL="114300" distR="114300">
            <wp:extent cx="5162550" cy="3295650"/>
            <wp:effectExtent l="12700" t="12700" r="31750" b="19050"/>
            <wp:docPr id="12" name="图片 1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descr="IMG_257"/>
                    <pic:cNvPicPr>
                      <a:picLocks noChangeAspect="1"/>
                    </pic:cNvPicPr>
                  </pic:nvPicPr>
                  <pic:blipFill>
                    <a:blip r:embed="rId14"/>
                    <a:stretch>
                      <a:fillRect/>
                    </a:stretch>
                  </pic:blipFill>
                  <pic:spPr>
                    <a:xfrm>
                      <a:off x="0" y="0"/>
                      <a:ext cx="5162550" cy="3295650"/>
                    </a:xfrm>
                    <a:prstGeom prst="rect">
                      <a:avLst/>
                    </a:prstGeom>
                    <a:noFill/>
                    <a:ln w="9525">
                      <a:solidFill>
                        <a:schemeClr val="bg1">
                          <a:lumMod val="85000"/>
                        </a:schemeClr>
                      </a:solidFill>
                    </a:ln>
                  </pic:spPr>
                </pic:pic>
              </a:graphicData>
            </a:graphic>
          </wp:inline>
        </w:drawing>
      </w:r>
    </w:p>
    <w:p>
      <w:pPr>
        <w:pStyle w:val="3"/>
        <w:keepNext w:val="0"/>
        <w:keepLines w:val="0"/>
        <w:widowControl/>
        <w:suppressLineNumbers w:val="0"/>
        <w:spacing w:before="0" w:beforeAutospacing="0" w:after="0" w:afterAutospacing="0" w:line="34" w:lineRule="atLeast"/>
        <w:ind w:left="0"/>
        <w:jc w:val="left"/>
      </w:pPr>
      <w:r>
        <w:rPr>
          <w:b/>
          <w:bCs/>
          <w:i w:val="0"/>
          <w:iCs w:val="0"/>
          <w:color w:val="1A1A1A"/>
          <w:spacing w:val="0"/>
          <w:w w:val="100"/>
          <w:sz w:val="32"/>
          <w:szCs w:val="32"/>
          <w:vertAlign w:val="baseline"/>
        </w:rPr>
        <w:t>应用备案的常见问题</w:t>
      </w:r>
    </w:p>
    <w:p>
      <w:pPr>
        <w:rPr>
          <w:rFonts w:hint="eastAsia"/>
          <w:lang w:val="en-US" w:eastAsia="zh-CN"/>
        </w:rPr>
      </w:pPr>
      <w:r>
        <w:rPr>
          <w:rFonts w:hint="eastAsia"/>
          <w:lang w:val="en-US" w:eastAsia="zh-CN"/>
        </w:rPr>
        <w:t>查询地址https://cloud.tencent.com/document/product/243/97691</w:t>
      </w:r>
    </w:p>
    <w:p>
      <w:pPr>
        <w:rPr>
          <w:rFonts w:hint="default"/>
          <w:lang w:val="en-US" w:eastAsia="zh-CN"/>
        </w:rPr>
      </w:pPr>
    </w:p>
    <w:p>
      <w:pPr>
        <w:pStyle w:val="3"/>
        <w:keepNext w:val="0"/>
        <w:keepLines w:val="0"/>
        <w:widowControl/>
        <w:suppressLineNumbers w:val="0"/>
        <w:spacing w:before="0" w:beforeAutospacing="0" w:after="0" w:afterAutospacing="0" w:line="34" w:lineRule="atLeast"/>
        <w:ind w:left="0"/>
        <w:jc w:val="left"/>
      </w:pPr>
      <w:r>
        <w:rPr>
          <w:b/>
          <w:bCs/>
          <w:i w:val="0"/>
          <w:iCs w:val="0"/>
          <w:color w:val="1A1A1A"/>
          <w:spacing w:val="0"/>
          <w:w w:val="100"/>
          <w:sz w:val="32"/>
          <w:szCs w:val="32"/>
          <w:vertAlign w:val="baseline"/>
        </w:rPr>
        <w:t>资料来源</w:t>
      </w:r>
    </w:p>
    <w:p>
      <w:pPr>
        <w:rPr>
          <w:rFonts w:hint="default"/>
          <w:lang w:val="en-US" w:eastAsia="zh-CN"/>
        </w:rPr>
      </w:pPr>
      <w:r>
        <w:rPr>
          <w:rFonts w:hint="default"/>
          <w:lang w:val="en-US" w:eastAsia="zh-CN"/>
        </w:rPr>
        <w:fldChar w:fldCharType="begin"/>
      </w:r>
      <w:r>
        <w:rPr>
          <w:rFonts w:hint="default"/>
          <w:lang w:val="en-US" w:eastAsia="zh-CN"/>
        </w:rPr>
        <w:instrText xml:space="preserve"> HYPERLINK "https://cloud.tencent.com/document/product/243/45097" </w:instrText>
      </w:r>
      <w:r>
        <w:rPr>
          <w:rFonts w:hint="default"/>
          <w:lang w:val="en-US" w:eastAsia="zh-CN"/>
        </w:rPr>
        <w:fldChar w:fldCharType="separate"/>
      </w:r>
      <w:r>
        <w:rPr>
          <w:rStyle w:val="9"/>
          <w:rFonts w:hint="default"/>
          <w:lang w:val="en-US" w:eastAsia="zh-CN"/>
        </w:rPr>
        <w:t>https://cloud.tencent.com/document/product/243/45097</w:t>
      </w:r>
      <w:r>
        <w:rPr>
          <w:rFonts w:hint="default"/>
          <w:lang w:val="en-US" w:eastAsia="zh-CN"/>
        </w:rPr>
        <w:fldChar w:fldCharType="end"/>
      </w:r>
    </w:p>
    <w:p>
      <w:pPr>
        <w:rPr>
          <w:rFonts w:hint="default"/>
          <w:lang w:val="en-US" w:eastAsia="zh-CN"/>
        </w:rPr>
      </w:pPr>
      <w:r>
        <w:rPr>
          <w:rFonts w:hint="default"/>
          <w:lang w:val="en-US" w:eastAsia="zh-CN"/>
        </w:rPr>
        <w:fldChar w:fldCharType="begin"/>
      </w:r>
      <w:r>
        <w:rPr>
          <w:rFonts w:hint="default"/>
          <w:lang w:val="en-US" w:eastAsia="zh-CN"/>
        </w:rPr>
        <w:instrText xml:space="preserve"> HYPERLINK "https://beian.miit.gov.cn/#/Integrated/index" </w:instrText>
      </w:r>
      <w:r>
        <w:rPr>
          <w:rFonts w:hint="default"/>
          <w:lang w:val="en-US" w:eastAsia="zh-CN"/>
        </w:rPr>
        <w:fldChar w:fldCharType="separate"/>
      </w:r>
      <w:r>
        <w:rPr>
          <w:rStyle w:val="9"/>
          <w:rFonts w:hint="default"/>
          <w:lang w:val="en-US" w:eastAsia="zh-CN"/>
        </w:rPr>
        <w:t>https://beian.miit.gov.cn/#/Integrated/index</w:t>
      </w:r>
      <w:r>
        <w:rPr>
          <w:rFonts w:hint="default"/>
          <w:lang w:val="en-US" w:eastAsia="zh-CN"/>
        </w:rPr>
        <w:fldChar w:fldCharType="end"/>
      </w:r>
    </w:p>
    <w:p>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BA8644"/>
    <w:multiLevelType w:val="singleLevel"/>
    <w:tmpl w:val="B7BA8644"/>
    <w:lvl w:ilvl="0" w:tentative="0">
      <w:start w:val="1"/>
      <w:numFmt w:val="decimal"/>
      <w:lvlText w:val="%1."/>
      <w:lvlJc w:val="left"/>
      <w:pPr>
        <w:ind w:left="425" w:hanging="425"/>
      </w:pPr>
      <w:rPr>
        <w:rFonts w:hint="default"/>
      </w:rPr>
    </w:lvl>
  </w:abstractNum>
  <w:abstractNum w:abstractNumId="1">
    <w:nsid w:val="BBF4A0C4"/>
    <w:multiLevelType w:val="multilevel"/>
    <w:tmpl w:val="BBF4A0C4"/>
    <w:lvl w:ilvl="0" w:tentative="0">
      <w:start w:val="1"/>
      <w:numFmt w:val="bullet"/>
      <w:lvlText w:val=""/>
      <w:lvlJc w:val="left"/>
      <w:pPr>
        <w:ind w:left="720"/>
      </w:pPr>
      <w:rPr>
        <w:rFonts w:ascii="wingdings" w:hAnsi="wingdings" w:eastAsia="wingdings" w:cs="wingdings"/>
      </w:rPr>
    </w:lvl>
    <w:lvl w:ilvl="1" w:tentative="0">
      <w:start w:val="1"/>
      <w:numFmt w:val="bullet"/>
      <w:lvlText w:val="¡"/>
      <w:lvlJc w:val="left"/>
      <w:pPr>
        <w:ind w:left="1440"/>
      </w:pPr>
      <w:rPr>
        <w:rFonts w:hint="default" w:ascii="wingdings" w:hAnsi="wingdings" w:eastAsia="wingdings" w:cs="wingdings"/>
      </w:rPr>
    </w:lvl>
    <w:lvl w:ilvl="2" w:tentative="0">
      <w:start w:val="1"/>
      <w:numFmt w:val="bullet"/>
      <w:lvlText w:val=""/>
      <w:lvlJc w:val="left"/>
      <w:pPr>
        <w:ind w:left="2160"/>
      </w:pPr>
      <w:rPr>
        <w:rFonts w:hint="default" w:ascii="wingdings" w:hAnsi="wingdings" w:eastAsia="wingdings" w:cs="wingdings"/>
      </w:rPr>
    </w:lvl>
    <w:lvl w:ilvl="3" w:tentative="0">
      <w:start w:val="1"/>
      <w:numFmt w:val="bullet"/>
      <w:lvlText w:val=""/>
      <w:lvlJc w:val="left"/>
      <w:pPr>
        <w:ind w:left="2880"/>
      </w:pPr>
      <w:rPr>
        <w:rFonts w:hint="default" w:ascii="wingdings" w:hAnsi="wingdings" w:eastAsia="wingdings" w:cs="wingdings"/>
      </w:rPr>
    </w:lvl>
    <w:lvl w:ilvl="4" w:tentative="0">
      <w:start w:val="1"/>
      <w:numFmt w:val="bullet"/>
      <w:lvlText w:val="¡"/>
      <w:lvlJc w:val="left"/>
      <w:pPr>
        <w:ind w:left="3600"/>
      </w:pPr>
      <w:rPr>
        <w:rFonts w:hint="default" w:ascii="wingdings" w:hAnsi="wingdings" w:eastAsia="wingdings" w:cs="wingdings"/>
      </w:rPr>
    </w:lvl>
    <w:lvl w:ilvl="5" w:tentative="0">
      <w:start w:val="1"/>
      <w:numFmt w:val="bullet"/>
      <w:lvlText w:val=""/>
      <w:lvlJc w:val="left"/>
      <w:pPr>
        <w:ind w:left="4320"/>
      </w:pPr>
      <w:rPr>
        <w:rFonts w:hint="default" w:ascii="wingdings" w:hAnsi="wingdings" w:eastAsia="wingdings" w:cs="wingdings"/>
      </w:rPr>
    </w:lvl>
    <w:lvl w:ilvl="6" w:tentative="0">
      <w:start w:val="1"/>
      <w:numFmt w:val="bullet"/>
      <w:lvlText w:val=""/>
      <w:lvlJc w:val="left"/>
      <w:pPr>
        <w:ind w:left="5040"/>
      </w:pPr>
      <w:rPr>
        <w:rFonts w:hint="default" w:ascii="wingdings" w:hAnsi="wingdings" w:eastAsia="wingdings" w:cs="wingdings"/>
      </w:rPr>
    </w:lvl>
    <w:lvl w:ilvl="7" w:tentative="0">
      <w:start w:val="1"/>
      <w:numFmt w:val="bullet"/>
      <w:lvlText w:val="¡"/>
      <w:lvlJc w:val="left"/>
      <w:pPr>
        <w:ind w:left="5760"/>
      </w:pPr>
      <w:rPr>
        <w:rFonts w:hint="default" w:ascii="wingdings" w:hAnsi="wingdings" w:eastAsia="wingdings" w:cs="wingdings"/>
      </w:rPr>
    </w:lvl>
    <w:lvl w:ilvl="8" w:tentative="0">
      <w:start w:val="1"/>
      <w:numFmt w:val="bullet"/>
      <w:lvlText w:val=""/>
      <w:lvlJc w:val="left"/>
      <w:pPr>
        <w:ind w:left="6480"/>
      </w:pPr>
      <w:rPr>
        <w:rFonts w:hint="default" w:ascii="wingdings" w:hAnsi="wingdings" w:eastAsia="wingdings" w:cs="wingdings"/>
      </w:rPr>
    </w:lvl>
  </w:abstractNum>
  <w:abstractNum w:abstractNumId="2">
    <w:nsid w:val="CDBB434B"/>
    <w:multiLevelType w:val="multilevel"/>
    <w:tmpl w:val="CDBB434B"/>
    <w:lvl w:ilvl="0" w:tentative="0">
      <w:start w:val="1"/>
      <w:numFmt w:val="decimal"/>
      <w:lvlText w:val="%1."/>
      <w:lvlJc w:val="left"/>
      <w:pPr>
        <w:ind w:left="720"/>
      </w:pPr>
      <w:rPr>
        <w:rFonts w:hint="default" w:ascii="Times New Roman" w:hAnsi="Times New Roman" w:cs="Times New Roman"/>
      </w:rPr>
    </w:lvl>
    <w:lvl w:ilvl="1" w:tentative="0">
      <w:start w:val="1"/>
      <w:numFmt w:val="lowerLetter"/>
      <w:lvlText w:val="%2."/>
      <w:lvlJc w:val="left"/>
      <w:pPr>
        <w:ind w:left="1440"/>
      </w:pPr>
      <w:rPr>
        <w:rFonts w:hint="default" w:ascii="Times New Roman" w:hAnsi="Times New Roman" w:cs="Times New Roman"/>
      </w:rPr>
    </w:lvl>
    <w:lvl w:ilvl="2" w:tentative="0">
      <w:start w:val="1"/>
      <w:numFmt w:val="lowerRoman"/>
      <w:lvlText w:val="%3."/>
      <w:lvlJc w:val="left"/>
      <w:pPr>
        <w:ind w:left="2160"/>
      </w:pPr>
      <w:rPr>
        <w:rFonts w:hint="default" w:ascii="Times New Roman" w:hAnsi="Times New Roman" w:cs="Times New Roman"/>
      </w:rPr>
    </w:lvl>
    <w:lvl w:ilvl="3" w:tentative="0">
      <w:start w:val="1"/>
      <w:numFmt w:val="decimal"/>
      <w:lvlText w:val="%4."/>
      <w:lvlJc w:val="left"/>
      <w:pPr>
        <w:ind w:left="2880"/>
      </w:pPr>
      <w:rPr>
        <w:rFonts w:hint="default" w:ascii="Times New Roman" w:hAnsi="Times New Roman" w:cs="Times New Roman"/>
      </w:rPr>
    </w:lvl>
    <w:lvl w:ilvl="4" w:tentative="0">
      <w:start w:val="1"/>
      <w:numFmt w:val="lowerLetter"/>
      <w:lvlText w:val="%5."/>
      <w:lvlJc w:val="left"/>
      <w:pPr>
        <w:ind w:left="3600"/>
      </w:pPr>
      <w:rPr>
        <w:rFonts w:hint="default" w:ascii="Times New Roman" w:hAnsi="Times New Roman" w:cs="Times New Roman"/>
      </w:rPr>
    </w:lvl>
    <w:lvl w:ilvl="5" w:tentative="0">
      <w:start w:val="1"/>
      <w:numFmt w:val="lowerRoman"/>
      <w:lvlText w:val="%6."/>
      <w:lvlJc w:val="left"/>
      <w:pPr>
        <w:ind w:left="4320"/>
      </w:pPr>
      <w:rPr>
        <w:rFonts w:hint="default" w:ascii="Times New Roman" w:hAnsi="Times New Roman" w:cs="Times New Roman"/>
      </w:rPr>
    </w:lvl>
    <w:lvl w:ilvl="6" w:tentative="0">
      <w:start w:val="1"/>
      <w:numFmt w:val="decimal"/>
      <w:lvlText w:val="%7."/>
      <w:lvlJc w:val="left"/>
      <w:pPr>
        <w:ind w:left="5040"/>
      </w:pPr>
      <w:rPr>
        <w:rFonts w:hint="default" w:ascii="Times New Roman" w:hAnsi="Times New Roman" w:cs="Times New Roman"/>
      </w:rPr>
    </w:lvl>
    <w:lvl w:ilvl="7" w:tentative="0">
      <w:start w:val="1"/>
      <w:numFmt w:val="lowerLetter"/>
      <w:lvlText w:val="%8."/>
      <w:lvlJc w:val="left"/>
      <w:pPr>
        <w:ind w:left="5760"/>
      </w:pPr>
      <w:rPr>
        <w:rFonts w:hint="default" w:ascii="Times New Roman" w:hAnsi="Times New Roman" w:cs="Times New Roman"/>
      </w:rPr>
    </w:lvl>
    <w:lvl w:ilvl="8" w:tentative="0">
      <w:start w:val="1"/>
      <w:numFmt w:val="lowerRoman"/>
      <w:lvlText w:val="%9."/>
      <w:lvlJc w:val="left"/>
      <w:pPr>
        <w:ind w:left="6480"/>
      </w:pPr>
      <w:rPr>
        <w:rFonts w:hint="default" w:ascii="Times New Roman" w:hAnsi="Times New Roman" w:cs="Times New Roman"/>
      </w:rPr>
    </w:lvl>
  </w:abstractNum>
  <w:abstractNum w:abstractNumId="3">
    <w:nsid w:val="DF966743"/>
    <w:multiLevelType w:val="singleLevel"/>
    <w:tmpl w:val="DF966743"/>
    <w:lvl w:ilvl="0" w:tentative="0">
      <w:start w:val="1"/>
      <w:numFmt w:val="chineseCounting"/>
      <w:suff w:val="nothing"/>
      <w:lvlText w:val="（%1）"/>
      <w:lvlJc w:val="left"/>
      <w:pPr>
        <w:ind w:left="0" w:firstLine="420"/>
      </w:pPr>
      <w:rPr>
        <w:rFonts w:hint="eastAsia"/>
      </w:rPr>
    </w:lvl>
  </w:abstractNum>
  <w:abstractNum w:abstractNumId="4">
    <w:nsid w:val="EF7BC164"/>
    <w:multiLevelType w:val="singleLevel"/>
    <w:tmpl w:val="EF7BC164"/>
    <w:lvl w:ilvl="0" w:tentative="0">
      <w:start w:val="1"/>
      <w:numFmt w:val="decimal"/>
      <w:lvlText w:val="%1."/>
      <w:lvlJc w:val="left"/>
      <w:pPr>
        <w:ind w:left="425" w:hanging="425"/>
      </w:pPr>
      <w:rPr>
        <w:rFonts w:hint="default"/>
      </w:rPr>
    </w:lvl>
  </w:abstractNum>
  <w:abstractNum w:abstractNumId="5">
    <w:nsid w:val="F75884FB"/>
    <w:multiLevelType w:val="multilevel"/>
    <w:tmpl w:val="F75884FB"/>
    <w:lvl w:ilvl="0" w:tentative="0">
      <w:start w:val="1"/>
      <w:numFmt w:val="bullet"/>
      <w:lvlText w:val=""/>
      <w:lvlJc w:val="left"/>
      <w:pPr>
        <w:ind w:left="720"/>
      </w:pPr>
      <w:rPr>
        <w:rFonts w:ascii="wingdings" w:hAnsi="wingdings" w:eastAsia="wingdings" w:cs="wingdings"/>
      </w:rPr>
    </w:lvl>
    <w:lvl w:ilvl="1" w:tentative="0">
      <w:start w:val="1"/>
      <w:numFmt w:val="bullet"/>
      <w:lvlText w:val="¡"/>
      <w:lvlJc w:val="left"/>
      <w:pPr>
        <w:ind w:left="1440"/>
      </w:pPr>
      <w:rPr>
        <w:rFonts w:hint="default" w:ascii="wingdings" w:hAnsi="wingdings" w:eastAsia="wingdings" w:cs="wingdings"/>
      </w:rPr>
    </w:lvl>
    <w:lvl w:ilvl="2" w:tentative="0">
      <w:start w:val="1"/>
      <w:numFmt w:val="bullet"/>
      <w:lvlText w:val=""/>
      <w:lvlJc w:val="left"/>
      <w:pPr>
        <w:ind w:left="2160"/>
      </w:pPr>
      <w:rPr>
        <w:rFonts w:hint="default" w:ascii="wingdings" w:hAnsi="wingdings" w:eastAsia="wingdings" w:cs="wingdings"/>
      </w:rPr>
    </w:lvl>
    <w:lvl w:ilvl="3" w:tentative="0">
      <w:start w:val="1"/>
      <w:numFmt w:val="bullet"/>
      <w:lvlText w:val=""/>
      <w:lvlJc w:val="left"/>
      <w:pPr>
        <w:ind w:left="2880"/>
      </w:pPr>
      <w:rPr>
        <w:rFonts w:hint="default" w:ascii="wingdings" w:hAnsi="wingdings" w:eastAsia="wingdings" w:cs="wingdings"/>
      </w:rPr>
    </w:lvl>
    <w:lvl w:ilvl="4" w:tentative="0">
      <w:start w:val="1"/>
      <w:numFmt w:val="bullet"/>
      <w:lvlText w:val="¡"/>
      <w:lvlJc w:val="left"/>
      <w:pPr>
        <w:ind w:left="3600"/>
      </w:pPr>
      <w:rPr>
        <w:rFonts w:hint="default" w:ascii="wingdings" w:hAnsi="wingdings" w:eastAsia="wingdings" w:cs="wingdings"/>
      </w:rPr>
    </w:lvl>
    <w:lvl w:ilvl="5" w:tentative="0">
      <w:start w:val="1"/>
      <w:numFmt w:val="bullet"/>
      <w:lvlText w:val=""/>
      <w:lvlJc w:val="left"/>
      <w:pPr>
        <w:ind w:left="4320"/>
      </w:pPr>
      <w:rPr>
        <w:rFonts w:hint="default" w:ascii="wingdings" w:hAnsi="wingdings" w:eastAsia="wingdings" w:cs="wingdings"/>
      </w:rPr>
    </w:lvl>
    <w:lvl w:ilvl="6" w:tentative="0">
      <w:start w:val="1"/>
      <w:numFmt w:val="bullet"/>
      <w:lvlText w:val=""/>
      <w:lvlJc w:val="left"/>
      <w:pPr>
        <w:ind w:left="5040"/>
      </w:pPr>
      <w:rPr>
        <w:rFonts w:hint="default" w:ascii="wingdings" w:hAnsi="wingdings" w:eastAsia="wingdings" w:cs="wingdings"/>
      </w:rPr>
    </w:lvl>
    <w:lvl w:ilvl="7" w:tentative="0">
      <w:start w:val="1"/>
      <w:numFmt w:val="bullet"/>
      <w:lvlText w:val="¡"/>
      <w:lvlJc w:val="left"/>
      <w:pPr>
        <w:ind w:left="5760"/>
      </w:pPr>
      <w:rPr>
        <w:rFonts w:hint="default" w:ascii="wingdings" w:hAnsi="wingdings" w:eastAsia="wingdings" w:cs="wingdings"/>
      </w:rPr>
    </w:lvl>
    <w:lvl w:ilvl="8" w:tentative="0">
      <w:start w:val="1"/>
      <w:numFmt w:val="bullet"/>
      <w:lvlText w:val=""/>
      <w:lvlJc w:val="left"/>
      <w:pPr>
        <w:ind w:left="6480"/>
      </w:pPr>
      <w:rPr>
        <w:rFonts w:hint="default" w:ascii="wingdings" w:hAnsi="wingdings" w:eastAsia="wingdings" w:cs="wingdings"/>
      </w:rPr>
    </w:lvl>
  </w:abstractNum>
  <w:abstractNum w:abstractNumId="6">
    <w:nsid w:val="FBF0433A"/>
    <w:multiLevelType w:val="multilevel"/>
    <w:tmpl w:val="FBF0433A"/>
    <w:lvl w:ilvl="0" w:tentative="0">
      <w:start w:val="1"/>
      <w:numFmt w:val="bullet"/>
      <w:lvlText w:val=""/>
      <w:lvlJc w:val="left"/>
      <w:pPr>
        <w:ind w:left="720"/>
      </w:pPr>
      <w:rPr>
        <w:rFonts w:ascii="wingdings" w:hAnsi="wingdings" w:eastAsia="wingdings" w:cs="wingdings"/>
      </w:rPr>
    </w:lvl>
    <w:lvl w:ilvl="1" w:tentative="0">
      <w:start w:val="1"/>
      <w:numFmt w:val="bullet"/>
      <w:lvlText w:val="¡"/>
      <w:lvlJc w:val="left"/>
      <w:pPr>
        <w:ind w:left="1440"/>
      </w:pPr>
      <w:rPr>
        <w:rFonts w:hint="default" w:ascii="wingdings" w:hAnsi="wingdings" w:eastAsia="wingdings" w:cs="wingdings"/>
      </w:rPr>
    </w:lvl>
    <w:lvl w:ilvl="2" w:tentative="0">
      <w:start w:val="1"/>
      <w:numFmt w:val="bullet"/>
      <w:lvlText w:val=""/>
      <w:lvlJc w:val="left"/>
      <w:pPr>
        <w:ind w:left="2160"/>
      </w:pPr>
      <w:rPr>
        <w:rFonts w:hint="default" w:ascii="wingdings" w:hAnsi="wingdings" w:eastAsia="wingdings" w:cs="wingdings"/>
      </w:rPr>
    </w:lvl>
    <w:lvl w:ilvl="3" w:tentative="0">
      <w:start w:val="1"/>
      <w:numFmt w:val="bullet"/>
      <w:lvlText w:val=""/>
      <w:lvlJc w:val="left"/>
      <w:pPr>
        <w:ind w:left="2880"/>
      </w:pPr>
      <w:rPr>
        <w:rFonts w:hint="default" w:ascii="wingdings" w:hAnsi="wingdings" w:eastAsia="wingdings" w:cs="wingdings"/>
      </w:rPr>
    </w:lvl>
    <w:lvl w:ilvl="4" w:tentative="0">
      <w:start w:val="1"/>
      <w:numFmt w:val="bullet"/>
      <w:lvlText w:val="¡"/>
      <w:lvlJc w:val="left"/>
      <w:pPr>
        <w:ind w:left="3600"/>
      </w:pPr>
      <w:rPr>
        <w:rFonts w:hint="default" w:ascii="wingdings" w:hAnsi="wingdings" w:eastAsia="wingdings" w:cs="wingdings"/>
      </w:rPr>
    </w:lvl>
    <w:lvl w:ilvl="5" w:tentative="0">
      <w:start w:val="1"/>
      <w:numFmt w:val="bullet"/>
      <w:lvlText w:val=""/>
      <w:lvlJc w:val="left"/>
      <w:pPr>
        <w:ind w:left="4320"/>
      </w:pPr>
      <w:rPr>
        <w:rFonts w:hint="default" w:ascii="wingdings" w:hAnsi="wingdings" w:eastAsia="wingdings" w:cs="wingdings"/>
      </w:rPr>
    </w:lvl>
    <w:lvl w:ilvl="6" w:tentative="0">
      <w:start w:val="1"/>
      <w:numFmt w:val="bullet"/>
      <w:lvlText w:val=""/>
      <w:lvlJc w:val="left"/>
      <w:pPr>
        <w:ind w:left="5040"/>
      </w:pPr>
      <w:rPr>
        <w:rFonts w:hint="default" w:ascii="wingdings" w:hAnsi="wingdings" w:eastAsia="wingdings" w:cs="wingdings"/>
      </w:rPr>
    </w:lvl>
    <w:lvl w:ilvl="7" w:tentative="0">
      <w:start w:val="1"/>
      <w:numFmt w:val="bullet"/>
      <w:lvlText w:val="¡"/>
      <w:lvlJc w:val="left"/>
      <w:pPr>
        <w:ind w:left="5760"/>
      </w:pPr>
      <w:rPr>
        <w:rFonts w:hint="default" w:ascii="wingdings" w:hAnsi="wingdings" w:eastAsia="wingdings" w:cs="wingdings"/>
      </w:rPr>
    </w:lvl>
    <w:lvl w:ilvl="8" w:tentative="0">
      <w:start w:val="1"/>
      <w:numFmt w:val="bullet"/>
      <w:lvlText w:val=""/>
      <w:lvlJc w:val="left"/>
      <w:pPr>
        <w:ind w:left="6480"/>
      </w:pPr>
      <w:rPr>
        <w:rFonts w:hint="default" w:ascii="wingdings" w:hAnsi="wingdings" w:eastAsia="wingdings" w:cs="wingdings"/>
      </w:rPr>
    </w:lvl>
  </w:abstractNum>
  <w:abstractNum w:abstractNumId="7">
    <w:nsid w:val="FDFF1C15"/>
    <w:multiLevelType w:val="multilevel"/>
    <w:tmpl w:val="FDFF1C15"/>
    <w:lvl w:ilvl="0" w:tentative="0">
      <w:start w:val="1"/>
      <w:numFmt w:val="bullet"/>
      <w:lvlText w:val=""/>
      <w:lvlJc w:val="left"/>
      <w:pPr>
        <w:ind w:left="720"/>
      </w:pPr>
      <w:rPr>
        <w:rFonts w:ascii="wingdings" w:hAnsi="wingdings" w:eastAsia="wingdings" w:cs="wingdings"/>
      </w:rPr>
    </w:lvl>
    <w:lvl w:ilvl="1" w:tentative="0">
      <w:start w:val="1"/>
      <w:numFmt w:val="bullet"/>
      <w:lvlText w:val="¡"/>
      <w:lvlJc w:val="left"/>
      <w:pPr>
        <w:ind w:left="1440"/>
      </w:pPr>
      <w:rPr>
        <w:rFonts w:hint="default" w:ascii="wingdings" w:hAnsi="wingdings" w:eastAsia="wingdings" w:cs="wingdings"/>
      </w:rPr>
    </w:lvl>
    <w:lvl w:ilvl="2" w:tentative="0">
      <w:start w:val="1"/>
      <w:numFmt w:val="bullet"/>
      <w:lvlText w:val=""/>
      <w:lvlJc w:val="left"/>
      <w:pPr>
        <w:ind w:left="2160"/>
      </w:pPr>
      <w:rPr>
        <w:rFonts w:hint="default" w:ascii="wingdings" w:hAnsi="wingdings" w:eastAsia="wingdings" w:cs="wingdings"/>
      </w:rPr>
    </w:lvl>
    <w:lvl w:ilvl="3" w:tentative="0">
      <w:start w:val="1"/>
      <w:numFmt w:val="bullet"/>
      <w:lvlText w:val=""/>
      <w:lvlJc w:val="left"/>
      <w:pPr>
        <w:ind w:left="2880"/>
      </w:pPr>
      <w:rPr>
        <w:rFonts w:hint="default" w:ascii="wingdings" w:hAnsi="wingdings" w:eastAsia="wingdings" w:cs="wingdings"/>
      </w:rPr>
    </w:lvl>
    <w:lvl w:ilvl="4" w:tentative="0">
      <w:start w:val="1"/>
      <w:numFmt w:val="bullet"/>
      <w:lvlText w:val="¡"/>
      <w:lvlJc w:val="left"/>
      <w:pPr>
        <w:ind w:left="3600"/>
      </w:pPr>
      <w:rPr>
        <w:rFonts w:hint="default" w:ascii="wingdings" w:hAnsi="wingdings" w:eastAsia="wingdings" w:cs="wingdings"/>
      </w:rPr>
    </w:lvl>
    <w:lvl w:ilvl="5" w:tentative="0">
      <w:start w:val="1"/>
      <w:numFmt w:val="bullet"/>
      <w:lvlText w:val=""/>
      <w:lvlJc w:val="left"/>
      <w:pPr>
        <w:ind w:left="4320"/>
      </w:pPr>
      <w:rPr>
        <w:rFonts w:hint="default" w:ascii="wingdings" w:hAnsi="wingdings" w:eastAsia="wingdings" w:cs="wingdings"/>
      </w:rPr>
    </w:lvl>
    <w:lvl w:ilvl="6" w:tentative="0">
      <w:start w:val="1"/>
      <w:numFmt w:val="bullet"/>
      <w:lvlText w:val=""/>
      <w:lvlJc w:val="left"/>
      <w:pPr>
        <w:ind w:left="5040"/>
      </w:pPr>
      <w:rPr>
        <w:rFonts w:hint="default" w:ascii="wingdings" w:hAnsi="wingdings" w:eastAsia="wingdings" w:cs="wingdings"/>
      </w:rPr>
    </w:lvl>
    <w:lvl w:ilvl="7" w:tentative="0">
      <w:start w:val="1"/>
      <w:numFmt w:val="bullet"/>
      <w:lvlText w:val="¡"/>
      <w:lvlJc w:val="left"/>
      <w:pPr>
        <w:ind w:left="5760"/>
      </w:pPr>
      <w:rPr>
        <w:rFonts w:hint="default" w:ascii="wingdings" w:hAnsi="wingdings" w:eastAsia="wingdings" w:cs="wingdings"/>
      </w:rPr>
    </w:lvl>
    <w:lvl w:ilvl="8" w:tentative="0">
      <w:start w:val="1"/>
      <w:numFmt w:val="bullet"/>
      <w:lvlText w:val=""/>
      <w:lvlJc w:val="left"/>
      <w:pPr>
        <w:ind w:left="6480"/>
      </w:pPr>
      <w:rPr>
        <w:rFonts w:hint="default" w:ascii="wingdings" w:hAnsi="wingdings" w:eastAsia="wingdings" w:cs="wingdings"/>
      </w:rPr>
    </w:lvl>
  </w:abstractNum>
  <w:abstractNum w:abstractNumId="8">
    <w:nsid w:val="FEBD7FAD"/>
    <w:multiLevelType w:val="singleLevel"/>
    <w:tmpl w:val="FEBD7FAD"/>
    <w:lvl w:ilvl="0" w:tentative="0">
      <w:start w:val="1"/>
      <w:numFmt w:val="chineseCounting"/>
      <w:suff w:val="nothing"/>
      <w:lvlText w:val="%1、"/>
      <w:lvlJc w:val="left"/>
      <w:pPr>
        <w:ind w:left="0" w:firstLine="420"/>
      </w:pPr>
      <w:rPr>
        <w:rFonts w:hint="eastAsia"/>
      </w:rPr>
    </w:lvl>
  </w:abstractNum>
  <w:abstractNum w:abstractNumId="9">
    <w:nsid w:val="FFFC7006"/>
    <w:multiLevelType w:val="multilevel"/>
    <w:tmpl w:val="FFFC7006"/>
    <w:lvl w:ilvl="0" w:tentative="0">
      <w:start w:val="1"/>
      <w:numFmt w:val="bullet"/>
      <w:lvlText w:val=""/>
      <w:lvlJc w:val="left"/>
      <w:pPr>
        <w:ind w:left="720"/>
      </w:pPr>
      <w:rPr>
        <w:rFonts w:ascii="wingdings" w:hAnsi="wingdings" w:eastAsia="wingdings" w:cs="wingdings"/>
      </w:rPr>
    </w:lvl>
    <w:lvl w:ilvl="1" w:tentative="0">
      <w:start w:val="1"/>
      <w:numFmt w:val="bullet"/>
      <w:lvlText w:val="¡"/>
      <w:lvlJc w:val="left"/>
      <w:pPr>
        <w:ind w:left="1440"/>
      </w:pPr>
      <w:rPr>
        <w:rFonts w:hint="default" w:ascii="wingdings" w:hAnsi="wingdings" w:eastAsia="wingdings" w:cs="wingdings"/>
      </w:rPr>
    </w:lvl>
    <w:lvl w:ilvl="2" w:tentative="0">
      <w:start w:val="1"/>
      <w:numFmt w:val="bullet"/>
      <w:lvlText w:val=""/>
      <w:lvlJc w:val="left"/>
      <w:pPr>
        <w:ind w:left="2160"/>
      </w:pPr>
      <w:rPr>
        <w:rFonts w:hint="default" w:ascii="wingdings" w:hAnsi="wingdings" w:eastAsia="wingdings" w:cs="wingdings"/>
      </w:rPr>
    </w:lvl>
    <w:lvl w:ilvl="3" w:tentative="0">
      <w:start w:val="1"/>
      <w:numFmt w:val="bullet"/>
      <w:lvlText w:val=""/>
      <w:lvlJc w:val="left"/>
      <w:pPr>
        <w:ind w:left="2880"/>
      </w:pPr>
      <w:rPr>
        <w:rFonts w:hint="default" w:ascii="wingdings" w:hAnsi="wingdings" w:eastAsia="wingdings" w:cs="wingdings"/>
      </w:rPr>
    </w:lvl>
    <w:lvl w:ilvl="4" w:tentative="0">
      <w:start w:val="1"/>
      <w:numFmt w:val="bullet"/>
      <w:lvlText w:val="¡"/>
      <w:lvlJc w:val="left"/>
      <w:pPr>
        <w:ind w:left="3600"/>
      </w:pPr>
      <w:rPr>
        <w:rFonts w:hint="default" w:ascii="wingdings" w:hAnsi="wingdings" w:eastAsia="wingdings" w:cs="wingdings"/>
      </w:rPr>
    </w:lvl>
    <w:lvl w:ilvl="5" w:tentative="0">
      <w:start w:val="1"/>
      <w:numFmt w:val="bullet"/>
      <w:lvlText w:val=""/>
      <w:lvlJc w:val="left"/>
      <w:pPr>
        <w:ind w:left="4320"/>
      </w:pPr>
      <w:rPr>
        <w:rFonts w:hint="default" w:ascii="wingdings" w:hAnsi="wingdings" w:eastAsia="wingdings" w:cs="wingdings"/>
      </w:rPr>
    </w:lvl>
    <w:lvl w:ilvl="6" w:tentative="0">
      <w:start w:val="1"/>
      <w:numFmt w:val="bullet"/>
      <w:lvlText w:val=""/>
      <w:lvlJc w:val="left"/>
      <w:pPr>
        <w:ind w:left="5040"/>
      </w:pPr>
      <w:rPr>
        <w:rFonts w:hint="default" w:ascii="wingdings" w:hAnsi="wingdings" w:eastAsia="wingdings" w:cs="wingdings"/>
      </w:rPr>
    </w:lvl>
    <w:lvl w:ilvl="7" w:tentative="0">
      <w:start w:val="1"/>
      <w:numFmt w:val="bullet"/>
      <w:lvlText w:val="¡"/>
      <w:lvlJc w:val="left"/>
      <w:pPr>
        <w:ind w:left="5760"/>
      </w:pPr>
      <w:rPr>
        <w:rFonts w:hint="default" w:ascii="wingdings" w:hAnsi="wingdings" w:eastAsia="wingdings" w:cs="wingdings"/>
      </w:rPr>
    </w:lvl>
    <w:lvl w:ilvl="8" w:tentative="0">
      <w:start w:val="1"/>
      <w:numFmt w:val="bullet"/>
      <w:lvlText w:val=""/>
      <w:lvlJc w:val="left"/>
      <w:pPr>
        <w:ind w:left="6480"/>
      </w:pPr>
      <w:rPr>
        <w:rFonts w:hint="default" w:ascii="wingdings" w:hAnsi="wingdings" w:eastAsia="wingdings" w:cs="wingdings"/>
      </w:rPr>
    </w:lvl>
  </w:abstractNum>
  <w:abstractNum w:abstractNumId="10">
    <w:nsid w:val="5DF505E1"/>
    <w:multiLevelType w:val="multilevel"/>
    <w:tmpl w:val="5DF505E1"/>
    <w:lvl w:ilvl="0" w:tentative="0">
      <w:start w:val="1"/>
      <w:numFmt w:val="bullet"/>
      <w:lvlText w:val=""/>
      <w:lvlJc w:val="left"/>
      <w:pPr>
        <w:ind w:left="720"/>
      </w:pPr>
      <w:rPr>
        <w:rFonts w:ascii="wingdings" w:hAnsi="wingdings" w:eastAsia="wingdings" w:cs="wingdings"/>
      </w:rPr>
    </w:lvl>
    <w:lvl w:ilvl="1" w:tentative="0">
      <w:start w:val="1"/>
      <w:numFmt w:val="bullet"/>
      <w:lvlText w:val="¡"/>
      <w:lvlJc w:val="left"/>
      <w:pPr>
        <w:ind w:left="1440"/>
      </w:pPr>
      <w:rPr>
        <w:rFonts w:hint="default" w:ascii="wingdings" w:hAnsi="wingdings" w:eastAsia="wingdings" w:cs="wingdings"/>
      </w:rPr>
    </w:lvl>
    <w:lvl w:ilvl="2" w:tentative="0">
      <w:start w:val="1"/>
      <w:numFmt w:val="bullet"/>
      <w:lvlText w:val=""/>
      <w:lvlJc w:val="left"/>
      <w:pPr>
        <w:ind w:left="2160"/>
      </w:pPr>
      <w:rPr>
        <w:rFonts w:hint="default" w:ascii="wingdings" w:hAnsi="wingdings" w:eastAsia="wingdings" w:cs="wingdings"/>
      </w:rPr>
    </w:lvl>
    <w:lvl w:ilvl="3" w:tentative="0">
      <w:start w:val="1"/>
      <w:numFmt w:val="bullet"/>
      <w:lvlText w:val=""/>
      <w:lvlJc w:val="left"/>
      <w:pPr>
        <w:ind w:left="2880"/>
      </w:pPr>
      <w:rPr>
        <w:rFonts w:hint="default" w:ascii="wingdings" w:hAnsi="wingdings" w:eastAsia="wingdings" w:cs="wingdings"/>
      </w:rPr>
    </w:lvl>
    <w:lvl w:ilvl="4" w:tentative="0">
      <w:start w:val="1"/>
      <w:numFmt w:val="bullet"/>
      <w:lvlText w:val="¡"/>
      <w:lvlJc w:val="left"/>
      <w:pPr>
        <w:ind w:left="3600"/>
      </w:pPr>
      <w:rPr>
        <w:rFonts w:hint="default" w:ascii="wingdings" w:hAnsi="wingdings" w:eastAsia="wingdings" w:cs="wingdings"/>
      </w:rPr>
    </w:lvl>
    <w:lvl w:ilvl="5" w:tentative="0">
      <w:start w:val="1"/>
      <w:numFmt w:val="bullet"/>
      <w:lvlText w:val=""/>
      <w:lvlJc w:val="left"/>
      <w:pPr>
        <w:ind w:left="4320"/>
      </w:pPr>
      <w:rPr>
        <w:rFonts w:hint="default" w:ascii="wingdings" w:hAnsi="wingdings" w:eastAsia="wingdings" w:cs="wingdings"/>
      </w:rPr>
    </w:lvl>
    <w:lvl w:ilvl="6" w:tentative="0">
      <w:start w:val="1"/>
      <w:numFmt w:val="bullet"/>
      <w:lvlText w:val=""/>
      <w:lvlJc w:val="left"/>
      <w:pPr>
        <w:ind w:left="5040"/>
      </w:pPr>
      <w:rPr>
        <w:rFonts w:hint="default" w:ascii="wingdings" w:hAnsi="wingdings" w:eastAsia="wingdings" w:cs="wingdings"/>
      </w:rPr>
    </w:lvl>
    <w:lvl w:ilvl="7" w:tentative="0">
      <w:start w:val="1"/>
      <w:numFmt w:val="bullet"/>
      <w:lvlText w:val="¡"/>
      <w:lvlJc w:val="left"/>
      <w:pPr>
        <w:ind w:left="5760"/>
      </w:pPr>
      <w:rPr>
        <w:rFonts w:hint="default" w:ascii="wingdings" w:hAnsi="wingdings" w:eastAsia="wingdings" w:cs="wingdings"/>
      </w:rPr>
    </w:lvl>
    <w:lvl w:ilvl="8" w:tentative="0">
      <w:start w:val="1"/>
      <w:numFmt w:val="bullet"/>
      <w:lvlText w:val=""/>
      <w:lvlJc w:val="left"/>
      <w:pPr>
        <w:ind w:left="6480"/>
      </w:pPr>
      <w:rPr>
        <w:rFonts w:hint="default" w:ascii="wingdings" w:hAnsi="wingdings" w:eastAsia="wingdings" w:cs="wingdings"/>
      </w:rPr>
    </w:lvl>
  </w:abstractNum>
  <w:abstractNum w:abstractNumId="11">
    <w:nsid w:val="7BCEFB02"/>
    <w:multiLevelType w:val="multilevel"/>
    <w:tmpl w:val="7BCEFB02"/>
    <w:lvl w:ilvl="0" w:tentative="0">
      <w:start w:val="1"/>
      <w:numFmt w:val="decimal"/>
      <w:lvlText w:val="%1."/>
      <w:lvlJc w:val="left"/>
      <w:pPr>
        <w:ind w:left="720"/>
      </w:pPr>
      <w:rPr>
        <w:rFonts w:hint="default" w:ascii="Times New Roman" w:hAnsi="Times New Roman" w:cs="Times New Roman"/>
      </w:rPr>
    </w:lvl>
    <w:lvl w:ilvl="1" w:tentative="0">
      <w:start w:val="1"/>
      <w:numFmt w:val="lowerLetter"/>
      <w:lvlText w:val="%2."/>
      <w:lvlJc w:val="left"/>
      <w:pPr>
        <w:ind w:left="1440"/>
      </w:pPr>
      <w:rPr>
        <w:rFonts w:hint="default" w:ascii="Times New Roman" w:hAnsi="Times New Roman" w:cs="Times New Roman"/>
      </w:rPr>
    </w:lvl>
    <w:lvl w:ilvl="2" w:tentative="0">
      <w:start w:val="1"/>
      <w:numFmt w:val="lowerRoman"/>
      <w:lvlText w:val="%3."/>
      <w:lvlJc w:val="left"/>
      <w:pPr>
        <w:ind w:left="2160"/>
      </w:pPr>
      <w:rPr>
        <w:rFonts w:hint="default" w:ascii="Times New Roman" w:hAnsi="Times New Roman" w:cs="Times New Roman"/>
      </w:rPr>
    </w:lvl>
    <w:lvl w:ilvl="3" w:tentative="0">
      <w:start w:val="1"/>
      <w:numFmt w:val="decimal"/>
      <w:lvlText w:val="%4."/>
      <w:lvlJc w:val="left"/>
      <w:pPr>
        <w:ind w:left="2880"/>
      </w:pPr>
      <w:rPr>
        <w:rFonts w:hint="default" w:ascii="Times New Roman" w:hAnsi="Times New Roman" w:cs="Times New Roman"/>
      </w:rPr>
    </w:lvl>
    <w:lvl w:ilvl="4" w:tentative="0">
      <w:start w:val="1"/>
      <w:numFmt w:val="lowerLetter"/>
      <w:lvlText w:val="%5."/>
      <w:lvlJc w:val="left"/>
      <w:pPr>
        <w:ind w:left="3600"/>
      </w:pPr>
      <w:rPr>
        <w:rFonts w:hint="default" w:ascii="Times New Roman" w:hAnsi="Times New Roman" w:cs="Times New Roman"/>
      </w:rPr>
    </w:lvl>
    <w:lvl w:ilvl="5" w:tentative="0">
      <w:start w:val="1"/>
      <w:numFmt w:val="lowerRoman"/>
      <w:lvlText w:val="%6."/>
      <w:lvlJc w:val="left"/>
      <w:pPr>
        <w:ind w:left="4320"/>
      </w:pPr>
      <w:rPr>
        <w:rFonts w:hint="default" w:ascii="Times New Roman" w:hAnsi="Times New Roman" w:cs="Times New Roman"/>
      </w:rPr>
    </w:lvl>
    <w:lvl w:ilvl="6" w:tentative="0">
      <w:start w:val="1"/>
      <w:numFmt w:val="decimal"/>
      <w:lvlText w:val="%7."/>
      <w:lvlJc w:val="left"/>
      <w:pPr>
        <w:ind w:left="5040"/>
      </w:pPr>
      <w:rPr>
        <w:rFonts w:hint="default" w:ascii="Times New Roman" w:hAnsi="Times New Roman" w:cs="Times New Roman"/>
      </w:rPr>
    </w:lvl>
    <w:lvl w:ilvl="7" w:tentative="0">
      <w:start w:val="1"/>
      <w:numFmt w:val="lowerLetter"/>
      <w:lvlText w:val="%8."/>
      <w:lvlJc w:val="left"/>
      <w:pPr>
        <w:ind w:left="5760"/>
      </w:pPr>
      <w:rPr>
        <w:rFonts w:hint="default" w:ascii="Times New Roman" w:hAnsi="Times New Roman" w:cs="Times New Roman"/>
      </w:rPr>
    </w:lvl>
    <w:lvl w:ilvl="8" w:tentative="0">
      <w:start w:val="1"/>
      <w:numFmt w:val="lowerRoman"/>
      <w:lvlText w:val="%9."/>
      <w:lvlJc w:val="left"/>
      <w:pPr>
        <w:ind w:left="6480"/>
      </w:pPr>
      <w:rPr>
        <w:rFonts w:hint="default" w:ascii="Times New Roman" w:hAnsi="Times New Roman" w:cs="Times New Roman"/>
      </w:rPr>
    </w:lvl>
  </w:abstractNum>
  <w:num w:numId="1">
    <w:abstractNumId w:val="8"/>
  </w:num>
  <w:num w:numId="2">
    <w:abstractNumId w:val="11"/>
  </w:num>
  <w:num w:numId="3">
    <w:abstractNumId w:val="3"/>
  </w:num>
  <w:num w:numId="4">
    <w:abstractNumId w:val="5"/>
  </w:num>
  <w:num w:numId="5">
    <w:abstractNumId w:val="4"/>
  </w:num>
  <w:num w:numId="6">
    <w:abstractNumId w:val="1"/>
  </w:num>
  <w:num w:numId="7">
    <w:abstractNumId w:val="6"/>
  </w:num>
  <w:num w:numId="8">
    <w:abstractNumId w:val="9"/>
  </w:num>
  <w:num w:numId="9">
    <w:abstractNumId w:val="7"/>
  </w:num>
  <w:num w:numId="10">
    <w:abstractNumId w:val="2"/>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AFEF361"/>
    <w:rsid w:val="FAFEF3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widowControl/>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widowControl/>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oleObject" Target="embeddings/oleObject1.bin"/><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27</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2024-11-08T14:10:00Z</dcterms:created>
  <dc:creator>思穗羊花</dc:creator>
  <cp:lastModifiedBy>思穗羊花</cp:lastModifiedBy>
  <dcterms:modified xsi:type="dcterms:W3CDTF">2024-11-08T14:38:32Z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B1E74B8AAD5E986F5CAB2D67B2597B19_41</vt:lpwstr>
  </property>
</Properties>
</file>