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4.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5.xml" ContentType="application/vnd.openxmlformats-officedocument.wordprocessingml.footer+xml"/>
  <Override PartName="/word/header13.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charts/chart3.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6A4DCD" w14:textId="77777777" w:rsidR="006B4107" w:rsidRDefault="004E70C7">
      <w:pPr>
        <w:pStyle w:val="Documentsubtitle"/>
        <w:ind w:firstLineChars="1900" w:firstLine="6840"/>
        <w:jc w:val="both"/>
        <w:rPr>
          <w:rFonts w:ascii="Arial Narrow" w:hAnsi="Arial Narrow" w:cstheme="majorBidi"/>
          <w:b/>
          <w:bCs/>
          <w:szCs w:val="36"/>
          <w:lang w:val="en-GB" w:eastAsia="zh-CN"/>
        </w:rPr>
      </w:pPr>
      <w:r>
        <w:rPr>
          <w:noProof/>
        </w:rPr>
        <w:drawing>
          <wp:inline distT="0" distB="0" distL="0" distR="0" wp14:anchorId="251DC766" wp14:editId="02775BD7">
            <wp:extent cx="1168400" cy="490855"/>
            <wp:effectExtent l="0" t="0" r="0" b="4445"/>
            <wp:docPr id="953522771" name="图片 953522771" descr="2立信税务名称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522771" name="图片 953522771" descr="2立信税务名称图"/>
                    <pic:cNvPicPr>
                      <a:picLocks noChangeAspect="1" noChangeArrowheads="1"/>
                    </pic:cNvPicPr>
                  </pic:nvPicPr>
                  <pic:blipFill>
                    <a:blip r:embed="rId8" cstate="print">
                      <a:extLst>
                        <a:ext uri="{28A0092B-C50C-407E-A947-70E740481C1C}">
                          <a14:useLocalDpi xmlns:a14="http://schemas.microsoft.com/office/drawing/2010/main" val="0"/>
                        </a:ext>
                      </a:extLst>
                    </a:blip>
                    <a:srcRect t="1" r="54568" b="-5216"/>
                    <a:stretch>
                      <a:fillRect/>
                    </a:stretch>
                  </pic:blipFill>
                  <pic:spPr>
                    <a:xfrm>
                      <a:off x="0" y="0"/>
                      <a:ext cx="1168400" cy="490855"/>
                    </a:xfrm>
                    <a:prstGeom prst="rect">
                      <a:avLst/>
                    </a:prstGeom>
                    <a:noFill/>
                    <a:ln>
                      <a:noFill/>
                    </a:ln>
                  </pic:spPr>
                </pic:pic>
              </a:graphicData>
            </a:graphic>
          </wp:inline>
        </w:drawing>
      </w:r>
    </w:p>
    <w:p w14:paraId="08376EEB" w14:textId="77777777" w:rsidR="006B4107" w:rsidRDefault="006B4107">
      <w:pPr>
        <w:pStyle w:val="Documentsubtitle"/>
        <w:jc w:val="both"/>
        <w:rPr>
          <w:rFonts w:ascii="Arial Narrow" w:hAnsi="Arial Narrow" w:cstheme="majorBidi"/>
          <w:b/>
          <w:bCs/>
          <w:szCs w:val="36"/>
          <w:lang w:val="en-GB" w:eastAsia="zh-CN"/>
        </w:rPr>
      </w:pPr>
    </w:p>
    <w:p w14:paraId="51A6DEC0" w14:textId="77777777" w:rsidR="006B4107" w:rsidRDefault="006B4107">
      <w:pPr>
        <w:pStyle w:val="Documentsubtitle"/>
        <w:jc w:val="both"/>
        <w:rPr>
          <w:rFonts w:ascii="Arial Narrow" w:hAnsi="Arial Narrow" w:cstheme="majorBidi"/>
          <w:b/>
          <w:bCs/>
          <w:color w:val="00B0F0"/>
          <w:szCs w:val="36"/>
          <w:lang w:val="en-GB" w:eastAsia="zh-CN"/>
        </w:rPr>
      </w:pPr>
    </w:p>
    <w:p w14:paraId="09BC3A21" w14:textId="77777777" w:rsidR="006B4107" w:rsidRDefault="004E70C7">
      <w:pPr>
        <w:widowControl w:val="0"/>
        <w:spacing w:beforeLines="50" w:before="163" w:afterLines="50" w:after="163"/>
        <w:ind w:rightChars="-435" w:right="-957"/>
        <w:jc w:val="both"/>
        <w:rPr>
          <w:color w:val="002060"/>
          <w:sz w:val="48"/>
        </w:rPr>
      </w:pPr>
      <w:r>
        <w:rPr>
          <w:rFonts w:hint="eastAsia"/>
          <w:color w:val="002060"/>
          <w:sz w:val="48"/>
        </w:rPr>
        <w:t>上海远化物流有限公司</w:t>
      </w:r>
    </w:p>
    <w:p w14:paraId="150EB751" w14:textId="77777777" w:rsidR="006B4107" w:rsidRDefault="004E70C7">
      <w:pPr>
        <w:pStyle w:val="Documentsubtitle"/>
        <w:jc w:val="both"/>
        <w:rPr>
          <w:rFonts w:ascii="Arial Narrow" w:hAnsi="Arial Narrow"/>
          <w:b/>
          <w:szCs w:val="36"/>
          <w:lang w:eastAsia="zh-CN"/>
        </w:rPr>
      </w:pPr>
      <w:r>
        <w:rPr>
          <w:rFonts w:ascii="Arial Narrow" w:hAnsi="Arial Narrow" w:cs="Arial"/>
          <w:color w:val="000000"/>
          <w:kern w:val="2"/>
          <w:sz w:val="32"/>
          <w:szCs w:val="32"/>
          <w:lang w:eastAsia="zh-CN"/>
        </w:rPr>
        <w:t>关联交易同期资料的本地文档</w:t>
      </w:r>
    </w:p>
    <w:p w14:paraId="709B6229" w14:textId="77777777" w:rsidR="006B4107" w:rsidRDefault="004E70C7">
      <w:pPr>
        <w:widowControl w:val="0"/>
        <w:spacing w:before="50" w:afterLines="50" w:after="163" w:line="360" w:lineRule="exact"/>
        <w:jc w:val="both"/>
        <w:rPr>
          <w:color w:val="000000"/>
          <w:sz w:val="32"/>
          <w:szCs w:val="32"/>
        </w:rPr>
      </w:pPr>
      <w:r>
        <w:rPr>
          <w:color w:val="000000"/>
          <w:sz w:val="32"/>
          <w:szCs w:val="32"/>
        </w:rPr>
        <w:t>202</w:t>
      </w:r>
      <w:r>
        <w:rPr>
          <w:rFonts w:hint="eastAsia"/>
          <w:color w:val="000000"/>
          <w:sz w:val="32"/>
          <w:szCs w:val="32"/>
        </w:rPr>
        <w:t>3</w:t>
      </w:r>
      <w:r>
        <w:rPr>
          <w:color w:val="000000"/>
          <w:sz w:val="32"/>
          <w:szCs w:val="32"/>
        </w:rPr>
        <w:t>财务年度（截至</w:t>
      </w:r>
      <w:r>
        <w:rPr>
          <w:color w:val="000000"/>
          <w:sz w:val="32"/>
          <w:szCs w:val="32"/>
        </w:rPr>
        <w:t xml:space="preserve"> 202</w:t>
      </w:r>
      <w:r>
        <w:rPr>
          <w:rFonts w:hint="eastAsia"/>
          <w:color w:val="000000"/>
          <w:sz w:val="32"/>
          <w:szCs w:val="32"/>
        </w:rPr>
        <w:t>3</w:t>
      </w:r>
      <w:r>
        <w:rPr>
          <w:color w:val="000000"/>
          <w:sz w:val="32"/>
          <w:szCs w:val="32"/>
        </w:rPr>
        <w:t>年</w:t>
      </w:r>
      <w:r>
        <w:rPr>
          <w:color w:val="000000"/>
          <w:sz w:val="32"/>
          <w:szCs w:val="32"/>
        </w:rPr>
        <w:t xml:space="preserve"> 12 </w:t>
      </w:r>
      <w:r>
        <w:rPr>
          <w:color w:val="000000"/>
          <w:sz w:val="32"/>
          <w:szCs w:val="32"/>
        </w:rPr>
        <w:t>月</w:t>
      </w:r>
      <w:r>
        <w:rPr>
          <w:color w:val="000000"/>
          <w:sz w:val="32"/>
          <w:szCs w:val="32"/>
        </w:rPr>
        <w:t xml:space="preserve"> 31 </w:t>
      </w:r>
      <w:r>
        <w:rPr>
          <w:color w:val="000000"/>
          <w:sz w:val="32"/>
          <w:szCs w:val="32"/>
        </w:rPr>
        <w:t>日）</w:t>
      </w:r>
    </w:p>
    <w:p w14:paraId="1411A087" w14:textId="77777777" w:rsidR="006B4107" w:rsidRDefault="006B4107">
      <w:pPr>
        <w:widowControl w:val="0"/>
        <w:spacing w:line="360" w:lineRule="exact"/>
        <w:jc w:val="both"/>
        <w:rPr>
          <w:color w:val="000000"/>
          <w:sz w:val="28"/>
        </w:rPr>
      </w:pPr>
    </w:p>
    <w:p w14:paraId="03482899" w14:textId="77777777" w:rsidR="006B4107" w:rsidRDefault="006B4107">
      <w:pPr>
        <w:widowControl w:val="0"/>
        <w:spacing w:line="360" w:lineRule="exact"/>
        <w:jc w:val="both"/>
        <w:rPr>
          <w:color w:val="000000"/>
          <w:sz w:val="28"/>
        </w:rPr>
      </w:pPr>
    </w:p>
    <w:p w14:paraId="024A28FD" w14:textId="77777777" w:rsidR="006B4107" w:rsidRDefault="006B4107">
      <w:pPr>
        <w:widowControl w:val="0"/>
        <w:spacing w:line="360" w:lineRule="exact"/>
        <w:jc w:val="both"/>
        <w:rPr>
          <w:color w:val="000000"/>
          <w:sz w:val="28"/>
        </w:rPr>
      </w:pPr>
    </w:p>
    <w:bookmarkStart w:id="0" w:name="_Toc485215950"/>
    <w:bookmarkStart w:id="1" w:name="_Toc485215489"/>
    <w:bookmarkStart w:id="2" w:name="_Toc485215488"/>
    <w:bookmarkStart w:id="3" w:name="_Toc485214849"/>
    <w:bookmarkStart w:id="4" w:name="_Toc485214848"/>
    <w:bookmarkStart w:id="5" w:name="_Toc485215935"/>
    <w:bookmarkStart w:id="6" w:name="_Toc485215486"/>
    <w:bookmarkStart w:id="7" w:name="_Toc485215487"/>
    <w:bookmarkStart w:id="8" w:name="_Toc485215938"/>
    <w:bookmarkStart w:id="9" w:name="_Toc485215509"/>
    <w:bookmarkStart w:id="10" w:name="_Toc485214850"/>
    <w:bookmarkStart w:id="11" w:name="_Toc485214852"/>
    <w:bookmarkStart w:id="12" w:name="_Toc485215929"/>
    <w:bookmarkStart w:id="13" w:name="_Toc485215483"/>
    <w:bookmarkStart w:id="14" w:name="_Toc485214851"/>
    <w:bookmarkStart w:id="15" w:name="_Toc485215932"/>
    <w:bookmarkStart w:id="16" w:name="_Toc485215492"/>
    <w:bookmarkStart w:id="17" w:name="_Toc485214853"/>
    <w:bookmarkStart w:id="18" w:name="_Toc485214873"/>
    <w:bookmarkStart w:id="19" w:name="_Toc485214847"/>
    <w:bookmarkStart w:id="20" w:name="_Toc485215934"/>
    <w:bookmarkStart w:id="21" w:name="_Toc485214867"/>
    <w:bookmarkStart w:id="22" w:name="_Toc485215949"/>
    <w:bookmarkStart w:id="23" w:name="_Toc485215936"/>
    <w:bookmarkStart w:id="24" w:name="_Toc516737738"/>
    <w:bookmarkStart w:id="25" w:name="_Toc485214866"/>
    <w:bookmarkStart w:id="26" w:name="_Toc485215481"/>
    <w:bookmarkStart w:id="27" w:name="_Toc485215482"/>
    <w:bookmarkStart w:id="28" w:name="_Toc485215930"/>
    <w:bookmarkStart w:id="29" w:name="_Toc485215928"/>
    <w:bookmarkStart w:id="30" w:name="_Toc485215933"/>
    <w:bookmarkStart w:id="31" w:name="_Toc485215484"/>
    <w:bookmarkStart w:id="32" w:name="_Toc485214846"/>
    <w:bookmarkStart w:id="33" w:name="_Toc485214856"/>
    <w:bookmarkStart w:id="34" w:name="_Toc485215941"/>
    <w:bookmarkStart w:id="35" w:name="_Toc485214858"/>
    <w:bookmarkStart w:id="36" w:name="_Toc485215494"/>
    <w:bookmarkStart w:id="37" w:name="_Toc485215503"/>
    <w:bookmarkStart w:id="38" w:name="_Toc485214845"/>
    <w:bookmarkStart w:id="39" w:name="_Toc485215502"/>
    <w:bookmarkStart w:id="40" w:name="_Toc485215939"/>
    <w:bookmarkStart w:id="41" w:name="_Toc485215485"/>
    <w:bookmarkStart w:id="42" w:name="_Toc485215931"/>
    <w:bookmarkStart w:id="43" w:name="_Toc485215956"/>
    <w:bookmarkStart w:id="44" w:name="_Toc485214855"/>
    <w:bookmarkStart w:id="45" w:name="_Toc485215491"/>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p w14:paraId="72131640" w14:textId="77777777" w:rsidR="006B4107" w:rsidRDefault="004E70C7">
      <w:pPr>
        <w:jc w:val="both"/>
        <w:rPr>
          <w:rFonts w:cs="Arial Unicode MS"/>
        </w:rPr>
        <w:sectPr w:rsidR="006B4107">
          <w:headerReference w:type="default" r:id="rId9"/>
          <w:footerReference w:type="even" r:id="rId10"/>
          <w:pgSz w:w="11906" w:h="16838"/>
          <w:pgMar w:top="1440" w:right="1797" w:bottom="1440" w:left="1797" w:header="0" w:footer="992" w:gutter="0"/>
          <w:pgNumType w:chapStyle="1"/>
          <w:cols w:space="425"/>
          <w:docGrid w:type="linesAndChars" w:linePitch="326"/>
        </w:sectPr>
      </w:pPr>
      <w:r>
        <w:rPr>
          <w:rFonts w:cs="Arial Unicode MS"/>
          <w:noProof/>
          <w:sz w:val="21"/>
        </w:rPr>
        <mc:AlternateContent>
          <mc:Choice Requires="wps">
            <w:drawing>
              <wp:anchor distT="0" distB="0" distL="114300" distR="114300" simplePos="0" relativeHeight="251659264" behindDoc="0" locked="0" layoutInCell="1" allowOverlap="1" wp14:anchorId="380AFB08" wp14:editId="184D3708">
                <wp:simplePos x="0" y="0"/>
                <wp:positionH relativeFrom="column">
                  <wp:posOffset>-704215</wp:posOffset>
                </wp:positionH>
                <wp:positionV relativeFrom="paragraph">
                  <wp:posOffset>7322185</wp:posOffset>
                </wp:positionV>
                <wp:extent cx="3291840" cy="1952625"/>
                <wp:effectExtent l="0" t="0" r="0" b="0"/>
                <wp:wrapNone/>
                <wp:docPr id="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91840" cy="195262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3" o:spid="_x0000_s1026" o:spt="1" style="position:absolute;left:0pt;margin-left:-55.45pt;margin-top:576.55pt;height:153.75pt;width:259.2pt;z-index:251659264;mso-width-relative:page;mso-height-relative:page;" fillcolor="#FFFFFF" filled="t" stroked="f" coordsize="21600,21600" o:gfxdata="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KO9gqjaAAAADgEAAA8AAAAA&#10;AAAAAQAgAAAAIgAAAGRycy9kb3ducmV2LnhtbFBLAQIUABQAAAAIAIdO4kB7E3BZEgIAACoEAAAO&#10;AAAAAAAAAAEAIAAAACkBAABkcnMvZTJvRG9jLnhtbFBLBQYAAAAABgAGAFkBAACtBQAAAAA=&#10;">
                <v:fill on="t" focussize="0,0"/>
                <v:stroke on="f"/>
                <v:imagedata o:title=""/>
                <o:lock v:ext="edit" aspectratio="f"/>
              </v:rect>
            </w:pict>
          </mc:Fallback>
        </mc:AlternateContent>
      </w:r>
    </w:p>
    <w:p w14:paraId="614989C2" w14:textId="77777777" w:rsidR="006B4107" w:rsidRDefault="004E70C7">
      <w:pPr>
        <w:adjustRightInd w:val="0"/>
        <w:snapToGrid w:val="0"/>
        <w:spacing w:before="240" w:line="360" w:lineRule="auto"/>
        <w:ind w:leftChars="71" w:left="156" w:rightChars="42" w:right="92"/>
        <w:jc w:val="center"/>
        <w:rPr>
          <w:b/>
          <w:sz w:val="28"/>
        </w:rPr>
      </w:pPr>
      <w:r>
        <w:rPr>
          <w:rFonts w:hint="eastAsia"/>
          <w:b/>
          <w:sz w:val="28"/>
        </w:rPr>
        <w:lastRenderedPageBreak/>
        <w:t>上海远化物流有限</w:t>
      </w:r>
      <w:r>
        <w:rPr>
          <w:b/>
          <w:sz w:val="28"/>
        </w:rPr>
        <w:t>公司声明</w:t>
      </w:r>
    </w:p>
    <w:p w14:paraId="5D36BB0E" w14:textId="77777777" w:rsidR="006B4107" w:rsidRDefault="004E70C7">
      <w:pPr>
        <w:adjustRightInd w:val="0"/>
        <w:snapToGrid w:val="0"/>
        <w:spacing w:before="240" w:after="240"/>
        <w:ind w:leftChars="71" w:left="156" w:rightChars="42" w:right="92" w:firstLineChars="200" w:firstLine="440"/>
        <w:jc w:val="both"/>
      </w:pPr>
      <w:r>
        <w:t>本公司根据以下规定准备</w:t>
      </w:r>
      <w:r>
        <w:t>2023</w:t>
      </w:r>
      <w:r>
        <w:t>年度同期资料的本地文档（以下简称</w:t>
      </w:r>
      <w:r>
        <w:t>“</w:t>
      </w:r>
      <w:r>
        <w:t>本报告</w:t>
      </w:r>
      <w:r>
        <w:t>”</w:t>
      </w:r>
      <w:r>
        <w:t>）：</w:t>
      </w:r>
    </w:p>
    <w:p w14:paraId="17B2F14A" w14:textId="77777777" w:rsidR="006B4107" w:rsidRDefault="004E70C7">
      <w:pPr>
        <w:adjustRightInd w:val="0"/>
        <w:snapToGrid w:val="0"/>
        <w:spacing w:before="240" w:after="240"/>
        <w:ind w:leftChars="71" w:left="156" w:rightChars="42" w:right="92" w:firstLineChars="200" w:firstLine="440"/>
        <w:jc w:val="both"/>
      </w:pPr>
      <w:r>
        <w:t>根据《中华人民共和国企业所得税法》及其实施条例以及《关于完善关联申报和同期资料管理有关事项的公告》的规定，符合一定条件的企业应按纳税年度准备、保存、并按税务机关要求提供其关联交易的同期资料。</w:t>
      </w:r>
    </w:p>
    <w:p w14:paraId="46DF5842" w14:textId="77777777" w:rsidR="006B4107" w:rsidRDefault="004E70C7">
      <w:pPr>
        <w:adjustRightInd w:val="0"/>
        <w:snapToGrid w:val="0"/>
        <w:spacing w:before="240" w:after="240"/>
        <w:ind w:leftChars="71" w:left="156" w:rightChars="42" w:right="92" w:firstLineChars="200" w:firstLine="440"/>
        <w:jc w:val="both"/>
      </w:pPr>
      <w:r>
        <w:t>本报告的目的在于从中国特别纳税调整税制的角度，分析本公司</w:t>
      </w:r>
      <w:r>
        <w:t>2023</w:t>
      </w:r>
      <w:r>
        <w:t>年度与关联方之间关联交易定价的合理性。为此，本公司按以下规定以及程序准备本报告：</w:t>
      </w:r>
    </w:p>
    <w:p w14:paraId="0149B48C" w14:textId="77777777" w:rsidR="006B4107" w:rsidRDefault="004E70C7">
      <w:pPr>
        <w:adjustRightInd w:val="0"/>
        <w:snapToGrid w:val="0"/>
        <w:spacing w:before="240" w:after="240"/>
        <w:ind w:leftChars="70" w:left="154" w:rightChars="42" w:right="92" w:firstLine="1"/>
        <w:jc w:val="both"/>
      </w:pPr>
      <w:r>
        <w:t>一、本公司保证根据下列政策法规及实施办法制作本报告</w:t>
      </w:r>
    </w:p>
    <w:p w14:paraId="03A006CD" w14:textId="77777777" w:rsidR="006B4107" w:rsidRDefault="004E70C7">
      <w:pPr>
        <w:adjustRightInd w:val="0"/>
        <w:snapToGrid w:val="0"/>
        <w:spacing w:before="240" w:after="240"/>
        <w:ind w:leftChars="71" w:left="156" w:rightChars="42" w:right="92" w:firstLineChars="200" w:firstLine="440"/>
        <w:jc w:val="both"/>
      </w:pPr>
      <w:r>
        <w:t>1</w:t>
      </w:r>
      <w:r>
        <w:t>、《中华人民共和国企业所得税法》及其实施条例</w:t>
      </w:r>
    </w:p>
    <w:p w14:paraId="2D3192D5" w14:textId="77777777" w:rsidR="006B4107" w:rsidRDefault="004E70C7">
      <w:pPr>
        <w:adjustRightInd w:val="0"/>
        <w:snapToGrid w:val="0"/>
        <w:spacing w:before="240" w:after="240"/>
        <w:ind w:leftChars="71" w:left="156" w:rightChars="42" w:right="92" w:firstLineChars="200" w:firstLine="440"/>
        <w:jc w:val="both"/>
      </w:pPr>
      <w:r>
        <w:t>2</w:t>
      </w:r>
      <w:r>
        <w:t>、《中华人民共和国税收征收管理法》及其实施细则</w:t>
      </w:r>
    </w:p>
    <w:p w14:paraId="61DAC8BB" w14:textId="77777777" w:rsidR="006B4107" w:rsidRDefault="004E70C7">
      <w:pPr>
        <w:adjustRightInd w:val="0"/>
        <w:snapToGrid w:val="0"/>
        <w:spacing w:before="240" w:after="240"/>
        <w:ind w:leftChars="71" w:left="156" w:rightChars="42" w:right="92" w:firstLineChars="200" w:firstLine="440"/>
        <w:jc w:val="both"/>
      </w:pPr>
      <w:r>
        <w:t>3</w:t>
      </w:r>
      <w:r>
        <w:t>、《国家税务总局关于完</w:t>
      </w:r>
      <w:r>
        <w:t>善关联申报和同期资料管理有关事项的公告》（国家税务总局</w:t>
      </w:r>
      <w:r>
        <w:t>2016</w:t>
      </w:r>
      <w:r>
        <w:t>年第</w:t>
      </w:r>
      <w:r>
        <w:t>42</w:t>
      </w:r>
      <w:r>
        <w:t>号公告，以下简称</w:t>
      </w:r>
      <w:r>
        <w:t>“[2016]42</w:t>
      </w:r>
      <w:r>
        <w:t>号公告</w:t>
      </w:r>
      <w:r>
        <w:t>”</w:t>
      </w:r>
      <w:r>
        <w:t>）</w:t>
      </w:r>
    </w:p>
    <w:p w14:paraId="21539633" w14:textId="77777777" w:rsidR="006B4107" w:rsidRDefault="004E70C7">
      <w:pPr>
        <w:adjustRightInd w:val="0"/>
        <w:snapToGrid w:val="0"/>
        <w:spacing w:before="240" w:after="240"/>
        <w:ind w:leftChars="71" w:left="156" w:rightChars="42" w:right="92" w:firstLineChars="200" w:firstLine="440"/>
        <w:jc w:val="both"/>
      </w:pPr>
      <w:r>
        <w:t>4</w:t>
      </w:r>
      <w:r>
        <w:t>、《国家税务总局关于发布</w:t>
      </w:r>
      <w:r>
        <w:t>&lt;</w:t>
      </w:r>
      <w:r>
        <w:t>特别纳税调查调整及相互协商程序管理办法</w:t>
      </w:r>
      <w:r>
        <w:t>&gt;</w:t>
      </w:r>
      <w:r>
        <w:t>的公告》（国家税务总局</w:t>
      </w:r>
      <w:r>
        <w:t>2017</w:t>
      </w:r>
      <w:r>
        <w:t>年第</w:t>
      </w:r>
      <w:r>
        <w:t>6</w:t>
      </w:r>
      <w:r>
        <w:t>号公告，以下简称</w:t>
      </w:r>
      <w:r>
        <w:t>“[2017]6</w:t>
      </w:r>
      <w:r>
        <w:t>号公告</w:t>
      </w:r>
      <w:r>
        <w:t>”</w:t>
      </w:r>
      <w:r>
        <w:t>）</w:t>
      </w:r>
    </w:p>
    <w:p w14:paraId="1EB5DFAC" w14:textId="77777777" w:rsidR="006B4107" w:rsidRDefault="004E70C7">
      <w:pPr>
        <w:adjustRightInd w:val="0"/>
        <w:snapToGrid w:val="0"/>
        <w:spacing w:before="240" w:after="240"/>
        <w:ind w:leftChars="71" w:left="156" w:rightChars="42" w:right="92"/>
        <w:jc w:val="both"/>
      </w:pPr>
      <w:r>
        <w:t>二、本公司保证实施以下程序，并保证提供任何与同期资料有关的数据及资料</w:t>
      </w:r>
    </w:p>
    <w:p w14:paraId="4252855A" w14:textId="77777777" w:rsidR="006B4107" w:rsidRDefault="004E70C7">
      <w:pPr>
        <w:adjustRightInd w:val="0"/>
        <w:snapToGrid w:val="0"/>
        <w:spacing w:before="240" w:after="240"/>
        <w:ind w:leftChars="71" w:left="156" w:rightChars="42" w:right="92" w:firstLineChars="200" w:firstLine="440"/>
        <w:jc w:val="both"/>
      </w:pPr>
      <w:r>
        <w:t>1</w:t>
      </w:r>
      <w:r>
        <w:t>、整理本公司基本资料信息，包括公司及所属集团的组织结构、企业生产经营情况、以及企业所处的行业分析等；</w:t>
      </w:r>
    </w:p>
    <w:p w14:paraId="72D2AC8D" w14:textId="77777777" w:rsidR="006B4107" w:rsidRDefault="004E70C7">
      <w:pPr>
        <w:adjustRightInd w:val="0"/>
        <w:snapToGrid w:val="0"/>
        <w:spacing w:before="240" w:after="240"/>
        <w:ind w:leftChars="71" w:left="156" w:rightChars="42" w:right="92" w:firstLineChars="200" w:firstLine="440"/>
        <w:jc w:val="both"/>
      </w:pPr>
      <w:r>
        <w:t>2</w:t>
      </w:r>
      <w:r>
        <w:t>、整理本公司关联交易的资料，包括关联交易情况、关联交易业务流程、与关联公司签订的合同、关联交易的定价情况及其他相关信息；</w:t>
      </w:r>
    </w:p>
    <w:p w14:paraId="17329BC8" w14:textId="77777777" w:rsidR="006B4107" w:rsidRDefault="004E70C7">
      <w:pPr>
        <w:adjustRightInd w:val="0"/>
        <w:snapToGrid w:val="0"/>
        <w:spacing w:before="240" w:after="240"/>
        <w:ind w:leftChars="71" w:left="156" w:rightChars="42" w:right="92" w:firstLineChars="200" w:firstLine="440"/>
        <w:jc w:val="both"/>
      </w:pPr>
      <w:r>
        <w:t>3</w:t>
      </w:r>
      <w:r>
        <w:t>、分析本公司和关联公司在关联业务往来中各自承担的功能和风险；</w:t>
      </w:r>
    </w:p>
    <w:p w14:paraId="0B8EF331" w14:textId="77777777" w:rsidR="006B4107" w:rsidRDefault="004E70C7">
      <w:pPr>
        <w:adjustRightInd w:val="0"/>
        <w:snapToGrid w:val="0"/>
        <w:spacing w:before="240" w:after="240"/>
        <w:ind w:leftChars="71" w:left="156" w:rightChars="42" w:right="92" w:firstLineChars="200" w:firstLine="440"/>
        <w:jc w:val="both"/>
      </w:pPr>
      <w:r>
        <w:t>4</w:t>
      </w:r>
      <w:r>
        <w:t>、比较分析并选择适当的关联交易转让定价方法，用以分析和验证本公司与关联公司交易定价的合理性；</w:t>
      </w:r>
    </w:p>
    <w:p w14:paraId="061466BC" w14:textId="77777777" w:rsidR="006B4107" w:rsidRDefault="004E70C7">
      <w:pPr>
        <w:adjustRightInd w:val="0"/>
        <w:snapToGrid w:val="0"/>
        <w:spacing w:before="240" w:after="240"/>
        <w:ind w:leftChars="71" w:left="156" w:rightChars="42" w:right="92" w:firstLineChars="200" w:firstLine="440"/>
        <w:jc w:val="both"/>
      </w:pPr>
      <w:r>
        <w:t>5</w:t>
      </w:r>
      <w:r>
        <w:t>、选取可比企业，说明可比信息来源、可比企业选择过程，实施经济分析；</w:t>
      </w:r>
    </w:p>
    <w:p w14:paraId="57B5FC28" w14:textId="77777777" w:rsidR="006B4107" w:rsidRDefault="004E70C7">
      <w:pPr>
        <w:adjustRightInd w:val="0"/>
        <w:snapToGrid w:val="0"/>
        <w:spacing w:before="240" w:after="240"/>
        <w:ind w:leftChars="71" w:left="156" w:rightChars="42" w:right="92" w:firstLineChars="200" w:firstLine="440"/>
        <w:jc w:val="both"/>
      </w:pPr>
      <w:r>
        <w:t>6</w:t>
      </w:r>
      <w:r>
        <w:t>、运用合理的转让定价方法和可比性分析结果，确定可比非</w:t>
      </w:r>
      <w:r>
        <w:t>关联交易利润，确定正常情况下本公司与关联公司关联交易定价的合理范围；</w:t>
      </w:r>
    </w:p>
    <w:p w14:paraId="7B977DC5" w14:textId="77777777" w:rsidR="006B4107" w:rsidRDefault="004E70C7">
      <w:pPr>
        <w:adjustRightInd w:val="0"/>
        <w:snapToGrid w:val="0"/>
        <w:spacing w:before="240" w:after="240"/>
        <w:ind w:leftChars="71" w:left="156" w:rightChars="42" w:right="92" w:firstLineChars="200" w:firstLine="440"/>
        <w:jc w:val="both"/>
      </w:pPr>
      <w:r>
        <w:t>7</w:t>
      </w:r>
      <w:r>
        <w:t>、根据以上实施程序，制作本报告。</w:t>
      </w:r>
    </w:p>
    <w:p w14:paraId="7DC0D657" w14:textId="77777777" w:rsidR="006B4107" w:rsidRDefault="006B4107">
      <w:pPr>
        <w:adjustRightInd w:val="0"/>
        <w:snapToGrid w:val="0"/>
        <w:spacing w:before="240" w:after="240"/>
        <w:ind w:leftChars="71" w:left="156" w:rightChars="42" w:right="92" w:firstLineChars="200" w:firstLine="440"/>
        <w:jc w:val="both"/>
      </w:pPr>
    </w:p>
    <w:p w14:paraId="69EBB779" w14:textId="77777777" w:rsidR="006B4107" w:rsidRDefault="006B4107">
      <w:pPr>
        <w:adjustRightInd w:val="0"/>
        <w:snapToGrid w:val="0"/>
        <w:spacing w:before="240" w:after="240"/>
        <w:ind w:leftChars="71" w:left="156" w:rightChars="42" w:right="92" w:firstLineChars="200" w:firstLine="440"/>
        <w:jc w:val="both"/>
      </w:pPr>
    </w:p>
    <w:p w14:paraId="12EA7E24" w14:textId="77777777" w:rsidR="006B4107" w:rsidRDefault="006B4107">
      <w:pPr>
        <w:adjustRightInd w:val="0"/>
        <w:snapToGrid w:val="0"/>
        <w:spacing w:before="240" w:after="240"/>
        <w:ind w:leftChars="71" w:left="156" w:rightChars="42" w:right="92" w:firstLineChars="200" w:firstLine="440"/>
        <w:jc w:val="both"/>
      </w:pPr>
    </w:p>
    <w:p w14:paraId="48F5F51B" w14:textId="77777777" w:rsidR="006B4107" w:rsidRDefault="006B4107">
      <w:pPr>
        <w:adjustRightInd w:val="0"/>
        <w:snapToGrid w:val="0"/>
        <w:spacing w:before="240" w:after="240"/>
        <w:ind w:leftChars="71" w:left="156" w:rightChars="42" w:right="92" w:firstLineChars="200" w:firstLine="440"/>
        <w:jc w:val="both"/>
      </w:pPr>
    </w:p>
    <w:p w14:paraId="1EC8F855" w14:textId="77777777" w:rsidR="006B4107" w:rsidRDefault="004E70C7">
      <w:pPr>
        <w:widowControl w:val="0"/>
        <w:tabs>
          <w:tab w:val="left" w:pos="5320"/>
        </w:tabs>
        <w:autoSpaceDE w:val="0"/>
        <w:autoSpaceDN w:val="0"/>
        <w:spacing w:before="120" w:after="120"/>
        <w:ind w:leftChars="71" w:left="156" w:rightChars="42" w:right="92" w:firstLineChars="300" w:firstLine="660"/>
        <w:jc w:val="both"/>
      </w:pPr>
      <w:r>
        <w:lastRenderedPageBreak/>
        <w:t>地址：</w:t>
      </w:r>
      <w:r>
        <w:tab/>
      </w:r>
      <w:r>
        <w:t>邮编：</w:t>
      </w:r>
    </w:p>
    <w:p w14:paraId="1EEBA175" w14:textId="77777777" w:rsidR="006B4107" w:rsidRDefault="004E70C7">
      <w:pPr>
        <w:widowControl w:val="0"/>
        <w:tabs>
          <w:tab w:val="left" w:pos="5320"/>
        </w:tabs>
        <w:autoSpaceDE w:val="0"/>
        <w:autoSpaceDN w:val="0"/>
        <w:spacing w:before="120" w:after="120"/>
        <w:ind w:leftChars="71" w:left="156" w:rightChars="42" w:right="92" w:firstLineChars="300" w:firstLine="660"/>
        <w:jc w:val="both"/>
      </w:pPr>
      <w:r>
        <w:t>电话：</w:t>
      </w:r>
      <w:r>
        <w:tab/>
      </w:r>
      <w:r>
        <w:t>传真：</w:t>
      </w:r>
    </w:p>
    <w:p w14:paraId="509DD168" w14:textId="77777777" w:rsidR="006B4107" w:rsidRDefault="004E70C7">
      <w:pPr>
        <w:widowControl w:val="0"/>
        <w:autoSpaceDE w:val="0"/>
        <w:autoSpaceDN w:val="0"/>
        <w:spacing w:before="120" w:after="120"/>
        <w:ind w:leftChars="71" w:left="156" w:rightChars="42" w:right="92" w:firstLineChars="300" w:firstLine="660"/>
        <w:jc w:val="both"/>
      </w:pPr>
      <w:r>
        <w:t>电子信箱：</w:t>
      </w:r>
    </w:p>
    <w:p w14:paraId="51775CB2" w14:textId="77777777" w:rsidR="006B4107" w:rsidRDefault="006B4107">
      <w:pPr>
        <w:adjustRightInd w:val="0"/>
        <w:snapToGrid w:val="0"/>
        <w:spacing w:before="120" w:after="120"/>
        <w:ind w:leftChars="71" w:left="156" w:rightChars="42" w:right="92" w:firstLineChars="200" w:firstLine="440"/>
        <w:jc w:val="both"/>
      </w:pPr>
    </w:p>
    <w:p w14:paraId="6B2BF14D" w14:textId="77777777" w:rsidR="006B4107" w:rsidRDefault="004E70C7">
      <w:pPr>
        <w:widowControl w:val="0"/>
        <w:tabs>
          <w:tab w:val="left" w:pos="5320"/>
          <w:tab w:val="left" w:pos="5381"/>
          <w:tab w:val="left" w:pos="5861"/>
          <w:tab w:val="left" w:pos="6341"/>
        </w:tabs>
        <w:autoSpaceDE w:val="0"/>
        <w:autoSpaceDN w:val="0"/>
        <w:adjustRightInd w:val="0"/>
        <w:snapToGrid w:val="0"/>
        <w:spacing w:before="120" w:after="120"/>
        <w:ind w:leftChars="71" w:left="156" w:rightChars="42" w:right="92" w:firstLineChars="300" w:firstLine="660"/>
        <w:jc w:val="both"/>
      </w:pPr>
      <w:r>
        <w:t>声明单位（盖章）：</w:t>
      </w:r>
      <w:r>
        <w:tab/>
      </w:r>
      <w:r>
        <w:t>法定代表人（签章）：</w:t>
      </w:r>
    </w:p>
    <w:p w14:paraId="0FD5129C" w14:textId="77777777" w:rsidR="006B4107" w:rsidRDefault="004E70C7">
      <w:pPr>
        <w:widowControl w:val="0"/>
        <w:tabs>
          <w:tab w:val="left" w:pos="5330"/>
          <w:tab w:val="left" w:pos="5605"/>
          <w:tab w:val="left" w:pos="5861"/>
        </w:tabs>
        <w:autoSpaceDE w:val="0"/>
        <w:autoSpaceDN w:val="0"/>
        <w:adjustRightInd w:val="0"/>
        <w:snapToGrid w:val="0"/>
        <w:spacing w:before="120" w:after="120"/>
        <w:ind w:leftChars="71" w:left="156" w:rightChars="42" w:right="92"/>
        <w:jc w:val="both"/>
      </w:pPr>
      <w:r>
        <w:tab/>
      </w:r>
      <w:r>
        <w:t>日期：</w:t>
      </w:r>
      <w:r>
        <w:tab/>
      </w:r>
      <w:r>
        <w:t>年</w:t>
      </w:r>
      <w:r>
        <w:tab/>
      </w:r>
      <w:r>
        <w:t>月</w:t>
      </w:r>
      <w:r>
        <w:tab/>
      </w:r>
      <w:r>
        <w:t>日</w:t>
      </w:r>
    </w:p>
    <w:p w14:paraId="7C37930E" w14:textId="77777777" w:rsidR="006B4107" w:rsidRDefault="004E70C7">
      <w:pPr>
        <w:jc w:val="both"/>
        <w:sectPr w:rsidR="006B4107">
          <w:headerReference w:type="even" r:id="rId11"/>
          <w:headerReference w:type="default" r:id="rId12"/>
          <w:footerReference w:type="default" r:id="rId13"/>
          <w:headerReference w:type="first" r:id="rId14"/>
          <w:pgSz w:w="11906" w:h="16838"/>
          <w:pgMar w:top="1440" w:right="1800" w:bottom="1440" w:left="1800" w:header="851" w:footer="992" w:gutter="0"/>
          <w:pgNumType w:fmt="upperRoman" w:start="1"/>
          <w:cols w:space="720"/>
          <w:docGrid w:type="lines" w:linePitch="312"/>
        </w:sectPr>
      </w:pPr>
      <w:r>
        <w:br w:type="page"/>
      </w:r>
    </w:p>
    <w:bookmarkStart w:id="46" w:name="OLE_LINK2" w:displacedByCustomXml="next"/>
    <w:bookmarkEnd w:id="46" w:displacedByCustomXml="next"/>
    <w:sdt>
      <w:sdtPr>
        <w:rPr>
          <w:rFonts w:ascii="Arial Narrow" w:eastAsia="仿宋_GB2312" w:hAnsi="Arial Narrow" w:cs="Arial"/>
          <w:color w:val="auto"/>
          <w:kern w:val="2"/>
          <w:sz w:val="22"/>
          <w:szCs w:val="22"/>
          <w:lang w:val="zh-CN"/>
        </w:rPr>
        <w:id w:val="-1"/>
        <w:docPartObj>
          <w:docPartGallery w:val="Table of Contents"/>
          <w:docPartUnique/>
        </w:docPartObj>
      </w:sdtPr>
      <w:sdtEndPr>
        <w:rPr>
          <w:b/>
          <w:bCs/>
        </w:rPr>
      </w:sdtEndPr>
      <w:sdtContent>
        <w:p w14:paraId="7B117C9D" w14:textId="77777777" w:rsidR="006B4107" w:rsidRDefault="004E70C7">
          <w:pPr>
            <w:pStyle w:val="TOC20"/>
            <w:jc w:val="center"/>
          </w:pPr>
          <w:r>
            <w:rPr>
              <w:rFonts w:ascii="Arial Narrow" w:eastAsia="仿宋_GB2312" w:hAnsi="Arial Narrow"/>
              <w:b/>
              <w:color w:val="0D0D0D" w:themeColor="text1" w:themeTint="F2"/>
              <w:lang w:val="zh-CN"/>
            </w:rPr>
            <w:t>目录</w:t>
          </w:r>
        </w:p>
        <w:p w14:paraId="68E68F0A" w14:textId="5E43AF96" w:rsidR="006B4107" w:rsidRDefault="004E70C7">
          <w:pPr>
            <w:pStyle w:val="TOC1"/>
            <w:rPr>
              <w:rFonts w:asciiTheme="minorHAnsi" w:eastAsiaTheme="minorEastAsia" w:hAnsiTheme="minorHAnsi" w:cstheme="minorBidi"/>
              <w:bCs w:val="0"/>
              <w:caps w:val="0"/>
              <w:sz w:val="21"/>
              <w:szCs w:val="22"/>
            </w:rPr>
          </w:pPr>
          <w:r>
            <w:fldChar w:fldCharType="begin"/>
          </w:r>
          <w:r>
            <w:instrText xml:space="preserve"> TOC \o "1-3" \h \z \u </w:instrText>
          </w:r>
          <w:r>
            <w:fldChar w:fldCharType="separate"/>
          </w:r>
          <w:hyperlink w:anchor="_Toc185598811" w:history="1">
            <w:r>
              <w:rPr>
                <w:rStyle w:val="affa"/>
                <w:rFonts w:ascii="Arial Narrow" w:eastAsia="仿宋_GB2312" w:hAnsi="Arial Narrow"/>
              </w:rPr>
              <w:t>同期资料本地文档对照表</w:t>
            </w:r>
            <w:r>
              <w:tab/>
            </w:r>
            <w:r>
              <w:fldChar w:fldCharType="begin"/>
            </w:r>
            <w:r>
              <w:instrText xml:space="preserve"> PAGEREF _Toc185598811 \h </w:instrText>
            </w:r>
            <w:r>
              <w:fldChar w:fldCharType="separate"/>
            </w:r>
            <w:r w:rsidR="005D7C90">
              <w:rPr>
                <w:noProof/>
              </w:rPr>
              <w:t>i</w:t>
            </w:r>
            <w:r>
              <w:fldChar w:fldCharType="end"/>
            </w:r>
          </w:hyperlink>
        </w:p>
        <w:p w14:paraId="700A6426" w14:textId="05F4993C" w:rsidR="006B4107" w:rsidRDefault="004E70C7">
          <w:pPr>
            <w:pStyle w:val="TOC1"/>
            <w:rPr>
              <w:rFonts w:asciiTheme="minorHAnsi" w:eastAsiaTheme="minorEastAsia" w:hAnsiTheme="minorHAnsi" w:cstheme="minorBidi"/>
              <w:bCs w:val="0"/>
              <w:caps w:val="0"/>
              <w:sz w:val="21"/>
              <w:szCs w:val="22"/>
            </w:rPr>
          </w:pPr>
          <w:hyperlink w:anchor="_Toc185598812" w:history="1">
            <w:r>
              <w:rPr>
                <w:rStyle w:val="affa"/>
                <w:rFonts w:ascii="仿宋" w:eastAsia="仿宋" w:hAnsi="仿宋"/>
              </w:rPr>
              <w:t>缩略语索引表</w:t>
            </w:r>
            <w:r>
              <w:tab/>
            </w:r>
            <w:r>
              <w:fldChar w:fldCharType="begin"/>
            </w:r>
            <w:r>
              <w:instrText xml:space="preserve"> PAGEREF _Toc185598812 \h </w:instrText>
            </w:r>
            <w:r>
              <w:fldChar w:fldCharType="separate"/>
            </w:r>
            <w:r w:rsidR="005D7C90">
              <w:rPr>
                <w:noProof/>
              </w:rPr>
              <w:t>iv</w:t>
            </w:r>
            <w:r>
              <w:fldChar w:fldCharType="end"/>
            </w:r>
          </w:hyperlink>
        </w:p>
        <w:p w14:paraId="59B0E6C3" w14:textId="136DBB09" w:rsidR="006B4107" w:rsidRDefault="004E70C7">
          <w:pPr>
            <w:pStyle w:val="TOC1"/>
            <w:rPr>
              <w:rFonts w:asciiTheme="minorHAnsi" w:eastAsiaTheme="minorEastAsia" w:hAnsiTheme="minorHAnsi" w:cstheme="minorBidi"/>
              <w:bCs w:val="0"/>
              <w:caps w:val="0"/>
              <w:sz w:val="21"/>
              <w:szCs w:val="22"/>
            </w:rPr>
          </w:pPr>
          <w:hyperlink w:anchor="_Toc185598813" w:history="1">
            <w:r>
              <w:rPr>
                <w:rStyle w:val="affa"/>
                <w:rFonts w:ascii="Arial Narrow" w:eastAsia="仿宋_GB2312" w:hAnsi="Arial Narrow"/>
              </w:rPr>
              <w:t>1.</w:t>
            </w:r>
            <w:r>
              <w:rPr>
                <w:rFonts w:asciiTheme="minorHAnsi" w:eastAsiaTheme="minorEastAsia" w:hAnsiTheme="minorHAnsi" w:cstheme="minorBidi"/>
                <w:bCs w:val="0"/>
                <w:caps w:val="0"/>
                <w:sz w:val="21"/>
                <w:szCs w:val="22"/>
              </w:rPr>
              <w:tab/>
            </w:r>
            <w:r>
              <w:rPr>
                <w:rStyle w:val="affa"/>
                <w:rFonts w:ascii="Arial Narrow" w:eastAsia="仿宋_GB2312" w:hAnsi="Arial Narrow"/>
              </w:rPr>
              <w:t>报告摘要</w:t>
            </w:r>
            <w:r>
              <w:tab/>
            </w:r>
            <w:r>
              <w:fldChar w:fldCharType="begin"/>
            </w:r>
            <w:r>
              <w:instrText xml:space="preserve"> PAGEREF _Toc185598813 \h </w:instrText>
            </w:r>
            <w:r>
              <w:fldChar w:fldCharType="separate"/>
            </w:r>
            <w:r w:rsidR="005D7C90">
              <w:rPr>
                <w:noProof/>
              </w:rPr>
              <w:t>1</w:t>
            </w:r>
            <w:r>
              <w:fldChar w:fldCharType="end"/>
            </w:r>
          </w:hyperlink>
        </w:p>
        <w:p w14:paraId="7291A279" w14:textId="4FCF4E36" w:rsidR="006B4107" w:rsidRDefault="004E70C7">
          <w:pPr>
            <w:pStyle w:val="TOC2"/>
            <w:rPr>
              <w:rFonts w:asciiTheme="minorHAnsi" w:eastAsiaTheme="minorEastAsia" w:hAnsiTheme="minorHAnsi" w:cstheme="minorBidi"/>
              <w:sz w:val="21"/>
            </w:rPr>
          </w:pPr>
          <w:hyperlink w:anchor="_Toc185598814" w:history="1">
            <w:r>
              <w:rPr>
                <w:rStyle w:val="affa"/>
                <w:rFonts w:ascii="Arial Narrow" w:eastAsia="仿宋_GB2312" w:hAnsi="Arial Narrow"/>
              </w:rPr>
              <w:t>1.1</w:t>
            </w:r>
            <w:r>
              <w:rPr>
                <w:rFonts w:asciiTheme="minorHAnsi" w:eastAsiaTheme="minorEastAsia" w:hAnsiTheme="minorHAnsi" w:cstheme="minorBidi"/>
                <w:sz w:val="21"/>
              </w:rPr>
              <w:tab/>
            </w:r>
            <w:r>
              <w:rPr>
                <w:rStyle w:val="affa"/>
                <w:rFonts w:ascii="Arial Narrow" w:eastAsia="仿宋_GB2312" w:hAnsi="Arial Narrow"/>
              </w:rPr>
              <w:t>范围和目的</w:t>
            </w:r>
            <w:r>
              <w:tab/>
            </w:r>
            <w:r>
              <w:fldChar w:fldCharType="begin"/>
            </w:r>
            <w:r>
              <w:instrText xml:space="preserve"> PAGEREF _Toc185598814 \h </w:instrText>
            </w:r>
            <w:r>
              <w:fldChar w:fldCharType="separate"/>
            </w:r>
            <w:r w:rsidR="005D7C90">
              <w:rPr>
                <w:noProof/>
              </w:rPr>
              <w:t>1</w:t>
            </w:r>
            <w:r>
              <w:fldChar w:fldCharType="end"/>
            </w:r>
          </w:hyperlink>
        </w:p>
        <w:p w14:paraId="581301C7" w14:textId="76CB9A4F" w:rsidR="006B4107" w:rsidRDefault="004E70C7">
          <w:pPr>
            <w:pStyle w:val="TOC2"/>
            <w:rPr>
              <w:rFonts w:asciiTheme="minorHAnsi" w:eastAsiaTheme="minorEastAsia" w:hAnsiTheme="minorHAnsi" w:cstheme="minorBidi"/>
              <w:sz w:val="21"/>
            </w:rPr>
          </w:pPr>
          <w:hyperlink w:anchor="_Toc185598815" w:history="1">
            <w:r>
              <w:rPr>
                <w:rStyle w:val="affa"/>
                <w:rFonts w:ascii="Arial Narrow" w:eastAsia="仿宋_GB2312" w:hAnsi="Arial Narrow"/>
              </w:rPr>
              <w:t>1.2</w:t>
            </w:r>
            <w:r>
              <w:rPr>
                <w:rFonts w:asciiTheme="minorHAnsi" w:eastAsiaTheme="minorEastAsia" w:hAnsiTheme="minorHAnsi" w:cstheme="minorBidi"/>
                <w:sz w:val="21"/>
              </w:rPr>
              <w:tab/>
            </w:r>
            <w:r>
              <w:rPr>
                <w:rStyle w:val="affa"/>
                <w:rFonts w:ascii="Arial Narrow" w:eastAsia="仿宋_GB2312" w:hAnsi="Arial Narrow"/>
              </w:rPr>
              <w:t>受测关联交易</w:t>
            </w:r>
            <w:r>
              <w:tab/>
            </w:r>
            <w:r>
              <w:fldChar w:fldCharType="begin"/>
            </w:r>
            <w:r>
              <w:instrText xml:space="preserve"> PAGEREF _Toc185598815 \h </w:instrText>
            </w:r>
            <w:r>
              <w:fldChar w:fldCharType="separate"/>
            </w:r>
            <w:r w:rsidR="005D7C90">
              <w:rPr>
                <w:noProof/>
              </w:rPr>
              <w:t>1</w:t>
            </w:r>
            <w:r>
              <w:fldChar w:fldCharType="end"/>
            </w:r>
          </w:hyperlink>
        </w:p>
        <w:p w14:paraId="6C381904" w14:textId="1F5359FF" w:rsidR="006B4107" w:rsidRDefault="004E70C7">
          <w:pPr>
            <w:pStyle w:val="TOC2"/>
            <w:rPr>
              <w:rFonts w:asciiTheme="minorHAnsi" w:eastAsiaTheme="minorEastAsia" w:hAnsiTheme="minorHAnsi" w:cstheme="minorBidi"/>
              <w:sz w:val="21"/>
            </w:rPr>
          </w:pPr>
          <w:hyperlink w:anchor="_Toc185598816" w:history="1">
            <w:r>
              <w:rPr>
                <w:rStyle w:val="affa"/>
                <w:rFonts w:ascii="Arial Narrow" w:eastAsia="仿宋_GB2312" w:hAnsi="Arial Narrow"/>
              </w:rPr>
              <w:t>1.3</w:t>
            </w:r>
            <w:r>
              <w:rPr>
                <w:rFonts w:asciiTheme="minorHAnsi" w:eastAsiaTheme="minorEastAsia" w:hAnsiTheme="minorHAnsi" w:cstheme="minorBidi"/>
                <w:sz w:val="21"/>
              </w:rPr>
              <w:tab/>
            </w:r>
            <w:r>
              <w:rPr>
                <w:rStyle w:val="affa"/>
                <w:rFonts w:ascii="Arial Narrow" w:eastAsia="仿宋_GB2312" w:hAnsi="Arial Narrow"/>
              </w:rPr>
              <w:t>功能和风险分析及价值链分析总结</w:t>
            </w:r>
            <w:r>
              <w:tab/>
            </w:r>
            <w:r>
              <w:fldChar w:fldCharType="begin"/>
            </w:r>
            <w:r>
              <w:instrText xml:space="preserve"> PAGEREF _Toc185598816 \h </w:instrText>
            </w:r>
            <w:r>
              <w:fldChar w:fldCharType="separate"/>
            </w:r>
            <w:r w:rsidR="005D7C90">
              <w:rPr>
                <w:noProof/>
              </w:rPr>
              <w:t>2</w:t>
            </w:r>
            <w:r>
              <w:fldChar w:fldCharType="end"/>
            </w:r>
          </w:hyperlink>
        </w:p>
        <w:p w14:paraId="3F24939B" w14:textId="140D463A" w:rsidR="006B4107" w:rsidRDefault="004E70C7">
          <w:pPr>
            <w:pStyle w:val="TOC2"/>
            <w:rPr>
              <w:rFonts w:asciiTheme="minorHAnsi" w:eastAsiaTheme="minorEastAsia" w:hAnsiTheme="minorHAnsi" w:cstheme="minorBidi"/>
              <w:sz w:val="21"/>
            </w:rPr>
          </w:pPr>
          <w:hyperlink w:anchor="_Toc185598817" w:history="1">
            <w:r>
              <w:rPr>
                <w:rStyle w:val="affa"/>
                <w:rFonts w:ascii="Arial Narrow" w:eastAsia="仿宋_GB2312" w:hAnsi="Arial Narrow"/>
              </w:rPr>
              <w:t>1.4</w:t>
            </w:r>
            <w:r>
              <w:rPr>
                <w:rFonts w:asciiTheme="minorHAnsi" w:eastAsiaTheme="minorEastAsia" w:hAnsiTheme="minorHAnsi" w:cstheme="minorBidi"/>
                <w:sz w:val="21"/>
              </w:rPr>
              <w:tab/>
            </w:r>
            <w:r>
              <w:rPr>
                <w:rStyle w:val="affa"/>
                <w:rFonts w:ascii="Arial Narrow" w:eastAsia="仿宋_GB2312" w:hAnsi="Arial Narrow" w:cs="楷体"/>
              </w:rPr>
              <w:t>经济分析总结</w:t>
            </w:r>
            <w:r>
              <w:rPr>
                <w:rStyle w:val="affa"/>
                <w:rFonts w:ascii="Arial Narrow" w:eastAsia="仿宋_GB2312" w:hAnsi="Arial Narrow" w:cs="楷体"/>
              </w:rPr>
              <w:t xml:space="preserve"> —— </w:t>
            </w:r>
            <w:r>
              <w:rPr>
                <w:rStyle w:val="affa"/>
                <w:rFonts w:ascii="Arial Narrow" w:eastAsia="仿宋_GB2312" w:hAnsi="Arial Narrow" w:cs="楷体"/>
              </w:rPr>
              <w:t>对受测关联交易的分析</w:t>
            </w:r>
            <w:r>
              <w:tab/>
            </w:r>
            <w:r>
              <w:fldChar w:fldCharType="begin"/>
            </w:r>
            <w:r>
              <w:instrText xml:space="preserve"> PAGEREF _Toc185598817 \h </w:instrText>
            </w:r>
            <w:r>
              <w:fldChar w:fldCharType="separate"/>
            </w:r>
            <w:r w:rsidR="005D7C90">
              <w:rPr>
                <w:noProof/>
              </w:rPr>
              <w:t>2</w:t>
            </w:r>
            <w:r>
              <w:fldChar w:fldCharType="end"/>
            </w:r>
          </w:hyperlink>
        </w:p>
        <w:p w14:paraId="793F8389" w14:textId="64ED0A1D" w:rsidR="006B4107" w:rsidRDefault="004E70C7">
          <w:pPr>
            <w:pStyle w:val="TOC2"/>
            <w:rPr>
              <w:rFonts w:asciiTheme="minorHAnsi" w:eastAsiaTheme="minorEastAsia" w:hAnsiTheme="minorHAnsi" w:cstheme="minorBidi"/>
              <w:sz w:val="21"/>
            </w:rPr>
          </w:pPr>
          <w:hyperlink w:anchor="_Toc185598818" w:history="1">
            <w:r>
              <w:rPr>
                <w:rStyle w:val="affa"/>
                <w:rFonts w:ascii="Arial Narrow" w:eastAsia="仿宋_GB2312" w:hAnsi="Arial Narrow" w:cs="楷体"/>
              </w:rPr>
              <w:t>1.5</w:t>
            </w:r>
            <w:r>
              <w:rPr>
                <w:rFonts w:asciiTheme="minorHAnsi" w:eastAsiaTheme="minorEastAsia" w:hAnsiTheme="minorHAnsi" w:cstheme="minorBidi"/>
                <w:sz w:val="21"/>
              </w:rPr>
              <w:tab/>
            </w:r>
            <w:r>
              <w:rPr>
                <w:rStyle w:val="affa"/>
                <w:rFonts w:ascii="Arial Narrow" w:eastAsia="仿宋_GB2312" w:hAnsi="Arial Narrow" w:cs="楷体"/>
              </w:rPr>
              <w:t>局限性</w:t>
            </w:r>
            <w:r>
              <w:tab/>
            </w:r>
            <w:r>
              <w:fldChar w:fldCharType="begin"/>
            </w:r>
            <w:r>
              <w:instrText xml:space="preserve"> PAGEREF _Toc185598818 \h </w:instrText>
            </w:r>
            <w:r>
              <w:fldChar w:fldCharType="separate"/>
            </w:r>
            <w:r w:rsidR="005D7C90">
              <w:rPr>
                <w:noProof/>
              </w:rPr>
              <w:t>3</w:t>
            </w:r>
            <w:r>
              <w:fldChar w:fldCharType="end"/>
            </w:r>
          </w:hyperlink>
        </w:p>
        <w:p w14:paraId="14A623FF" w14:textId="3627CBCD" w:rsidR="006B4107" w:rsidRDefault="004E70C7">
          <w:pPr>
            <w:pStyle w:val="TOC1"/>
            <w:rPr>
              <w:rFonts w:asciiTheme="minorHAnsi" w:eastAsiaTheme="minorEastAsia" w:hAnsiTheme="minorHAnsi" w:cstheme="minorBidi"/>
              <w:bCs w:val="0"/>
              <w:caps w:val="0"/>
              <w:sz w:val="21"/>
              <w:szCs w:val="22"/>
            </w:rPr>
          </w:pPr>
          <w:hyperlink w:anchor="_Toc185598819" w:history="1">
            <w:r>
              <w:rPr>
                <w:rStyle w:val="affa"/>
                <w:rFonts w:ascii="Arial Narrow" w:eastAsia="仿宋_GB2312" w:hAnsi="Arial Narrow"/>
              </w:rPr>
              <w:t>2.</w:t>
            </w:r>
            <w:r>
              <w:rPr>
                <w:rFonts w:asciiTheme="minorHAnsi" w:eastAsiaTheme="minorEastAsia" w:hAnsiTheme="minorHAnsi" w:cstheme="minorBidi"/>
                <w:bCs w:val="0"/>
                <w:caps w:val="0"/>
                <w:sz w:val="21"/>
                <w:szCs w:val="22"/>
              </w:rPr>
              <w:tab/>
            </w:r>
            <w:r>
              <w:rPr>
                <w:rStyle w:val="affa"/>
                <w:rFonts w:ascii="Arial Narrow" w:eastAsia="仿宋_GB2312" w:hAnsi="Arial Narrow"/>
              </w:rPr>
              <w:t>企业概况</w:t>
            </w:r>
            <w:r>
              <w:tab/>
            </w:r>
            <w:r>
              <w:fldChar w:fldCharType="begin"/>
            </w:r>
            <w:r>
              <w:instrText xml:space="preserve"> PAGEREF _Toc185598819 \h </w:instrText>
            </w:r>
            <w:r>
              <w:fldChar w:fldCharType="separate"/>
            </w:r>
            <w:r w:rsidR="005D7C90">
              <w:rPr>
                <w:noProof/>
              </w:rPr>
              <w:t>5</w:t>
            </w:r>
            <w:r>
              <w:fldChar w:fldCharType="end"/>
            </w:r>
          </w:hyperlink>
        </w:p>
        <w:p w14:paraId="44BF9F9D" w14:textId="4BADC7A2" w:rsidR="006B4107" w:rsidRDefault="004E70C7">
          <w:pPr>
            <w:pStyle w:val="TOC2"/>
            <w:rPr>
              <w:rFonts w:asciiTheme="minorHAnsi" w:eastAsiaTheme="minorEastAsia" w:hAnsiTheme="minorHAnsi" w:cstheme="minorBidi"/>
              <w:sz w:val="21"/>
            </w:rPr>
          </w:pPr>
          <w:hyperlink w:anchor="_Toc185598820" w:history="1">
            <w:r>
              <w:rPr>
                <w:rStyle w:val="affa"/>
                <w:rFonts w:ascii="Arial Narrow" w:eastAsia="仿宋_GB2312" w:hAnsi="Arial Narrow"/>
              </w:rPr>
              <w:t>2.1</w:t>
            </w:r>
            <w:r>
              <w:rPr>
                <w:rFonts w:asciiTheme="minorHAnsi" w:eastAsiaTheme="minorEastAsia" w:hAnsiTheme="minorHAnsi" w:cstheme="minorBidi"/>
                <w:sz w:val="21"/>
              </w:rPr>
              <w:tab/>
            </w:r>
            <w:r>
              <w:rPr>
                <w:rStyle w:val="affa"/>
                <w:rFonts w:ascii="Arial Narrow" w:eastAsia="仿宋_GB2312" w:hAnsi="Arial Narrow"/>
              </w:rPr>
              <w:t>集团概况</w:t>
            </w:r>
            <w:r>
              <w:tab/>
            </w:r>
            <w:r>
              <w:fldChar w:fldCharType="begin"/>
            </w:r>
            <w:r>
              <w:instrText xml:space="preserve"> PAGEREF _Toc185598820 \h </w:instrText>
            </w:r>
            <w:r>
              <w:fldChar w:fldCharType="separate"/>
            </w:r>
            <w:r w:rsidR="005D7C90">
              <w:rPr>
                <w:noProof/>
              </w:rPr>
              <w:t>5</w:t>
            </w:r>
            <w:r>
              <w:fldChar w:fldCharType="end"/>
            </w:r>
          </w:hyperlink>
        </w:p>
        <w:p w14:paraId="065B29CC" w14:textId="2A027F83" w:rsidR="006B4107" w:rsidRDefault="004E70C7">
          <w:pPr>
            <w:pStyle w:val="TOC2"/>
            <w:rPr>
              <w:rFonts w:asciiTheme="minorHAnsi" w:eastAsiaTheme="minorEastAsia" w:hAnsiTheme="minorHAnsi" w:cstheme="minorBidi"/>
              <w:sz w:val="21"/>
            </w:rPr>
          </w:pPr>
          <w:hyperlink w:anchor="_Toc185598822" w:history="1">
            <w:r>
              <w:rPr>
                <w:rStyle w:val="affa"/>
                <w:rFonts w:ascii="Arial Narrow" w:eastAsia="仿宋_GB2312" w:hAnsi="Arial Narrow"/>
              </w:rPr>
              <w:t>2.2</w:t>
            </w:r>
            <w:r>
              <w:rPr>
                <w:rFonts w:asciiTheme="minorHAnsi" w:eastAsiaTheme="minorEastAsia" w:hAnsiTheme="minorHAnsi" w:cstheme="minorBidi"/>
                <w:sz w:val="21"/>
              </w:rPr>
              <w:tab/>
            </w:r>
            <w:r>
              <w:rPr>
                <w:rStyle w:val="affa"/>
                <w:rFonts w:ascii="Arial Narrow" w:eastAsia="仿宋_GB2312" w:hAnsi="Arial Narrow"/>
              </w:rPr>
              <w:t>公司概况</w:t>
            </w:r>
            <w:r>
              <w:tab/>
            </w:r>
            <w:r>
              <w:fldChar w:fldCharType="begin"/>
            </w:r>
            <w:r>
              <w:instrText xml:space="preserve"> PAGEREF _Toc185598822 \h </w:instrText>
            </w:r>
            <w:r>
              <w:fldChar w:fldCharType="separate"/>
            </w:r>
            <w:r w:rsidR="005D7C90">
              <w:rPr>
                <w:noProof/>
              </w:rPr>
              <w:t>5</w:t>
            </w:r>
            <w:r>
              <w:fldChar w:fldCharType="end"/>
            </w:r>
          </w:hyperlink>
        </w:p>
        <w:p w14:paraId="725F2FD4" w14:textId="5797F0AC" w:rsidR="006B4107" w:rsidRDefault="004E70C7">
          <w:pPr>
            <w:pStyle w:val="TOC3"/>
            <w:rPr>
              <w:rFonts w:asciiTheme="minorHAnsi" w:eastAsiaTheme="minorEastAsia" w:hAnsiTheme="minorHAnsi" w:cstheme="minorBidi"/>
              <w:i w:val="0"/>
              <w:iCs w:val="0"/>
              <w:sz w:val="21"/>
            </w:rPr>
          </w:pPr>
          <w:hyperlink w:anchor="_Toc185598823" w:history="1">
            <w:r>
              <w:rPr>
                <w:rStyle w:val="affa"/>
                <w:rFonts w:ascii="Arial Narrow" w:hAnsi="Arial Narrow"/>
              </w:rPr>
              <w:t>2.2.1</w:t>
            </w:r>
            <w:r>
              <w:rPr>
                <w:rFonts w:asciiTheme="minorHAnsi" w:eastAsiaTheme="minorEastAsia" w:hAnsiTheme="minorHAnsi" w:cstheme="minorBidi"/>
                <w:i w:val="0"/>
                <w:iCs w:val="0"/>
                <w:sz w:val="21"/>
              </w:rPr>
              <w:tab/>
            </w:r>
            <w:r>
              <w:rPr>
                <w:rStyle w:val="affa"/>
                <w:rFonts w:ascii="Arial Narrow" w:hAnsi="Arial Narrow"/>
              </w:rPr>
              <w:t>公司基本信息</w:t>
            </w:r>
            <w:r>
              <w:tab/>
            </w:r>
            <w:r>
              <w:fldChar w:fldCharType="begin"/>
            </w:r>
            <w:r>
              <w:instrText xml:space="preserve"> PAGEREF _Toc185598823 \h </w:instrText>
            </w:r>
            <w:r>
              <w:fldChar w:fldCharType="separate"/>
            </w:r>
            <w:r w:rsidR="005D7C90">
              <w:rPr>
                <w:noProof/>
              </w:rPr>
              <w:t>5</w:t>
            </w:r>
            <w:r>
              <w:fldChar w:fldCharType="end"/>
            </w:r>
          </w:hyperlink>
        </w:p>
        <w:p w14:paraId="48BAC51C" w14:textId="3A56640B" w:rsidR="006B4107" w:rsidRDefault="004E70C7">
          <w:pPr>
            <w:pStyle w:val="TOC3"/>
            <w:rPr>
              <w:rFonts w:asciiTheme="minorHAnsi" w:eastAsiaTheme="minorEastAsia" w:hAnsiTheme="minorHAnsi" w:cstheme="minorBidi"/>
              <w:i w:val="0"/>
              <w:iCs w:val="0"/>
              <w:sz w:val="21"/>
            </w:rPr>
          </w:pPr>
          <w:hyperlink w:anchor="_Toc185598824" w:history="1">
            <w:r>
              <w:rPr>
                <w:rStyle w:val="affa"/>
                <w:rFonts w:ascii="Arial Narrow" w:hAnsi="Arial Narrow"/>
              </w:rPr>
              <w:t>2.2.2</w:t>
            </w:r>
            <w:r>
              <w:rPr>
                <w:rFonts w:asciiTheme="minorHAnsi" w:eastAsiaTheme="minorEastAsia" w:hAnsiTheme="minorHAnsi" w:cstheme="minorBidi"/>
                <w:i w:val="0"/>
                <w:iCs w:val="0"/>
                <w:sz w:val="21"/>
              </w:rPr>
              <w:tab/>
            </w:r>
            <w:r>
              <w:rPr>
                <w:rStyle w:val="affa"/>
                <w:rFonts w:ascii="Arial Narrow" w:hAnsi="Arial Narrow"/>
              </w:rPr>
              <w:t>公司组织结构图和主要</w:t>
            </w:r>
            <w:r>
              <w:rPr>
                <w:rStyle w:val="affa"/>
                <w:rFonts w:ascii="Arial Narrow" w:hAnsi="Arial Narrow"/>
              </w:rPr>
              <w:t>部门</w:t>
            </w:r>
            <w:r>
              <w:tab/>
            </w:r>
            <w:r>
              <w:fldChar w:fldCharType="begin"/>
            </w:r>
            <w:r>
              <w:instrText xml:space="preserve"> PAGEREF _Toc185598824 \h </w:instrText>
            </w:r>
            <w:r>
              <w:fldChar w:fldCharType="separate"/>
            </w:r>
            <w:r w:rsidR="005D7C90">
              <w:rPr>
                <w:noProof/>
              </w:rPr>
              <w:t>6</w:t>
            </w:r>
            <w:r>
              <w:fldChar w:fldCharType="end"/>
            </w:r>
          </w:hyperlink>
        </w:p>
        <w:p w14:paraId="4028AEFE" w14:textId="47BA0D00" w:rsidR="006B4107" w:rsidRDefault="004E70C7">
          <w:pPr>
            <w:pStyle w:val="TOC2"/>
            <w:rPr>
              <w:rFonts w:asciiTheme="minorHAnsi" w:eastAsiaTheme="minorEastAsia" w:hAnsiTheme="minorHAnsi" w:cstheme="minorBidi"/>
              <w:sz w:val="21"/>
            </w:rPr>
          </w:pPr>
          <w:hyperlink w:anchor="_Toc185598825" w:history="1">
            <w:r>
              <w:rPr>
                <w:rStyle w:val="affa"/>
                <w:rFonts w:ascii="Arial Narrow" w:eastAsia="仿宋_GB2312" w:hAnsi="Arial Narrow"/>
              </w:rPr>
              <w:t>2.3</w:t>
            </w:r>
            <w:r>
              <w:rPr>
                <w:rFonts w:asciiTheme="minorHAnsi" w:eastAsiaTheme="minorEastAsia" w:hAnsiTheme="minorHAnsi" w:cstheme="minorBidi"/>
                <w:sz w:val="21"/>
              </w:rPr>
              <w:tab/>
            </w:r>
            <w:r>
              <w:rPr>
                <w:rStyle w:val="affa"/>
                <w:rFonts w:ascii="Arial Narrow" w:eastAsia="仿宋_GB2312" w:hAnsi="Arial Narrow"/>
              </w:rPr>
              <w:t>主营业务及财务状况</w:t>
            </w:r>
            <w:r>
              <w:tab/>
            </w:r>
            <w:r>
              <w:fldChar w:fldCharType="begin"/>
            </w:r>
            <w:r>
              <w:instrText xml:space="preserve"> PAGEREF _Toc185598825 \h </w:instrText>
            </w:r>
            <w:r>
              <w:fldChar w:fldCharType="separate"/>
            </w:r>
            <w:r w:rsidR="005D7C90">
              <w:rPr>
                <w:noProof/>
              </w:rPr>
              <w:t>7</w:t>
            </w:r>
            <w:r>
              <w:fldChar w:fldCharType="end"/>
            </w:r>
          </w:hyperlink>
        </w:p>
        <w:p w14:paraId="73CE2EB8" w14:textId="37844ABA" w:rsidR="006B4107" w:rsidRDefault="004E70C7">
          <w:pPr>
            <w:pStyle w:val="TOC2"/>
            <w:rPr>
              <w:rFonts w:asciiTheme="minorHAnsi" w:eastAsiaTheme="minorEastAsia" w:hAnsiTheme="minorHAnsi" w:cstheme="minorBidi"/>
              <w:sz w:val="21"/>
            </w:rPr>
          </w:pPr>
          <w:hyperlink w:anchor="_Toc185598826" w:history="1">
            <w:r>
              <w:rPr>
                <w:rStyle w:val="affa"/>
                <w:rFonts w:ascii="Arial Narrow" w:eastAsia="仿宋_GB2312" w:hAnsi="Arial Narrow"/>
              </w:rPr>
              <w:t>2.4</w:t>
            </w:r>
            <w:r>
              <w:rPr>
                <w:rFonts w:asciiTheme="minorHAnsi" w:eastAsiaTheme="minorEastAsia" w:hAnsiTheme="minorHAnsi" w:cstheme="minorBidi"/>
                <w:sz w:val="21"/>
              </w:rPr>
              <w:tab/>
            </w:r>
            <w:r>
              <w:rPr>
                <w:rStyle w:val="affa"/>
                <w:rFonts w:ascii="Arial Narrow" w:eastAsia="仿宋_GB2312" w:hAnsi="Arial Narrow" w:cs="楷体"/>
              </w:rPr>
              <w:t>本年度重大变化事项</w:t>
            </w:r>
            <w:r>
              <w:tab/>
            </w:r>
            <w:r>
              <w:fldChar w:fldCharType="begin"/>
            </w:r>
            <w:r>
              <w:instrText xml:space="preserve"> PAGEREF _Toc185598826 \h </w:instrText>
            </w:r>
            <w:r>
              <w:fldChar w:fldCharType="separate"/>
            </w:r>
            <w:r w:rsidR="005D7C90">
              <w:rPr>
                <w:noProof/>
              </w:rPr>
              <w:t>7</w:t>
            </w:r>
            <w:r>
              <w:fldChar w:fldCharType="end"/>
            </w:r>
          </w:hyperlink>
        </w:p>
        <w:p w14:paraId="47E350FD" w14:textId="78CFFFFD" w:rsidR="006B4107" w:rsidRDefault="004E70C7">
          <w:pPr>
            <w:pStyle w:val="TOC1"/>
            <w:rPr>
              <w:rFonts w:asciiTheme="minorHAnsi" w:eastAsiaTheme="minorEastAsia" w:hAnsiTheme="minorHAnsi" w:cstheme="minorBidi"/>
              <w:bCs w:val="0"/>
              <w:caps w:val="0"/>
              <w:sz w:val="21"/>
              <w:szCs w:val="22"/>
            </w:rPr>
          </w:pPr>
          <w:hyperlink w:anchor="_Toc185598827" w:history="1">
            <w:r>
              <w:rPr>
                <w:rStyle w:val="affa"/>
                <w:rFonts w:ascii="Arial Narrow" w:eastAsia="仿宋_GB2312" w:hAnsi="Arial Narrow"/>
              </w:rPr>
              <w:t>3.</w:t>
            </w:r>
            <w:r>
              <w:rPr>
                <w:rFonts w:asciiTheme="minorHAnsi" w:eastAsiaTheme="minorEastAsia" w:hAnsiTheme="minorHAnsi" w:cstheme="minorBidi"/>
                <w:bCs w:val="0"/>
                <w:caps w:val="0"/>
                <w:sz w:val="21"/>
                <w:szCs w:val="22"/>
              </w:rPr>
              <w:tab/>
            </w:r>
            <w:r>
              <w:rPr>
                <w:rStyle w:val="affa"/>
                <w:rFonts w:ascii="Arial Narrow" w:eastAsia="仿宋_GB2312" w:hAnsi="Arial Narrow"/>
              </w:rPr>
              <w:t>行业分析</w:t>
            </w:r>
            <w:r>
              <w:tab/>
            </w:r>
            <w:r>
              <w:fldChar w:fldCharType="begin"/>
            </w:r>
            <w:r>
              <w:instrText xml:space="preserve"> PAGEREF _Toc185598827 \h </w:instrText>
            </w:r>
            <w:r>
              <w:fldChar w:fldCharType="separate"/>
            </w:r>
            <w:r w:rsidR="005D7C90">
              <w:rPr>
                <w:noProof/>
              </w:rPr>
              <w:t>8</w:t>
            </w:r>
            <w:r>
              <w:fldChar w:fldCharType="end"/>
            </w:r>
          </w:hyperlink>
        </w:p>
        <w:p w14:paraId="76A6D565" w14:textId="380F1593" w:rsidR="006B4107" w:rsidRDefault="004E70C7">
          <w:pPr>
            <w:pStyle w:val="TOC2"/>
            <w:rPr>
              <w:rFonts w:asciiTheme="minorHAnsi" w:eastAsiaTheme="minorEastAsia" w:hAnsiTheme="minorHAnsi" w:cstheme="minorBidi"/>
              <w:sz w:val="21"/>
            </w:rPr>
          </w:pPr>
          <w:hyperlink w:anchor="_Toc185598828" w:history="1">
            <w:r>
              <w:rPr>
                <w:rStyle w:val="affa"/>
                <w:rFonts w:ascii="Arial Narrow" w:eastAsia="仿宋_GB2312" w:hAnsi="Arial Narrow"/>
              </w:rPr>
              <w:t>3.1</w:t>
            </w:r>
            <w:r>
              <w:rPr>
                <w:rFonts w:asciiTheme="minorHAnsi" w:eastAsiaTheme="minorEastAsia" w:hAnsiTheme="minorHAnsi" w:cstheme="minorBidi"/>
                <w:sz w:val="21"/>
              </w:rPr>
              <w:tab/>
            </w:r>
            <w:r>
              <w:rPr>
                <w:rStyle w:val="affa"/>
                <w:rFonts w:ascii="Arial Narrow" w:eastAsia="仿宋_GB2312" w:hAnsi="Arial Narrow"/>
              </w:rPr>
              <w:t>道路运输行业概述</w:t>
            </w:r>
            <w:r>
              <w:tab/>
            </w:r>
            <w:r>
              <w:fldChar w:fldCharType="begin"/>
            </w:r>
            <w:r>
              <w:instrText xml:space="preserve"> PAGEREF _Toc185598828 \h </w:instrText>
            </w:r>
            <w:r>
              <w:fldChar w:fldCharType="separate"/>
            </w:r>
            <w:r w:rsidR="005D7C90">
              <w:rPr>
                <w:noProof/>
              </w:rPr>
              <w:t>8</w:t>
            </w:r>
            <w:r>
              <w:fldChar w:fldCharType="end"/>
            </w:r>
          </w:hyperlink>
        </w:p>
        <w:p w14:paraId="79557B93" w14:textId="7441448C" w:rsidR="006B4107" w:rsidRDefault="004E70C7">
          <w:pPr>
            <w:pStyle w:val="TOC2"/>
            <w:rPr>
              <w:rFonts w:asciiTheme="minorHAnsi" w:eastAsiaTheme="minorEastAsia" w:hAnsiTheme="minorHAnsi" w:cstheme="minorBidi"/>
              <w:sz w:val="21"/>
            </w:rPr>
          </w:pPr>
          <w:hyperlink w:anchor="_Toc185598830" w:history="1">
            <w:r>
              <w:rPr>
                <w:rStyle w:val="affa"/>
                <w:rFonts w:ascii="Arial Narrow" w:eastAsia="仿宋_GB2312" w:hAnsi="Arial Narrow"/>
              </w:rPr>
              <w:t>3.2</w:t>
            </w:r>
            <w:r>
              <w:rPr>
                <w:rFonts w:asciiTheme="minorHAnsi" w:eastAsiaTheme="minorEastAsia" w:hAnsiTheme="minorHAnsi" w:cstheme="minorBidi"/>
                <w:sz w:val="21"/>
              </w:rPr>
              <w:tab/>
            </w:r>
            <w:r>
              <w:rPr>
                <w:rStyle w:val="affa"/>
                <w:rFonts w:ascii="Arial Narrow" w:eastAsia="仿宋_GB2312" w:hAnsi="Arial Narrow"/>
              </w:rPr>
              <w:t>市场规模与结构</w:t>
            </w:r>
            <w:r>
              <w:tab/>
            </w:r>
            <w:r>
              <w:fldChar w:fldCharType="begin"/>
            </w:r>
            <w:r>
              <w:instrText xml:space="preserve"> PAG</w:instrText>
            </w:r>
            <w:r>
              <w:instrText xml:space="preserve">EREF _Toc185598830 \h </w:instrText>
            </w:r>
            <w:r>
              <w:fldChar w:fldCharType="separate"/>
            </w:r>
            <w:r w:rsidR="005D7C90">
              <w:rPr>
                <w:noProof/>
              </w:rPr>
              <w:t>9</w:t>
            </w:r>
            <w:r>
              <w:fldChar w:fldCharType="end"/>
            </w:r>
          </w:hyperlink>
        </w:p>
        <w:p w14:paraId="5F72A838" w14:textId="339A7074" w:rsidR="006B4107" w:rsidRDefault="004E70C7">
          <w:pPr>
            <w:pStyle w:val="TOC3"/>
            <w:rPr>
              <w:rFonts w:asciiTheme="minorHAnsi" w:eastAsiaTheme="minorEastAsia" w:hAnsiTheme="minorHAnsi" w:cstheme="minorBidi"/>
              <w:i w:val="0"/>
              <w:iCs w:val="0"/>
              <w:sz w:val="21"/>
            </w:rPr>
          </w:pPr>
          <w:hyperlink w:anchor="_Toc185598831" w:history="1">
            <w:r>
              <w:rPr>
                <w:rStyle w:val="affa"/>
                <w:rFonts w:ascii="Arial Narrow" w:hAnsi="Arial Narrow" w:cs="楷体"/>
              </w:rPr>
              <w:t>3.2.1</w:t>
            </w:r>
            <w:r>
              <w:rPr>
                <w:rFonts w:asciiTheme="minorHAnsi" w:eastAsiaTheme="minorEastAsia" w:hAnsiTheme="minorHAnsi" w:cstheme="minorBidi"/>
                <w:i w:val="0"/>
                <w:iCs w:val="0"/>
                <w:sz w:val="21"/>
              </w:rPr>
              <w:tab/>
            </w:r>
            <w:r>
              <w:rPr>
                <w:rStyle w:val="affa"/>
                <w:rFonts w:ascii="Arial Narrow" w:hAnsi="Arial Narrow" w:cs="楷体"/>
              </w:rPr>
              <w:t>产业链上中下游</w:t>
            </w:r>
            <w:r>
              <w:tab/>
            </w:r>
            <w:r>
              <w:fldChar w:fldCharType="begin"/>
            </w:r>
            <w:r>
              <w:instrText xml:space="preserve"> PAGEREF _Toc185598831 \h </w:instrText>
            </w:r>
            <w:r>
              <w:fldChar w:fldCharType="separate"/>
            </w:r>
            <w:r w:rsidR="005D7C90">
              <w:rPr>
                <w:noProof/>
              </w:rPr>
              <w:t>11</w:t>
            </w:r>
            <w:r>
              <w:fldChar w:fldCharType="end"/>
            </w:r>
          </w:hyperlink>
        </w:p>
        <w:p w14:paraId="4CAC42E3" w14:textId="0BF2E193" w:rsidR="006B4107" w:rsidRDefault="004E70C7">
          <w:pPr>
            <w:pStyle w:val="TOC2"/>
            <w:rPr>
              <w:rFonts w:asciiTheme="minorHAnsi" w:eastAsiaTheme="minorEastAsia" w:hAnsiTheme="minorHAnsi" w:cstheme="minorBidi"/>
              <w:sz w:val="21"/>
            </w:rPr>
          </w:pPr>
          <w:hyperlink w:anchor="_Toc185598832" w:history="1">
            <w:r>
              <w:rPr>
                <w:rStyle w:val="affa"/>
                <w:rFonts w:ascii="Arial Narrow" w:eastAsia="仿宋_GB2312" w:hAnsi="Arial Narrow"/>
              </w:rPr>
              <w:t>3.3</w:t>
            </w:r>
            <w:r>
              <w:rPr>
                <w:rFonts w:asciiTheme="minorHAnsi" w:eastAsiaTheme="minorEastAsia" w:hAnsiTheme="minorHAnsi" w:cstheme="minorBidi"/>
                <w:sz w:val="21"/>
              </w:rPr>
              <w:tab/>
            </w:r>
            <w:r>
              <w:rPr>
                <w:rStyle w:val="affa"/>
                <w:rFonts w:ascii="Arial Narrow" w:eastAsia="仿宋_GB2312" w:hAnsi="Arial Narrow"/>
              </w:rPr>
              <w:t>行业竞争</w:t>
            </w:r>
            <w:r>
              <w:tab/>
            </w:r>
            <w:r>
              <w:fldChar w:fldCharType="begin"/>
            </w:r>
            <w:r>
              <w:instrText xml:space="preserve"> PAGEREF _Toc185598832 \h </w:instrText>
            </w:r>
            <w:r>
              <w:fldChar w:fldCharType="separate"/>
            </w:r>
            <w:r w:rsidR="005D7C90">
              <w:rPr>
                <w:noProof/>
              </w:rPr>
              <w:t>12</w:t>
            </w:r>
            <w:r>
              <w:fldChar w:fldCharType="end"/>
            </w:r>
          </w:hyperlink>
        </w:p>
        <w:p w14:paraId="078ED071" w14:textId="2DF8B2C4" w:rsidR="006B4107" w:rsidRDefault="004E70C7">
          <w:pPr>
            <w:pStyle w:val="TOC2"/>
            <w:rPr>
              <w:rFonts w:asciiTheme="minorHAnsi" w:eastAsiaTheme="minorEastAsia" w:hAnsiTheme="minorHAnsi" w:cstheme="minorBidi"/>
              <w:sz w:val="21"/>
            </w:rPr>
          </w:pPr>
          <w:hyperlink w:anchor="_Toc185598833" w:history="1">
            <w:r>
              <w:rPr>
                <w:rStyle w:val="affa"/>
                <w:rFonts w:ascii="Arial Narrow" w:eastAsia="仿宋_GB2312" w:hAnsi="Arial Narrow"/>
              </w:rPr>
              <w:t>3.4</w:t>
            </w:r>
            <w:r>
              <w:rPr>
                <w:rFonts w:asciiTheme="minorHAnsi" w:eastAsiaTheme="minorEastAsia" w:hAnsiTheme="minorHAnsi" w:cstheme="minorBidi"/>
                <w:sz w:val="21"/>
              </w:rPr>
              <w:tab/>
            </w:r>
            <w:r>
              <w:rPr>
                <w:rStyle w:val="affa"/>
                <w:rFonts w:ascii="Arial Narrow" w:eastAsia="仿宋_GB2312" w:hAnsi="Arial Narrow"/>
              </w:rPr>
              <w:t>政策法规环境</w:t>
            </w:r>
            <w:r>
              <w:tab/>
            </w:r>
            <w:r>
              <w:fldChar w:fldCharType="begin"/>
            </w:r>
            <w:r>
              <w:instrText xml:space="preserve"> PAGEREF _Toc185598833 \h </w:instrText>
            </w:r>
            <w:r>
              <w:fldChar w:fldCharType="separate"/>
            </w:r>
            <w:r w:rsidR="005D7C90">
              <w:rPr>
                <w:noProof/>
              </w:rPr>
              <w:t>12</w:t>
            </w:r>
            <w:r>
              <w:fldChar w:fldCharType="end"/>
            </w:r>
          </w:hyperlink>
        </w:p>
        <w:p w14:paraId="0CDF2797" w14:textId="3F0A745C" w:rsidR="006B4107" w:rsidRDefault="004E70C7">
          <w:pPr>
            <w:pStyle w:val="TOC2"/>
            <w:rPr>
              <w:rFonts w:asciiTheme="minorHAnsi" w:eastAsiaTheme="minorEastAsia" w:hAnsiTheme="minorHAnsi" w:cstheme="minorBidi"/>
              <w:sz w:val="21"/>
            </w:rPr>
          </w:pPr>
          <w:hyperlink w:anchor="_Toc185598834" w:history="1">
            <w:r>
              <w:rPr>
                <w:rStyle w:val="affa"/>
                <w:rFonts w:ascii="Arial Narrow" w:eastAsia="仿宋_GB2312" w:hAnsi="Arial Narrow"/>
              </w:rPr>
              <w:t>3.5</w:t>
            </w:r>
            <w:r>
              <w:rPr>
                <w:rFonts w:asciiTheme="minorHAnsi" w:eastAsiaTheme="minorEastAsia" w:hAnsiTheme="minorHAnsi" w:cstheme="minorBidi"/>
                <w:sz w:val="21"/>
              </w:rPr>
              <w:tab/>
            </w:r>
            <w:r>
              <w:rPr>
                <w:rStyle w:val="affa"/>
                <w:rFonts w:ascii="Arial Narrow" w:eastAsia="仿宋_GB2312" w:hAnsi="Arial Narrow"/>
              </w:rPr>
              <w:t>行业发展趋势</w:t>
            </w:r>
            <w:r>
              <w:tab/>
            </w:r>
            <w:r>
              <w:fldChar w:fldCharType="begin"/>
            </w:r>
            <w:r>
              <w:instrText xml:space="preserve"> PAGEREF _Toc185598834 \h </w:instrText>
            </w:r>
            <w:r>
              <w:fldChar w:fldCharType="separate"/>
            </w:r>
            <w:r w:rsidR="005D7C90">
              <w:rPr>
                <w:noProof/>
              </w:rPr>
              <w:t>13</w:t>
            </w:r>
            <w:r>
              <w:fldChar w:fldCharType="end"/>
            </w:r>
          </w:hyperlink>
        </w:p>
        <w:p w14:paraId="67FE8998" w14:textId="292B79E5" w:rsidR="006B4107" w:rsidRDefault="004E70C7">
          <w:pPr>
            <w:pStyle w:val="TOC2"/>
            <w:rPr>
              <w:rFonts w:asciiTheme="minorHAnsi" w:eastAsiaTheme="minorEastAsia" w:hAnsiTheme="minorHAnsi" w:cstheme="minorBidi"/>
              <w:sz w:val="21"/>
            </w:rPr>
          </w:pPr>
          <w:hyperlink w:anchor="_Toc185598835" w:history="1">
            <w:r>
              <w:rPr>
                <w:rStyle w:val="affa"/>
                <w:rFonts w:ascii="Arial Narrow" w:eastAsia="仿宋_GB2312" w:hAnsi="Arial Narrow"/>
              </w:rPr>
              <w:t>3.6</w:t>
            </w:r>
            <w:r>
              <w:rPr>
                <w:rFonts w:asciiTheme="minorHAnsi" w:eastAsiaTheme="minorEastAsia" w:hAnsiTheme="minorHAnsi" w:cstheme="minorBidi"/>
                <w:sz w:val="21"/>
              </w:rPr>
              <w:tab/>
            </w:r>
            <w:r>
              <w:rPr>
                <w:rStyle w:val="affa"/>
                <w:rFonts w:ascii="Arial Narrow" w:eastAsia="仿宋_GB2312" w:hAnsi="Arial Narrow"/>
              </w:rPr>
              <w:t>总结</w:t>
            </w:r>
            <w:r>
              <w:tab/>
            </w:r>
            <w:r>
              <w:fldChar w:fldCharType="begin"/>
            </w:r>
            <w:r>
              <w:instrText xml:space="preserve"> PAGEREF _T</w:instrText>
            </w:r>
            <w:r>
              <w:instrText xml:space="preserve">oc185598835 \h </w:instrText>
            </w:r>
            <w:r>
              <w:fldChar w:fldCharType="separate"/>
            </w:r>
            <w:r w:rsidR="005D7C90">
              <w:rPr>
                <w:noProof/>
              </w:rPr>
              <w:t>14</w:t>
            </w:r>
            <w:r>
              <w:fldChar w:fldCharType="end"/>
            </w:r>
          </w:hyperlink>
        </w:p>
        <w:p w14:paraId="2AF17FD6" w14:textId="2C26BA4E" w:rsidR="006B4107" w:rsidRDefault="004E70C7">
          <w:pPr>
            <w:pStyle w:val="TOC1"/>
            <w:rPr>
              <w:rFonts w:asciiTheme="minorHAnsi" w:eastAsiaTheme="minorEastAsia" w:hAnsiTheme="minorHAnsi" w:cstheme="minorBidi"/>
              <w:bCs w:val="0"/>
              <w:caps w:val="0"/>
              <w:sz w:val="21"/>
              <w:szCs w:val="22"/>
            </w:rPr>
          </w:pPr>
          <w:hyperlink w:anchor="_Toc185598836" w:history="1">
            <w:r>
              <w:rPr>
                <w:rStyle w:val="affa"/>
                <w:rFonts w:ascii="Arial Narrow" w:eastAsia="仿宋_GB2312" w:hAnsi="Arial Narrow"/>
              </w:rPr>
              <w:t>4.</w:t>
            </w:r>
            <w:r>
              <w:rPr>
                <w:rFonts w:asciiTheme="minorHAnsi" w:eastAsiaTheme="minorEastAsia" w:hAnsiTheme="minorHAnsi" w:cstheme="minorBidi"/>
                <w:bCs w:val="0"/>
                <w:caps w:val="0"/>
                <w:sz w:val="21"/>
                <w:szCs w:val="22"/>
              </w:rPr>
              <w:tab/>
            </w:r>
            <w:r>
              <w:rPr>
                <w:rStyle w:val="affa"/>
                <w:rFonts w:ascii="Arial Narrow" w:eastAsia="仿宋_GB2312" w:hAnsi="Arial Narrow"/>
              </w:rPr>
              <w:t>关联交易</w:t>
            </w:r>
            <w:r>
              <w:tab/>
            </w:r>
            <w:r>
              <w:fldChar w:fldCharType="begin"/>
            </w:r>
            <w:r>
              <w:instrText xml:space="preserve"> PAGEREF _Toc185598836 \h </w:instrText>
            </w:r>
            <w:r>
              <w:fldChar w:fldCharType="separate"/>
            </w:r>
            <w:r w:rsidR="005D7C90">
              <w:rPr>
                <w:noProof/>
              </w:rPr>
              <w:t>15</w:t>
            </w:r>
            <w:r>
              <w:fldChar w:fldCharType="end"/>
            </w:r>
          </w:hyperlink>
        </w:p>
        <w:p w14:paraId="0DC1F2A3" w14:textId="1F6779B2" w:rsidR="006B4107" w:rsidRDefault="004E70C7">
          <w:pPr>
            <w:pStyle w:val="TOC2"/>
            <w:rPr>
              <w:rFonts w:asciiTheme="minorHAnsi" w:eastAsiaTheme="minorEastAsia" w:hAnsiTheme="minorHAnsi" w:cstheme="minorBidi"/>
              <w:sz w:val="21"/>
            </w:rPr>
          </w:pPr>
          <w:hyperlink w:anchor="_Toc185598837" w:history="1">
            <w:r>
              <w:rPr>
                <w:rStyle w:val="affa"/>
                <w:rFonts w:ascii="Arial Narrow" w:eastAsia="仿宋_GB2312" w:hAnsi="Arial Narrow"/>
              </w:rPr>
              <w:t>4.1</w:t>
            </w:r>
            <w:r>
              <w:rPr>
                <w:rFonts w:asciiTheme="minorHAnsi" w:eastAsiaTheme="minorEastAsia" w:hAnsiTheme="minorHAnsi" w:cstheme="minorBidi"/>
                <w:sz w:val="21"/>
              </w:rPr>
              <w:tab/>
            </w:r>
            <w:r>
              <w:rPr>
                <w:rStyle w:val="affa"/>
                <w:rFonts w:ascii="Arial Narrow" w:eastAsia="仿宋_GB2312" w:hAnsi="Arial Narrow"/>
              </w:rPr>
              <w:t>关联方信息</w:t>
            </w:r>
            <w:r>
              <w:tab/>
            </w:r>
            <w:r>
              <w:fldChar w:fldCharType="begin"/>
            </w:r>
            <w:r>
              <w:instrText xml:space="preserve"> PAGEREF _Toc185598837 \h </w:instrText>
            </w:r>
            <w:r>
              <w:fldChar w:fldCharType="separate"/>
            </w:r>
            <w:r w:rsidR="005D7C90">
              <w:rPr>
                <w:noProof/>
              </w:rPr>
              <w:t>15</w:t>
            </w:r>
            <w:r>
              <w:fldChar w:fldCharType="end"/>
            </w:r>
          </w:hyperlink>
        </w:p>
        <w:p w14:paraId="64860C0A" w14:textId="24839421" w:rsidR="006B4107" w:rsidRDefault="004E70C7">
          <w:pPr>
            <w:pStyle w:val="TOC2"/>
            <w:rPr>
              <w:rFonts w:asciiTheme="minorHAnsi" w:eastAsiaTheme="minorEastAsia" w:hAnsiTheme="minorHAnsi" w:cstheme="minorBidi"/>
              <w:sz w:val="21"/>
            </w:rPr>
          </w:pPr>
          <w:hyperlink w:anchor="_Toc185598838" w:history="1">
            <w:r>
              <w:rPr>
                <w:rStyle w:val="affa"/>
                <w:rFonts w:ascii="Arial Narrow" w:eastAsia="仿宋_GB2312" w:hAnsi="Arial Narrow"/>
              </w:rPr>
              <w:t>4.2</w:t>
            </w:r>
            <w:r>
              <w:rPr>
                <w:rFonts w:asciiTheme="minorHAnsi" w:eastAsiaTheme="minorEastAsia" w:hAnsiTheme="minorHAnsi" w:cstheme="minorBidi"/>
                <w:sz w:val="21"/>
              </w:rPr>
              <w:tab/>
            </w:r>
            <w:r>
              <w:rPr>
                <w:rStyle w:val="affa"/>
                <w:rFonts w:ascii="Arial Narrow" w:eastAsia="仿宋_GB2312" w:hAnsi="Arial Narrow"/>
              </w:rPr>
              <w:t>主要关联交易</w:t>
            </w:r>
            <w:r>
              <w:tab/>
            </w:r>
            <w:r>
              <w:fldChar w:fldCharType="begin"/>
            </w:r>
            <w:r>
              <w:instrText xml:space="preserve"> PAGEREF _Toc185598838 \h </w:instrText>
            </w:r>
            <w:r>
              <w:fldChar w:fldCharType="separate"/>
            </w:r>
            <w:r w:rsidR="005D7C90">
              <w:rPr>
                <w:noProof/>
              </w:rPr>
              <w:t>15</w:t>
            </w:r>
            <w:r>
              <w:fldChar w:fldCharType="end"/>
            </w:r>
          </w:hyperlink>
        </w:p>
        <w:p w14:paraId="0588B7A6" w14:textId="503BCAFB" w:rsidR="006B4107" w:rsidRDefault="004E70C7">
          <w:pPr>
            <w:pStyle w:val="TOC2"/>
            <w:rPr>
              <w:rFonts w:asciiTheme="minorHAnsi" w:eastAsiaTheme="minorEastAsia" w:hAnsiTheme="minorHAnsi" w:cstheme="minorBidi"/>
              <w:sz w:val="21"/>
            </w:rPr>
          </w:pPr>
          <w:hyperlink w:anchor="_Toc185598839" w:history="1">
            <w:r>
              <w:rPr>
                <w:rStyle w:val="affa"/>
                <w:rFonts w:ascii="Arial Narrow" w:eastAsia="仿宋_GB2312" w:hAnsi="Arial Narrow"/>
              </w:rPr>
              <w:t>4.3</w:t>
            </w:r>
            <w:r>
              <w:rPr>
                <w:rFonts w:asciiTheme="minorHAnsi" w:eastAsiaTheme="minorEastAsia" w:hAnsiTheme="minorHAnsi" w:cstheme="minorBidi"/>
                <w:sz w:val="21"/>
              </w:rPr>
              <w:tab/>
            </w:r>
            <w:r>
              <w:rPr>
                <w:rStyle w:val="affa"/>
                <w:rFonts w:ascii="Arial Narrow" w:eastAsia="仿宋_GB2312" w:hAnsi="Arial Narrow"/>
              </w:rPr>
              <w:t>关联劳务</w:t>
            </w:r>
            <w:r>
              <w:tab/>
            </w:r>
            <w:r>
              <w:fldChar w:fldCharType="begin"/>
            </w:r>
            <w:r>
              <w:instrText xml:space="preserve"> PAGEREF _Toc185598839 \h </w:instrText>
            </w:r>
            <w:r>
              <w:fldChar w:fldCharType="separate"/>
            </w:r>
            <w:r w:rsidR="005D7C90">
              <w:rPr>
                <w:noProof/>
              </w:rPr>
              <w:t>16</w:t>
            </w:r>
            <w:r>
              <w:fldChar w:fldCharType="end"/>
            </w:r>
          </w:hyperlink>
        </w:p>
        <w:p w14:paraId="68FA10E0" w14:textId="537C88B6" w:rsidR="006B4107" w:rsidRDefault="004E70C7">
          <w:pPr>
            <w:pStyle w:val="TOC3"/>
            <w:rPr>
              <w:rFonts w:asciiTheme="minorHAnsi" w:eastAsiaTheme="minorEastAsia" w:hAnsiTheme="minorHAnsi" w:cstheme="minorBidi"/>
              <w:i w:val="0"/>
              <w:iCs w:val="0"/>
              <w:sz w:val="21"/>
            </w:rPr>
          </w:pPr>
          <w:hyperlink w:anchor="_Toc185598840" w:history="1">
            <w:r>
              <w:rPr>
                <w:rStyle w:val="affa"/>
                <w:rFonts w:ascii="Arial Narrow" w:hAnsi="Arial Narrow" w:cs="楷体"/>
              </w:rPr>
              <w:t>4.3.1.</w:t>
            </w:r>
            <w:r>
              <w:rPr>
                <w:rStyle w:val="affa"/>
                <w:rFonts w:ascii="Arial Narrow" w:hAnsi="Arial Narrow" w:cs="楷体"/>
              </w:rPr>
              <w:t>交易流程</w:t>
            </w:r>
            <w:r>
              <w:tab/>
            </w:r>
            <w:r>
              <w:fldChar w:fldCharType="begin"/>
            </w:r>
            <w:r>
              <w:instrText xml:space="preserve"> PAGEREF </w:instrText>
            </w:r>
            <w:r>
              <w:instrText xml:space="preserve">_Toc185598840 \h </w:instrText>
            </w:r>
            <w:r>
              <w:fldChar w:fldCharType="separate"/>
            </w:r>
            <w:r w:rsidR="005D7C90">
              <w:rPr>
                <w:noProof/>
              </w:rPr>
              <w:t>16</w:t>
            </w:r>
            <w:r>
              <w:fldChar w:fldCharType="end"/>
            </w:r>
          </w:hyperlink>
        </w:p>
        <w:p w14:paraId="5C665CB5" w14:textId="65B82F34" w:rsidR="006B4107" w:rsidRDefault="004E70C7">
          <w:pPr>
            <w:pStyle w:val="TOC3"/>
            <w:rPr>
              <w:rFonts w:asciiTheme="minorHAnsi" w:eastAsiaTheme="minorEastAsia" w:hAnsiTheme="minorHAnsi" w:cstheme="minorBidi"/>
              <w:i w:val="0"/>
              <w:iCs w:val="0"/>
              <w:sz w:val="21"/>
            </w:rPr>
          </w:pPr>
          <w:hyperlink w:anchor="_Toc185598841" w:history="1">
            <w:r>
              <w:rPr>
                <w:rStyle w:val="affa"/>
                <w:rFonts w:ascii="Arial Narrow" w:hAnsi="Arial Narrow" w:cs="楷体"/>
              </w:rPr>
              <w:t>4.3.2.</w:t>
            </w:r>
            <w:r>
              <w:rPr>
                <w:rStyle w:val="affa"/>
                <w:rFonts w:ascii="Arial Narrow" w:hAnsi="Arial Narrow" w:cs="楷体"/>
              </w:rPr>
              <w:t>交易明细</w:t>
            </w:r>
            <w:r>
              <w:tab/>
            </w:r>
            <w:r>
              <w:fldChar w:fldCharType="begin"/>
            </w:r>
            <w:r>
              <w:instrText xml:space="preserve"> PAGEREF _Toc185598841 \h </w:instrText>
            </w:r>
            <w:r>
              <w:fldChar w:fldCharType="separate"/>
            </w:r>
            <w:r w:rsidR="005D7C90">
              <w:rPr>
                <w:noProof/>
              </w:rPr>
              <w:t>16</w:t>
            </w:r>
            <w:r>
              <w:fldChar w:fldCharType="end"/>
            </w:r>
          </w:hyperlink>
        </w:p>
        <w:p w14:paraId="5DFF64D8" w14:textId="6F4FA490" w:rsidR="006B4107" w:rsidRDefault="004E70C7">
          <w:pPr>
            <w:pStyle w:val="TOC3"/>
            <w:rPr>
              <w:rFonts w:asciiTheme="minorHAnsi" w:eastAsiaTheme="minorEastAsia" w:hAnsiTheme="minorHAnsi" w:cstheme="minorBidi"/>
              <w:i w:val="0"/>
              <w:iCs w:val="0"/>
              <w:sz w:val="21"/>
            </w:rPr>
          </w:pPr>
          <w:hyperlink w:anchor="_Toc185598842" w:history="1">
            <w:r>
              <w:rPr>
                <w:rStyle w:val="affa"/>
                <w:rFonts w:ascii="Arial Narrow" w:hAnsi="Arial Narrow" w:cs="楷体"/>
              </w:rPr>
              <w:t>4.3.3.</w:t>
            </w:r>
            <w:r>
              <w:rPr>
                <w:rStyle w:val="affa"/>
                <w:rFonts w:ascii="Arial Narrow" w:hAnsi="Arial Narrow" w:cs="楷体"/>
              </w:rPr>
              <w:t>交易定价政策</w:t>
            </w:r>
            <w:r>
              <w:tab/>
            </w:r>
            <w:r>
              <w:fldChar w:fldCharType="begin"/>
            </w:r>
            <w:r>
              <w:instrText xml:space="preserve"> PAGEREF _Toc185598842 \h </w:instrText>
            </w:r>
            <w:r>
              <w:fldChar w:fldCharType="separate"/>
            </w:r>
            <w:r w:rsidR="005D7C90">
              <w:rPr>
                <w:noProof/>
              </w:rPr>
              <w:t>17</w:t>
            </w:r>
            <w:r>
              <w:fldChar w:fldCharType="end"/>
            </w:r>
          </w:hyperlink>
        </w:p>
        <w:p w14:paraId="29CC8B2F" w14:textId="24CE7284" w:rsidR="006B4107" w:rsidRDefault="004E70C7">
          <w:pPr>
            <w:pStyle w:val="TOC2"/>
            <w:rPr>
              <w:rFonts w:asciiTheme="minorHAnsi" w:eastAsiaTheme="minorEastAsia" w:hAnsiTheme="minorHAnsi" w:cstheme="minorBidi"/>
              <w:sz w:val="21"/>
            </w:rPr>
          </w:pPr>
          <w:hyperlink w:anchor="_Toc185598845" w:history="1">
            <w:r>
              <w:rPr>
                <w:rStyle w:val="affa"/>
                <w:rFonts w:ascii="Arial Narrow" w:eastAsia="仿宋_GB2312" w:hAnsi="Arial Narrow" w:cs="楷体"/>
              </w:rPr>
              <w:t>4.4</w:t>
            </w:r>
            <w:r>
              <w:rPr>
                <w:rFonts w:asciiTheme="minorHAnsi" w:eastAsiaTheme="minorEastAsia" w:hAnsiTheme="minorHAnsi" w:cstheme="minorBidi"/>
                <w:sz w:val="21"/>
              </w:rPr>
              <w:tab/>
            </w:r>
            <w:r>
              <w:rPr>
                <w:rStyle w:val="affa"/>
                <w:rFonts w:ascii="Arial Narrow" w:eastAsia="仿宋_GB2312" w:hAnsi="Arial Narrow" w:cs="楷体"/>
              </w:rPr>
              <w:t>关联租赁</w:t>
            </w:r>
            <w:r>
              <w:tab/>
            </w:r>
            <w:r>
              <w:fldChar w:fldCharType="begin"/>
            </w:r>
            <w:r>
              <w:instrText xml:space="preserve"> PAGEREF _Toc185598845 \h </w:instrText>
            </w:r>
            <w:r>
              <w:fldChar w:fldCharType="separate"/>
            </w:r>
            <w:r w:rsidR="005D7C90">
              <w:rPr>
                <w:noProof/>
              </w:rPr>
              <w:t>17</w:t>
            </w:r>
            <w:r>
              <w:fldChar w:fldCharType="end"/>
            </w:r>
          </w:hyperlink>
        </w:p>
        <w:p w14:paraId="27046650" w14:textId="2733D5B6" w:rsidR="006B4107" w:rsidRDefault="004E70C7">
          <w:pPr>
            <w:pStyle w:val="TOC2"/>
            <w:rPr>
              <w:rFonts w:asciiTheme="minorHAnsi" w:eastAsiaTheme="minorEastAsia" w:hAnsiTheme="minorHAnsi" w:cstheme="minorBidi"/>
              <w:sz w:val="21"/>
            </w:rPr>
          </w:pPr>
          <w:hyperlink w:anchor="_Toc185598850" w:history="1">
            <w:r>
              <w:rPr>
                <w:rStyle w:val="affa"/>
                <w:rFonts w:ascii="Arial Narrow" w:eastAsia="仿宋_GB2312" w:hAnsi="Arial Narrow" w:cs="楷体"/>
              </w:rPr>
              <w:t>4.5</w:t>
            </w:r>
            <w:r>
              <w:rPr>
                <w:rFonts w:asciiTheme="minorHAnsi" w:eastAsiaTheme="minorEastAsia" w:hAnsiTheme="minorHAnsi" w:cstheme="minorBidi"/>
                <w:sz w:val="21"/>
              </w:rPr>
              <w:tab/>
            </w:r>
            <w:r>
              <w:rPr>
                <w:rStyle w:val="affa"/>
                <w:rFonts w:ascii="Arial Narrow" w:eastAsia="仿宋_GB2312" w:hAnsi="Arial Narrow" w:cs="楷体"/>
              </w:rPr>
              <w:t>关联交易合同及执行汇总</w:t>
            </w:r>
            <w:r>
              <w:tab/>
            </w:r>
            <w:r>
              <w:fldChar w:fldCharType="begin"/>
            </w:r>
            <w:r>
              <w:instrText xml:space="preserve"> PAGEREF _Toc185598850 \h </w:instrText>
            </w:r>
            <w:r>
              <w:fldChar w:fldCharType="separate"/>
            </w:r>
            <w:r w:rsidR="005D7C90">
              <w:rPr>
                <w:noProof/>
              </w:rPr>
              <w:t>17</w:t>
            </w:r>
            <w:r>
              <w:fldChar w:fldCharType="end"/>
            </w:r>
          </w:hyperlink>
        </w:p>
        <w:p w14:paraId="6ED5D58A" w14:textId="61E244BD" w:rsidR="006B4107" w:rsidRDefault="004E70C7">
          <w:pPr>
            <w:pStyle w:val="TOC2"/>
            <w:rPr>
              <w:rFonts w:asciiTheme="minorHAnsi" w:eastAsiaTheme="minorEastAsia" w:hAnsiTheme="minorHAnsi" w:cstheme="minorBidi"/>
              <w:sz w:val="21"/>
            </w:rPr>
          </w:pPr>
          <w:hyperlink w:anchor="_Toc185598851" w:history="1">
            <w:r>
              <w:rPr>
                <w:rStyle w:val="affa"/>
                <w:rFonts w:ascii="Arial Narrow" w:eastAsia="仿宋_GB2312" w:hAnsi="Arial Narrow"/>
              </w:rPr>
              <w:t>4.6</w:t>
            </w:r>
            <w:r>
              <w:rPr>
                <w:rFonts w:asciiTheme="minorHAnsi" w:eastAsiaTheme="minorEastAsia" w:hAnsiTheme="minorHAnsi" w:cstheme="minorBidi"/>
                <w:sz w:val="21"/>
              </w:rPr>
              <w:tab/>
            </w:r>
            <w:r>
              <w:rPr>
                <w:rStyle w:val="affa"/>
                <w:rFonts w:ascii="Arial Narrow" w:eastAsia="仿宋_GB2312" w:hAnsi="Arial Narrow" w:cs="楷体"/>
              </w:rPr>
              <w:t>与企业关联交易直接相关的预约定价安排和其他税收裁定</w:t>
            </w:r>
            <w:r>
              <w:tab/>
            </w:r>
            <w:r>
              <w:fldChar w:fldCharType="begin"/>
            </w:r>
            <w:r>
              <w:instrText xml:space="preserve"> PAGEREF _Toc185598851 \h </w:instrText>
            </w:r>
            <w:r>
              <w:fldChar w:fldCharType="separate"/>
            </w:r>
            <w:r w:rsidR="005D7C90">
              <w:rPr>
                <w:noProof/>
              </w:rPr>
              <w:t>17</w:t>
            </w:r>
            <w:r>
              <w:fldChar w:fldCharType="end"/>
            </w:r>
          </w:hyperlink>
        </w:p>
        <w:p w14:paraId="1C6DFE1B" w14:textId="3A302C63" w:rsidR="006B4107" w:rsidRDefault="004E70C7">
          <w:pPr>
            <w:pStyle w:val="TOC2"/>
            <w:rPr>
              <w:rFonts w:asciiTheme="minorHAnsi" w:eastAsiaTheme="minorEastAsia" w:hAnsiTheme="minorHAnsi" w:cstheme="minorBidi"/>
              <w:sz w:val="21"/>
            </w:rPr>
          </w:pPr>
          <w:hyperlink w:anchor="_Toc185598852" w:history="1">
            <w:r>
              <w:rPr>
                <w:rStyle w:val="affa"/>
                <w:rFonts w:ascii="Arial Narrow" w:eastAsia="仿宋_GB2312" w:hAnsi="Arial Narrow"/>
              </w:rPr>
              <w:t>4.7</w:t>
            </w:r>
            <w:r>
              <w:rPr>
                <w:rFonts w:asciiTheme="minorHAnsi" w:eastAsiaTheme="minorEastAsia" w:hAnsiTheme="minorHAnsi" w:cstheme="minorBidi"/>
                <w:sz w:val="21"/>
              </w:rPr>
              <w:tab/>
            </w:r>
            <w:r>
              <w:rPr>
                <w:rStyle w:val="affa"/>
                <w:rFonts w:ascii="Arial Narrow" w:eastAsia="仿宋_GB2312" w:hAnsi="Arial Narrow" w:cs="楷体"/>
              </w:rPr>
              <w:t>关联交易财务状况</w:t>
            </w:r>
            <w:r>
              <w:tab/>
            </w:r>
            <w:r>
              <w:fldChar w:fldCharType="begin"/>
            </w:r>
            <w:r>
              <w:instrText xml:space="preserve"> PAGEREF _Toc185598852 \h </w:instrText>
            </w:r>
            <w:r>
              <w:fldChar w:fldCharType="separate"/>
            </w:r>
            <w:r w:rsidR="005D7C90">
              <w:rPr>
                <w:noProof/>
              </w:rPr>
              <w:t>17</w:t>
            </w:r>
            <w:r>
              <w:fldChar w:fldCharType="end"/>
            </w:r>
          </w:hyperlink>
        </w:p>
        <w:p w14:paraId="42BA05BC" w14:textId="21F08D20" w:rsidR="006B4107" w:rsidRDefault="004E70C7">
          <w:pPr>
            <w:pStyle w:val="TOC2"/>
            <w:rPr>
              <w:rFonts w:asciiTheme="minorHAnsi" w:eastAsiaTheme="minorEastAsia" w:hAnsiTheme="minorHAnsi" w:cstheme="minorBidi"/>
              <w:sz w:val="21"/>
            </w:rPr>
          </w:pPr>
          <w:hyperlink w:anchor="_Toc185598853" w:history="1">
            <w:r>
              <w:rPr>
                <w:rStyle w:val="affa"/>
                <w:rFonts w:ascii="Arial Narrow" w:eastAsia="仿宋_GB2312" w:hAnsi="Arial Narrow" w:cs="楷体"/>
              </w:rPr>
              <w:t>4.8</w:t>
            </w:r>
            <w:r>
              <w:rPr>
                <w:rFonts w:asciiTheme="minorHAnsi" w:eastAsiaTheme="minorEastAsia" w:hAnsiTheme="minorHAnsi" w:cstheme="minorBidi"/>
                <w:sz w:val="21"/>
              </w:rPr>
              <w:tab/>
            </w:r>
            <w:r>
              <w:rPr>
                <w:rStyle w:val="affa"/>
                <w:rFonts w:ascii="Arial Narrow" w:eastAsia="仿宋_GB2312" w:hAnsi="Arial Narrow" w:cs="楷体"/>
              </w:rPr>
              <w:t>结论</w:t>
            </w:r>
            <w:r>
              <w:tab/>
            </w:r>
            <w:r>
              <w:fldChar w:fldCharType="begin"/>
            </w:r>
            <w:r>
              <w:instrText xml:space="preserve"> PAGEREF _Toc185598853 \h </w:instrText>
            </w:r>
            <w:r>
              <w:fldChar w:fldCharType="separate"/>
            </w:r>
            <w:r w:rsidR="005D7C90">
              <w:rPr>
                <w:noProof/>
              </w:rPr>
              <w:t>18</w:t>
            </w:r>
            <w:r>
              <w:fldChar w:fldCharType="end"/>
            </w:r>
          </w:hyperlink>
        </w:p>
        <w:p w14:paraId="757AD26A" w14:textId="7D9EC830" w:rsidR="006B4107" w:rsidRDefault="004E70C7">
          <w:pPr>
            <w:pStyle w:val="TOC1"/>
            <w:rPr>
              <w:rFonts w:asciiTheme="minorHAnsi" w:eastAsiaTheme="minorEastAsia" w:hAnsiTheme="minorHAnsi" w:cstheme="minorBidi"/>
              <w:bCs w:val="0"/>
              <w:caps w:val="0"/>
              <w:sz w:val="21"/>
              <w:szCs w:val="22"/>
            </w:rPr>
          </w:pPr>
          <w:hyperlink w:anchor="_Toc185598854" w:history="1">
            <w:r>
              <w:rPr>
                <w:rStyle w:val="affa"/>
                <w:rFonts w:ascii="Arial Narrow" w:eastAsia="仿宋_GB2312" w:hAnsi="Arial Narrow"/>
              </w:rPr>
              <w:t>5.</w:t>
            </w:r>
            <w:r>
              <w:rPr>
                <w:rFonts w:asciiTheme="minorHAnsi" w:eastAsiaTheme="minorEastAsia" w:hAnsiTheme="minorHAnsi" w:cstheme="minorBidi"/>
                <w:bCs w:val="0"/>
                <w:caps w:val="0"/>
                <w:sz w:val="21"/>
                <w:szCs w:val="22"/>
              </w:rPr>
              <w:tab/>
            </w:r>
            <w:r>
              <w:rPr>
                <w:rStyle w:val="affa"/>
                <w:rFonts w:ascii="Arial Narrow" w:eastAsia="仿宋_GB2312" w:hAnsi="Arial Narrow" w:cs="Arial Unicode MS"/>
              </w:rPr>
              <w:t>功能和风险分析</w:t>
            </w:r>
            <w:r>
              <w:tab/>
            </w:r>
            <w:r>
              <w:fldChar w:fldCharType="begin"/>
            </w:r>
            <w:r>
              <w:instrText xml:space="preserve"> PAGEREF _Toc185598854 \h </w:instrText>
            </w:r>
            <w:r>
              <w:fldChar w:fldCharType="separate"/>
            </w:r>
            <w:r w:rsidR="005D7C90">
              <w:rPr>
                <w:noProof/>
              </w:rPr>
              <w:t>19</w:t>
            </w:r>
            <w:r>
              <w:fldChar w:fldCharType="end"/>
            </w:r>
          </w:hyperlink>
        </w:p>
        <w:p w14:paraId="03E7138A" w14:textId="0217714B" w:rsidR="006B4107" w:rsidRDefault="004E70C7">
          <w:pPr>
            <w:pStyle w:val="TOC2"/>
            <w:rPr>
              <w:rFonts w:asciiTheme="minorHAnsi" w:eastAsiaTheme="minorEastAsia" w:hAnsiTheme="minorHAnsi" w:cstheme="minorBidi"/>
              <w:sz w:val="21"/>
            </w:rPr>
          </w:pPr>
          <w:hyperlink w:anchor="_Toc185598855" w:history="1">
            <w:r>
              <w:rPr>
                <w:rStyle w:val="affa"/>
                <w:rFonts w:ascii="Arial Narrow" w:eastAsia="仿宋_GB2312" w:hAnsi="Arial Narrow"/>
              </w:rPr>
              <w:t>5.1</w:t>
            </w:r>
            <w:r>
              <w:rPr>
                <w:rFonts w:asciiTheme="minorHAnsi" w:eastAsiaTheme="minorEastAsia" w:hAnsiTheme="minorHAnsi" w:cstheme="minorBidi"/>
                <w:sz w:val="21"/>
              </w:rPr>
              <w:tab/>
            </w:r>
            <w:r>
              <w:rPr>
                <w:rStyle w:val="affa"/>
                <w:rFonts w:ascii="Arial Narrow" w:eastAsia="仿宋_GB2312" w:hAnsi="Arial Narrow" w:cs="楷体"/>
              </w:rPr>
              <w:t>简介</w:t>
            </w:r>
            <w:r>
              <w:tab/>
            </w:r>
            <w:r>
              <w:fldChar w:fldCharType="begin"/>
            </w:r>
            <w:r>
              <w:instrText xml:space="preserve"> PAGEREF _Toc185598855 \h </w:instrText>
            </w:r>
            <w:r>
              <w:fldChar w:fldCharType="separate"/>
            </w:r>
            <w:r w:rsidR="005D7C90">
              <w:rPr>
                <w:noProof/>
              </w:rPr>
              <w:t>19</w:t>
            </w:r>
            <w:r>
              <w:fldChar w:fldCharType="end"/>
            </w:r>
          </w:hyperlink>
        </w:p>
        <w:p w14:paraId="52E53F51" w14:textId="4468FBB3" w:rsidR="006B4107" w:rsidRDefault="004E70C7">
          <w:pPr>
            <w:pStyle w:val="TOC2"/>
            <w:rPr>
              <w:rFonts w:asciiTheme="minorHAnsi" w:eastAsiaTheme="minorEastAsia" w:hAnsiTheme="minorHAnsi" w:cstheme="minorBidi"/>
              <w:sz w:val="21"/>
            </w:rPr>
          </w:pPr>
          <w:hyperlink w:anchor="_Toc185598856" w:history="1">
            <w:r>
              <w:rPr>
                <w:rStyle w:val="affa"/>
                <w:rFonts w:ascii="Arial Narrow" w:eastAsia="仿宋_GB2312" w:hAnsi="Arial Narrow"/>
              </w:rPr>
              <w:t>5.2</w:t>
            </w:r>
            <w:r>
              <w:rPr>
                <w:rFonts w:asciiTheme="minorHAnsi" w:eastAsiaTheme="minorEastAsia" w:hAnsiTheme="minorHAnsi" w:cstheme="minorBidi"/>
                <w:sz w:val="21"/>
              </w:rPr>
              <w:tab/>
            </w:r>
            <w:r>
              <w:rPr>
                <w:rStyle w:val="affa"/>
                <w:rFonts w:ascii="Arial Narrow" w:eastAsia="仿宋_GB2312" w:hAnsi="Arial Narrow" w:cs="楷体"/>
              </w:rPr>
              <w:t>功能及风险分析</w:t>
            </w:r>
            <w:r>
              <w:tab/>
            </w:r>
            <w:r>
              <w:fldChar w:fldCharType="begin"/>
            </w:r>
            <w:r>
              <w:instrText xml:space="preserve"> PAGEREF _Toc185598856 \h </w:instrText>
            </w:r>
            <w:r>
              <w:fldChar w:fldCharType="separate"/>
            </w:r>
            <w:r w:rsidR="005D7C90">
              <w:rPr>
                <w:noProof/>
              </w:rPr>
              <w:t>19</w:t>
            </w:r>
            <w:r>
              <w:fldChar w:fldCharType="end"/>
            </w:r>
          </w:hyperlink>
        </w:p>
        <w:p w14:paraId="3FBAEA61" w14:textId="55FBC66D" w:rsidR="006B4107" w:rsidRDefault="004E70C7">
          <w:pPr>
            <w:pStyle w:val="TOC3"/>
            <w:rPr>
              <w:rFonts w:asciiTheme="minorHAnsi" w:eastAsiaTheme="minorEastAsia" w:hAnsiTheme="minorHAnsi" w:cstheme="minorBidi"/>
              <w:i w:val="0"/>
              <w:iCs w:val="0"/>
              <w:sz w:val="21"/>
            </w:rPr>
          </w:pPr>
          <w:hyperlink w:anchor="_Toc185598857" w:history="1">
            <w:r>
              <w:rPr>
                <w:rStyle w:val="affa"/>
                <w:rFonts w:ascii="Arial Narrow" w:hAnsi="Arial Narrow"/>
              </w:rPr>
              <w:t>5.2.1</w:t>
            </w:r>
            <w:r>
              <w:rPr>
                <w:rFonts w:asciiTheme="minorHAnsi" w:eastAsiaTheme="minorEastAsia" w:hAnsiTheme="minorHAnsi" w:cstheme="minorBidi"/>
                <w:i w:val="0"/>
                <w:iCs w:val="0"/>
                <w:sz w:val="21"/>
              </w:rPr>
              <w:tab/>
            </w:r>
            <w:r>
              <w:rPr>
                <w:rStyle w:val="affa"/>
                <w:rFonts w:ascii="Arial Narrow" w:hAnsi="Arial Narrow" w:cs="楷体"/>
              </w:rPr>
              <w:t>功能分析</w:t>
            </w:r>
            <w:r>
              <w:tab/>
            </w:r>
            <w:r>
              <w:fldChar w:fldCharType="begin"/>
            </w:r>
            <w:r>
              <w:instrText xml:space="preserve"> PAGEREF _Toc185598857 \h </w:instrText>
            </w:r>
            <w:r>
              <w:fldChar w:fldCharType="separate"/>
            </w:r>
            <w:r w:rsidR="005D7C90">
              <w:rPr>
                <w:noProof/>
              </w:rPr>
              <w:t>19</w:t>
            </w:r>
            <w:r>
              <w:fldChar w:fldCharType="end"/>
            </w:r>
          </w:hyperlink>
        </w:p>
        <w:p w14:paraId="00BE70EC" w14:textId="6A5CC307" w:rsidR="006B4107" w:rsidRDefault="004E70C7">
          <w:pPr>
            <w:pStyle w:val="TOC3"/>
            <w:rPr>
              <w:rFonts w:asciiTheme="minorHAnsi" w:eastAsiaTheme="minorEastAsia" w:hAnsiTheme="minorHAnsi" w:cstheme="minorBidi"/>
              <w:i w:val="0"/>
              <w:iCs w:val="0"/>
              <w:sz w:val="21"/>
            </w:rPr>
          </w:pPr>
          <w:hyperlink w:anchor="_Toc185598858" w:history="1">
            <w:r>
              <w:rPr>
                <w:rStyle w:val="affa"/>
                <w:rFonts w:ascii="Arial Narrow" w:hAnsi="Arial Narrow" w:cs="楷体"/>
              </w:rPr>
              <w:t>5.2.2</w:t>
            </w:r>
            <w:r>
              <w:rPr>
                <w:rFonts w:asciiTheme="minorHAnsi" w:eastAsiaTheme="minorEastAsia" w:hAnsiTheme="minorHAnsi" w:cstheme="minorBidi"/>
                <w:i w:val="0"/>
                <w:iCs w:val="0"/>
                <w:sz w:val="21"/>
              </w:rPr>
              <w:tab/>
            </w:r>
            <w:r>
              <w:rPr>
                <w:rStyle w:val="affa"/>
                <w:rFonts w:ascii="Arial Narrow" w:hAnsi="Arial Narrow" w:cs="楷体"/>
              </w:rPr>
              <w:t>风险分析</w:t>
            </w:r>
            <w:r>
              <w:tab/>
            </w:r>
            <w:r>
              <w:fldChar w:fldCharType="begin"/>
            </w:r>
            <w:r>
              <w:instrText xml:space="preserve"> PAGERE</w:instrText>
            </w:r>
            <w:r>
              <w:instrText xml:space="preserve">F _Toc185598858 \h </w:instrText>
            </w:r>
            <w:r>
              <w:fldChar w:fldCharType="separate"/>
            </w:r>
            <w:r w:rsidR="005D7C90">
              <w:rPr>
                <w:noProof/>
              </w:rPr>
              <w:t>20</w:t>
            </w:r>
            <w:r>
              <w:fldChar w:fldCharType="end"/>
            </w:r>
          </w:hyperlink>
        </w:p>
        <w:p w14:paraId="24FEAD82" w14:textId="7BDBA17A" w:rsidR="006B4107" w:rsidRDefault="004E70C7">
          <w:pPr>
            <w:pStyle w:val="TOC2"/>
            <w:rPr>
              <w:rFonts w:asciiTheme="minorHAnsi" w:eastAsiaTheme="minorEastAsia" w:hAnsiTheme="minorHAnsi" w:cstheme="minorBidi"/>
              <w:sz w:val="21"/>
            </w:rPr>
          </w:pPr>
          <w:hyperlink w:anchor="_Toc185598863" w:history="1">
            <w:r>
              <w:rPr>
                <w:rStyle w:val="affa"/>
                <w:rFonts w:ascii="Arial Narrow" w:eastAsia="仿宋_GB2312" w:hAnsi="Arial Narrow"/>
              </w:rPr>
              <w:t>5.3</w:t>
            </w:r>
            <w:r>
              <w:rPr>
                <w:rFonts w:asciiTheme="minorHAnsi" w:eastAsiaTheme="minorEastAsia" w:hAnsiTheme="minorHAnsi" w:cstheme="minorBidi"/>
                <w:sz w:val="21"/>
              </w:rPr>
              <w:tab/>
            </w:r>
            <w:r>
              <w:rPr>
                <w:rStyle w:val="affa"/>
                <w:rFonts w:ascii="Arial Narrow" w:eastAsia="仿宋_GB2312" w:hAnsi="Arial Narrow" w:cs="楷体"/>
              </w:rPr>
              <w:t>资产分析</w:t>
            </w:r>
            <w:r>
              <w:tab/>
            </w:r>
            <w:r>
              <w:fldChar w:fldCharType="begin"/>
            </w:r>
            <w:r>
              <w:instrText xml:space="preserve"> PAGEREF _Toc185598863 \h </w:instrText>
            </w:r>
            <w:r>
              <w:fldChar w:fldCharType="separate"/>
            </w:r>
            <w:r w:rsidR="005D7C90">
              <w:rPr>
                <w:noProof/>
              </w:rPr>
              <w:t>21</w:t>
            </w:r>
            <w:r>
              <w:fldChar w:fldCharType="end"/>
            </w:r>
          </w:hyperlink>
        </w:p>
        <w:p w14:paraId="5953084D" w14:textId="1CAACC61" w:rsidR="006B4107" w:rsidRDefault="004E70C7">
          <w:pPr>
            <w:pStyle w:val="TOC3"/>
            <w:rPr>
              <w:rFonts w:asciiTheme="minorHAnsi" w:eastAsiaTheme="minorEastAsia" w:hAnsiTheme="minorHAnsi" w:cstheme="minorBidi"/>
              <w:i w:val="0"/>
              <w:iCs w:val="0"/>
              <w:sz w:val="21"/>
            </w:rPr>
          </w:pPr>
          <w:hyperlink w:anchor="_Toc185598864" w:history="1">
            <w:r>
              <w:rPr>
                <w:rStyle w:val="affa"/>
                <w:rFonts w:ascii="Arial Narrow" w:hAnsi="Arial Narrow"/>
              </w:rPr>
              <w:t>5.3.1</w:t>
            </w:r>
            <w:r>
              <w:rPr>
                <w:rFonts w:asciiTheme="minorHAnsi" w:eastAsiaTheme="minorEastAsia" w:hAnsiTheme="minorHAnsi" w:cstheme="minorBidi"/>
                <w:i w:val="0"/>
                <w:iCs w:val="0"/>
                <w:sz w:val="21"/>
              </w:rPr>
              <w:tab/>
            </w:r>
            <w:r>
              <w:rPr>
                <w:rStyle w:val="affa"/>
                <w:rFonts w:ascii="Arial Narrow" w:hAnsi="Arial Narrow"/>
              </w:rPr>
              <w:t>有形资产</w:t>
            </w:r>
            <w:r>
              <w:tab/>
            </w:r>
            <w:r>
              <w:fldChar w:fldCharType="begin"/>
            </w:r>
            <w:r>
              <w:instrText xml:space="preserve"> PAGEREF _Toc185598864 \h </w:instrText>
            </w:r>
            <w:r>
              <w:fldChar w:fldCharType="separate"/>
            </w:r>
            <w:r w:rsidR="005D7C90">
              <w:rPr>
                <w:noProof/>
              </w:rPr>
              <w:t>22</w:t>
            </w:r>
            <w:r>
              <w:fldChar w:fldCharType="end"/>
            </w:r>
          </w:hyperlink>
        </w:p>
        <w:p w14:paraId="61726087" w14:textId="50F57042" w:rsidR="006B4107" w:rsidRDefault="004E70C7">
          <w:pPr>
            <w:pStyle w:val="TOC3"/>
            <w:rPr>
              <w:rFonts w:asciiTheme="minorHAnsi" w:eastAsiaTheme="minorEastAsia" w:hAnsiTheme="minorHAnsi" w:cstheme="minorBidi"/>
              <w:i w:val="0"/>
              <w:iCs w:val="0"/>
              <w:sz w:val="21"/>
            </w:rPr>
          </w:pPr>
          <w:hyperlink w:anchor="_Toc185598865" w:history="1">
            <w:r>
              <w:rPr>
                <w:rStyle w:val="affa"/>
                <w:rFonts w:ascii="Arial Narrow" w:hAnsi="Arial Narrow"/>
              </w:rPr>
              <w:t>5.3.2</w:t>
            </w:r>
            <w:r>
              <w:rPr>
                <w:rFonts w:asciiTheme="minorHAnsi" w:eastAsiaTheme="minorEastAsia" w:hAnsiTheme="minorHAnsi" w:cstheme="minorBidi"/>
                <w:i w:val="0"/>
                <w:iCs w:val="0"/>
                <w:sz w:val="21"/>
              </w:rPr>
              <w:tab/>
            </w:r>
            <w:r>
              <w:rPr>
                <w:rStyle w:val="affa"/>
                <w:rFonts w:ascii="Arial Narrow" w:hAnsi="Arial Narrow"/>
              </w:rPr>
              <w:t>无形资产</w:t>
            </w:r>
            <w:r>
              <w:tab/>
            </w:r>
            <w:r>
              <w:fldChar w:fldCharType="begin"/>
            </w:r>
            <w:r>
              <w:instrText xml:space="preserve"> PAGEREF _Toc185598865 \h </w:instrText>
            </w:r>
            <w:r>
              <w:fldChar w:fldCharType="separate"/>
            </w:r>
            <w:r w:rsidR="005D7C90">
              <w:rPr>
                <w:noProof/>
              </w:rPr>
              <w:t>22</w:t>
            </w:r>
            <w:r>
              <w:fldChar w:fldCharType="end"/>
            </w:r>
          </w:hyperlink>
        </w:p>
        <w:p w14:paraId="7BEE086F" w14:textId="29D5BA96" w:rsidR="006B4107" w:rsidRDefault="004E70C7">
          <w:pPr>
            <w:pStyle w:val="TOC2"/>
            <w:rPr>
              <w:rFonts w:asciiTheme="minorHAnsi" w:eastAsiaTheme="minorEastAsia" w:hAnsiTheme="minorHAnsi" w:cstheme="minorBidi"/>
              <w:sz w:val="21"/>
            </w:rPr>
          </w:pPr>
          <w:hyperlink w:anchor="_Toc185598866" w:history="1">
            <w:r>
              <w:rPr>
                <w:rStyle w:val="affa"/>
                <w:rFonts w:ascii="Arial Narrow" w:eastAsia="仿宋_GB2312" w:hAnsi="Arial Narrow"/>
              </w:rPr>
              <w:t>5.4</w:t>
            </w:r>
            <w:r>
              <w:rPr>
                <w:rFonts w:asciiTheme="minorHAnsi" w:eastAsiaTheme="minorEastAsia" w:hAnsiTheme="minorHAnsi" w:cstheme="minorBidi"/>
                <w:sz w:val="21"/>
              </w:rPr>
              <w:tab/>
            </w:r>
            <w:r>
              <w:rPr>
                <w:rStyle w:val="affa"/>
                <w:rFonts w:ascii="Arial Narrow" w:eastAsia="仿宋_GB2312" w:hAnsi="Arial Narrow"/>
              </w:rPr>
              <w:t>小结</w:t>
            </w:r>
            <w:r>
              <w:tab/>
            </w:r>
            <w:r>
              <w:fldChar w:fldCharType="begin"/>
            </w:r>
            <w:r>
              <w:instrText xml:space="preserve"> PAGEREF _Toc185598866 \h </w:instrText>
            </w:r>
            <w:r>
              <w:fldChar w:fldCharType="separate"/>
            </w:r>
            <w:r w:rsidR="005D7C90">
              <w:rPr>
                <w:noProof/>
              </w:rPr>
              <w:t>23</w:t>
            </w:r>
            <w:r>
              <w:fldChar w:fldCharType="end"/>
            </w:r>
          </w:hyperlink>
        </w:p>
        <w:p w14:paraId="75C69204" w14:textId="1D06EDE2" w:rsidR="006B4107" w:rsidRDefault="004E70C7">
          <w:pPr>
            <w:pStyle w:val="TOC1"/>
            <w:rPr>
              <w:rFonts w:asciiTheme="minorHAnsi" w:eastAsiaTheme="minorEastAsia" w:hAnsiTheme="minorHAnsi" w:cstheme="minorBidi"/>
              <w:bCs w:val="0"/>
              <w:caps w:val="0"/>
              <w:sz w:val="21"/>
              <w:szCs w:val="22"/>
            </w:rPr>
          </w:pPr>
          <w:hyperlink w:anchor="_Toc185598867" w:history="1">
            <w:r>
              <w:rPr>
                <w:rStyle w:val="affa"/>
                <w:rFonts w:ascii="Arial Narrow" w:eastAsia="仿宋_GB2312" w:hAnsi="Arial Narrow"/>
              </w:rPr>
              <w:t>6.</w:t>
            </w:r>
            <w:r>
              <w:rPr>
                <w:rFonts w:asciiTheme="minorHAnsi" w:eastAsiaTheme="minorEastAsia" w:hAnsiTheme="minorHAnsi" w:cstheme="minorBidi"/>
                <w:bCs w:val="0"/>
                <w:caps w:val="0"/>
                <w:sz w:val="21"/>
                <w:szCs w:val="22"/>
              </w:rPr>
              <w:tab/>
            </w:r>
            <w:r>
              <w:rPr>
                <w:rStyle w:val="affa"/>
                <w:rFonts w:ascii="Arial Narrow" w:eastAsia="仿宋_GB2312" w:hAnsi="Arial Narrow"/>
              </w:rPr>
              <w:t>价值链分析</w:t>
            </w:r>
            <w:r>
              <w:tab/>
            </w:r>
            <w:r>
              <w:fldChar w:fldCharType="begin"/>
            </w:r>
            <w:r>
              <w:instrText xml:space="preserve"> PAGEREF _Toc</w:instrText>
            </w:r>
            <w:r>
              <w:instrText xml:space="preserve">185598867 \h </w:instrText>
            </w:r>
            <w:r>
              <w:fldChar w:fldCharType="separate"/>
            </w:r>
            <w:r w:rsidR="005D7C90">
              <w:rPr>
                <w:noProof/>
              </w:rPr>
              <w:t>24</w:t>
            </w:r>
            <w:r>
              <w:fldChar w:fldCharType="end"/>
            </w:r>
          </w:hyperlink>
        </w:p>
        <w:p w14:paraId="5DDCA1DB" w14:textId="21302818" w:rsidR="006B4107" w:rsidRDefault="004E70C7">
          <w:pPr>
            <w:pStyle w:val="TOC2"/>
            <w:rPr>
              <w:rFonts w:asciiTheme="minorHAnsi" w:eastAsiaTheme="minorEastAsia" w:hAnsiTheme="minorHAnsi" w:cstheme="minorBidi"/>
              <w:sz w:val="21"/>
            </w:rPr>
          </w:pPr>
          <w:hyperlink w:anchor="_Toc185598868" w:history="1">
            <w:r>
              <w:rPr>
                <w:rStyle w:val="affa"/>
                <w:rFonts w:ascii="Arial Narrow" w:eastAsia="仿宋_GB2312" w:hAnsi="Arial Narrow"/>
              </w:rPr>
              <w:t>6.1</w:t>
            </w:r>
            <w:r>
              <w:rPr>
                <w:rFonts w:asciiTheme="minorHAnsi" w:eastAsiaTheme="minorEastAsia" w:hAnsiTheme="minorHAnsi" w:cstheme="minorBidi"/>
                <w:sz w:val="21"/>
              </w:rPr>
              <w:tab/>
            </w:r>
            <w:r>
              <w:rPr>
                <w:rStyle w:val="affa"/>
                <w:rFonts w:ascii="Arial Narrow" w:eastAsia="仿宋_GB2312" w:hAnsi="Arial Narrow" w:cs="楷体"/>
              </w:rPr>
              <w:t>确定关键价值驱动因素</w:t>
            </w:r>
            <w:r>
              <w:tab/>
            </w:r>
            <w:r>
              <w:fldChar w:fldCharType="begin"/>
            </w:r>
            <w:r>
              <w:instrText xml:space="preserve"> PAGEREF _Toc185598868 \h </w:instrText>
            </w:r>
            <w:r>
              <w:fldChar w:fldCharType="separate"/>
            </w:r>
            <w:r w:rsidR="005D7C90">
              <w:rPr>
                <w:noProof/>
              </w:rPr>
              <w:t>24</w:t>
            </w:r>
            <w:r>
              <w:fldChar w:fldCharType="end"/>
            </w:r>
          </w:hyperlink>
        </w:p>
        <w:p w14:paraId="743A38E1" w14:textId="4F3D983B" w:rsidR="006B4107" w:rsidRDefault="004E70C7">
          <w:pPr>
            <w:pStyle w:val="TOC2"/>
            <w:rPr>
              <w:rFonts w:asciiTheme="minorHAnsi" w:eastAsiaTheme="minorEastAsia" w:hAnsiTheme="minorHAnsi" w:cstheme="minorBidi"/>
              <w:sz w:val="21"/>
            </w:rPr>
          </w:pPr>
          <w:hyperlink w:anchor="_Toc185598869" w:history="1">
            <w:r>
              <w:rPr>
                <w:rStyle w:val="affa"/>
                <w:rFonts w:ascii="Arial Narrow" w:eastAsia="仿宋_GB2312" w:hAnsi="Arial Narrow"/>
              </w:rPr>
              <w:t>6.2</w:t>
            </w:r>
            <w:r>
              <w:rPr>
                <w:rFonts w:asciiTheme="minorHAnsi" w:eastAsiaTheme="minorEastAsia" w:hAnsiTheme="minorHAnsi" w:cstheme="minorBidi"/>
                <w:sz w:val="21"/>
              </w:rPr>
              <w:tab/>
            </w:r>
            <w:r>
              <w:rPr>
                <w:rStyle w:val="affa"/>
                <w:rFonts w:ascii="Arial Narrow" w:eastAsia="仿宋_GB2312" w:hAnsi="Arial Narrow" w:cs="楷体"/>
              </w:rPr>
              <w:t>集团价值链</w:t>
            </w:r>
            <w:r>
              <w:tab/>
            </w:r>
            <w:r>
              <w:fldChar w:fldCharType="begin"/>
            </w:r>
            <w:r>
              <w:instrText xml:space="preserve"> PAGEREF _Toc185598869 \h </w:instrText>
            </w:r>
            <w:r>
              <w:fldChar w:fldCharType="separate"/>
            </w:r>
            <w:r w:rsidR="005D7C90">
              <w:rPr>
                <w:noProof/>
              </w:rPr>
              <w:t>25</w:t>
            </w:r>
            <w:r>
              <w:fldChar w:fldCharType="end"/>
            </w:r>
          </w:hyperlink>
        </w:p>
        <w:p w14:paraId="78A50646" w14:textId="4681C9AF" w:rsidR="006B4107" w:rsidRDefault="004E70C7">
          <w:pPr>
            <w:pStyle w:val="TOC2"/>
            <w:rPr>
              <w:rFonts w:asciiTheme="minorHAnsi" w:eastAsiaTheme="minorEastAsia" w:hAnsiTheme="minorHAnsi" w:cstheme="minorBidi"/>
              <w:sz w:val="21"/>
            </w:rPr>
          </w:pPr>
          <w:hyperlink w:anchor="_Toc185598870" w:history="1">
            <w:r>
              <w:rPr>
                <w:rStyle w:val="affa"/>
                <w:rFonts w:ascii="Arial Narrow" w:eastAsia="仿宋_GB2312" w:hAnsi="Arial Narrow"/>
              </w:rPr>
              <w:t>6.3</w:t>
            </w:r>
            <w:r>
              <w:rPr>
                <w:rFonts w:asciiTheme="minorHAnsi" w:eastAsiaTheme="minorEastAsia" w:hAnsiTheme="minorHAnsi" w:cstheme="minorBidi"/>
                <w:sz w:val="21"/>
              </w:rPr>
              <w:tab/>
            </w:r>
            <w:r>
              <w:rPr>
                <w:rStyle w:val="affa"/>
                <w:rFonts w:ascii="Arial Narrow" w:eastAsia="仿宋_GB2312" w:hAnsi="Arial Narrow" w:cs="楷体"/>
              </w:rPr>
              <w:t>交易定价影响要素</w:t>
            </w:r>
            <w:r>
              <w:tab/>
            </w:r>
            <w:r>
              <w:fldChar w:fldCharType="begin"/>
            </w:r>
            <w:r>
              <w:instrText xml:space="preserve"> PAGEREF _Toc185598870 \h </w:instrText>
            </w:r>
            <w:r>
              <w:fldChar w:fldCharType="separate"/>
            </w:r>
            <w:r w:rsidR="005D7C90">
              <w:rPr>
                <w:noProof/>
              </w:rPr>
              <w:t>26</w:t>
            </w:r>
            <w:r>
              <w:fldChar w:fldCharType="end"/>
            </w:r>
          </w:hyperlink>
        </w:p>
        <w:p w14:paraId="6DEE930E" w14:textId="68023C79" w:rsidR="006B4107" w:rsidRDefault="004E70C7">
          <w:pPr>
            <w:pStyle w:val="TOC3"/>
            <w:rPr>
              <w:rFonts w:asciiTheme="minorHAnsi" w:eastAsiaTheme="minorEastAsia" w:hAnsiTheme="minorHAnsi" w:cstheme="minorBidi"/>
              <w:i w:val="0"/>
              <w:iCs w:val="0"/>
              <w:sz w:val="21"/>
            </w:rPr>
          </w:pPr>
          <w:hyperlink w:anchor="_Toc185598871" w:history="1">
            <w:r>
              <w:rPr>
                <w:rStyle w:val="affa"/>
                <w:rFonts w:ascii="Arial Narrow" w:hAnsi="Arial Narrow"/>
              </w:rPr>
              <w:t>6.3.1</w:t>
            </w:r>
            <w:r>
              <w:rPr>
                <w:rFonts w:asciiTheme="minorHAnsi" w:eastAsiaTheme="minorEastAsia" w:hAnsiTheme="minorHAnsi" w:cstheme="minorBidi"/>
                <w:i w:val="0"/>
                <w:iCs w:val="0"/>
                <w:sz w:val="21"/>
              </w:rPr>
              <w:tab/>
            </w:r>
            <w:r>
              <w:rPr>
                <w:rStyle w:val="affa"/>
                <w:rFonts w:ascii="Arial Narrow" w:hAnsi="Arial Narrow" w:cs="楷体"/>
              </w:rPr>
              <w:t>劳动力成本节约</w:t>
            </w:r>
            <w:r>
              <w:tab/>
            </w:r>
            <w:r>
              <w:fldChar w:fldCharType="begin"/>
            </w:r>
            <w:r>
              <w:instrText xml:space="preserve"> PAGEREF _Toc185598871 \h </w:instrText>
            </w:r>
            <w:r>
              <w:fldChar w:fldCharType="separate"/>
            </w:r>
            <w:r w:rsidR="005D7C90">
              <w:rPr>
                <w:noProof/>
              </w:rPr>
              <w:t>27</w:t>
            </w:r>
            <w:r>
              <w:fldChar w:fldCharType="end"/>
            </w:r>
          </w:hyperlink>
        </w:p>
        <w:p w14:paraId="748C6204" w14:textId="25BE0C20" w:rsidR="006B4107" w:rsidRDefault="004E70C7">
          <w:pPr>
            <w:pStyle w:val="TOC3"/>
            <w:rPr>
              <w:rFonts w:asciiTheme="minorHAnsi" w:eastAsiaTheme="minorEastAsia" w:hAnsiTheme="minorHAnsi" w:cstheme="minorBidi"/>
              <w:i w:val="0"/>
              <w:iCs w:val="0"/>
              <w:sz w:val="21"/>
            </w:rPr>
          </w:pPr>
          <w:hyperlink w:anchor="_Toc185598872" w:history="1">
            <w:r>
              <w:rPr>
                <w:rStyle w:val="affa"/>
                <w:rFonts w:ascii="Arial Narrow" w:hAnsi="Arial Narrow"/>
              </w:rPr>
              <w:t>6.3.2</w:t>
            </w:r>
            <w:r>
              <w:rPr>
                <w:rFonts w:asciiTheme="minorHAnsi" w:eastAsiaTheme="minorEastAsia" w:hAnsiTheme="minorHAnsi" w:cstheme="minorBidi"/>
                <w:i w:val="0"/>
                <w:iCs w:val="0"/>
                <w:sz w:val="21"/>
              </w:rPr>
              <w:tab/>
            </w:r>
            <w:r>
              <w:rPr>
                <w:rStyle w:val="affa"/>
                <w:rFonts w:ascii="Arial Narrow" w:hAnsi="Arial Narrow" w:cs="楷体"/>
              </w:rPr>
              <w:t>市场溢价</w:t>
            </w:r>
            <w:r>
              <w:tab/>
            </w:r>
            <w:r>
              <w:fldChar w:fldCharType="begin"/>
            </w:r>
            <w:r>
              <w:instrText xml:space="preserve"> PAGEREF _Toc185598872 \h </w:instrText>
            </w:r>
            <w:r>
              <w:fldChar w:fldCharType="separate"/>
            </w:r>
            <w:r w:rsidR="005D7C90">
              <w:rPr>
                <w:noProof/>
              </w:rPr>
              <w:t>28</w:t>
            </w:r>
            <w:r>
              <w:fldChar w:fldCharType="end"/>
            </w:r>
          </w:hyperlink>
        </w:p>
        <w:p w14:paraId="48991CE1" w14:textId="6F7E78EC" w:rsidR="006B4107" w:rsidRDefault="004E70C7">
          <w:pPr>
            <w:pStyle w:val="TOC2"/>
            <w:rPr>
              <w:rFonts w:asciiTheme="minorHAnsi" w:eastAsiaTheme="minorEastAsia" w:hAnsiTheme="minorHAnsi" w:cstheme="minorBidi"/>
              <w:sz w:val="21"/>
            </w:rPr>
          </w:pPr>
          <w:hyperlink w:anchor="_Toc185598873" w:history="1">
            <w:r>
              <w:rPr>
                <w:rStyle w:val="affa"/>
                <w:rFonts w:ascii="Arial Narrow" w:eastAsia="仿宋_GB2312" w:hAnsi="Arial Narrow"/>
              </w:rPr>
              <w:t>6.4</w:t>
            </w:r>
            <w:r>
              <w:rPr>
                <w:rFonts w:asciiTheme="minorHAnsi" w:eastAsiaTheme="minorEastAsia" w:hAnsiTheme="minorHAnsi" w:cstheme="minorBidi"/>
                <w:sz w:val="21"/>
              </w:rPr>
              <w:tab/>
            </w:r>
            <w:r>
              <w:rPr>
                <w:rStyle w:val="affa"/>
                <w:rFonts w:ascii="Arial Narrow" w:eastAsia="仿宋_GB2312" w:hAnsi="Arial Narrow" w:cs="楷体"/>
              </w:rPr>
              <w:t>价值链各参与方财务报表</w:t>
            </w:r>
            <w:r>
              <w:tab/>
            </w:r>
            <w:r>
              <w:fldChar w:fldCharType="begin"/>
            </w:r>
            <w:r>
              <w:instrText xml:space="preserve"> PAGEREF _Toc185598873 \h </w:instrText>
            </w:r>
            <w:r>
              <w:fldChar w:fldCharType="separate"/>
            </w:r>
            <w:r w:rsidR="005D7C90">
              <w:rPr>
                <w:noProof/>
              </w:rPr>
              <w:t>28</w:t>
            </w:r>
            <w:r>
              <w:fldChar w:fldCharType="end"/>
            </w:r>
          </w:hyperlink>
        </w:p>
        <w:p w14:paraId="34F5AD18" w14:textId="1AA2C7DE" w:rsidR="006B4107" w:rsidRDefault="004E70C7">
          <w:pPr>
            <w:pStyle w:val="TOC1"/>
            <w:rPr>
              <w:rFonts w:asciiTheme="minorHAnsi" w:eastAsiaTheme="minorEastAsia" w:hAnsiTheme="minorHAnsi" w:cstheme="minorBidi"/>
              <w:bCs w:val="0"/>
              <w:caps w:val="0"/>
              <w:sz w:val="21"/>
              <w:szCs w:val="22"/>
            </w:rPr>
          </w:pPr>
          <w:hyperlink w:anchor="_Toc185598874" w:history="1">
            <w:r>
              <w:rPr>
                <w:rStyle w:val="affa"/>
                <w:rFonts w:ascii="Arial Narrow" w:eastAsia="仿宋_GB2312" w:hAnsi="Arial Narrow"/>
              </w:rPr>
              <w:t>7.</w:t>
            </w:r>
            <w:r>
              <w:rPr>
                <w:rFonts w:asciiTheme="minorHAnsi" w:eastAsiaTheme="minorEastAsia" w:hAnsiTheme="minorHAnsi" w:cstheme="minorBidi"/>
                <w:bCs w:val="0"/>
                <w:caps w:val="0"/>
                <w:sz w:val="21"/>
                <w:szCs w:val="22"/>
              </w:rPr>
              <w:tab/>
            </w:r>
            <w:r>
              <w:rPr>
                <w:rStyle w:val="affa"/>
                <w:rFonts w:ascii="Arial Narrow" w:eastAsia="仿宋_GB2312" w:hAnsi="Arial Narrow" w:cs="Arial Unicode MS"/>
              </w:rPr>
              <w:t>可比性分析</w:t>
            </w:r>
            <w:r>
              <w:tab/>
            </w:r>
            <w:r>
              <w:fldChar w:fldCharType="begin"/>
            </w:r>
            <w:r>
              <w:instrText xml:space="preserve"> PAGEREF _Toc185598874 \h </w:instrText>
            </w:r>
            <w:r>
              <w:fldChar w:fldCharType="separate"/>
            </w:r>
            <w:r w:rsidR="005D7C90">
              <w:rPr>
                <w:noProof/>
              </w:rPr>
              <w:t>29</w:t>
            </w:r>
            <w:r>
              <w:fldChar w:fldCharType="end"/>
            </w:r>
          </w:hyperlink>
        </w:p>
        <w:p w14:paraId="4FFE44E3" w14:textId="5FE5F66C" w:rsidR="006B4107" w:rsidRDefault="004E70C7">
          <w:pPr>
            <w:pStyle w:val="TOC2"/>
            <w:rPr>
              <w:rFonts w:asciiTheme="minorHAnsi" w:eastAsiaTheme="minorEastAsia" w:hAnsiTheme="minorHAnsi" w:cstheme="minorBidi"/>
              <w:sz w:val="21"/>
            </w:rPr>
          </w:pPr>
          <w:hyperlink w:anchor="_Toc185598875" w:history="1">
            <w:r>
              <w:rPr>
                <w:rStyle w:val="affa"/>
                <w:rFonts w:ascii="Arial Narrow" w:eastAsia="仿宋_GB2312" w:hAnsi="Arial Narrow"/>
              </w:rPr>
              <w:t>7.1</w:t>
            </w:r>
            <w:r>
              <w:rPr>
                <w:rFonts w:asciiTheme="minorHAnsi" w:eastAsiaTheme="minorEastAsia" w:hAnsiTheme="minorHAnsi" w:cstheme="minorBidi"/>
                <w:sz w:val="21"/>
              </w:rPr>
              <w:tab/>
            </w:r>
            <w:r>
              <w:rPr>
                <w:rStyle w:val="affa"/>
                <w:rFonts w:ascii="Arial Narrow" w:eastAsia="仿宋_GB2312" w:hAnsi="Arial Narrow" w:cs="楷体"/>
              </w:rPr>
              <w:t>简介</w:t>
            </w:r>
            <w:r>
              <w:tab/>
            </w:r>
            <w:r>
              <w:fldChar w:fldCharType="begin"/>
            </w:r>
            <w:r>
              <w:instrText xml:space="preserve"> PAGEREF _Toc185598875 \h </w:instrText>
            </w:r>
            <w:r>
              <w:fldChar w:fldCharType="separate"/>
            </w:r>
            <w:r w:rsidR="005D7C90">
              <w:rPr>
                <w:noProof/>
              </w:rPr>
              <w:t>29</w:t>
            </w:r>
            <w:r>
              <w:fldChar w:fldCharType="end"/>
            </w:r>
          </w:hyperlink>
        </w:p>
        <w:p w14:paraId="68A5AA21" w14:textId="6120C9EF" w:rsidR="006B4107" w:rsidRDefault="004E70C7">
          <w:pPr>
            <w:pStyle w:val="TOC2"/>
            <w:rPr>
              <w:rFonts w:asciiTheme="minorHAnsi" w:eastAsiaTheme="minorEastAsia" w:hAnsiTheme="minorHAnsi" w:cstheme="minorBidi"/>
              <w:sz w:val="21"/>
            </w:rPr>
          </w:pPr>
          <w:hyperlink w:anchor="_Toc185598876" w:history="1">
            <w:r>
              <w:rPr>
                <w:rStyle w:val="affa"/>
                <w:rFonts w:ascii="Arial Narrow" w:eastAsia="仿宋_GB2312" w:hAnsi="Arial Narrow"/>
              </w:rPr>
              <w:t>7.2</w:t>
            </w:r>
            <w:r>
              <w:rPr>
                <w:rFonts w:asciiTheme="minorHAnsi" w:eastAsiaTheme="minorEastAsia" w:hAnsiTheme="minorHAnsi" w:cstheme="minorBidi"/>
                <w:sz w:val="21"/>
              </w:rPr>
              <w:tab/>
            </w:r>
            <w:r>
              <w:rPr>
                <w:rStyle w:val="affa"/>
                <w:rFonts w:ascii="Arial Narrow" w:eastAsia="仿宋_GB2312" w:hAnsi="Arial Narrow" w:cs="楷体"/>
              </w:rPr>
              <w:t>转让定价方法的选择</w:t>
            </w:r>
            <w:r>
              <w:tab/>
            </w:r>
            <w:r>
              <w:fldChar w:fldCharType="begin"/>
            </w:r>
            <w:r>
              <w:instrText xml:space="preserve"> PAGEREF _Toc185598876 \h </w:instrText>
            </w:r>
            <w:r>
              <w:fldChar w:fldCharType="separate"/>
            </w:r>
            <w:r w:rsidR="005D7C90">
              <w:rPr>
                <w:noProof/>
              </w:rPr>
              <w:t>29</w:t>
            </w:r>
            <w:r>
              <w:fldChar w:fldCharType="end"/>
            </w:r>
          </w:hyperlink>
        </w:p>
        <w:p w14:paraId="367CA2E2" w14:textId="250A4939" w:rsidR="006B4107" w:rsidRDefault="004E70C7">
          <w:pPr>
            <w:pStyle w:val="TOC2"/>
            <w:rPr>
              <w:rFonts w:asciiTheme="minorHAnsi" w:eastAsiaTheme="minorEastAsia" w:hAnsiTheme="minorHAnsi" w:cstheme="minorBidi"/>
              <w:sz w:val="21"/>
            </w:rPr>
          </w:pPr>
          <w:hyperlink w:anchor="_Toc185598877" w:history="1">
            <w:r>
              <w:rPr>
                <w:rStyle w:val="affa"/>
                <w:rFonts w:ascii="Arial Narrow" w:eastAsia="仿宋_GB2312" w:hAnsi="Arial Narrow"/>
              </w:rPr>
              <w:t>7.3</w:t>
            </w:r>
            <w:r>
              <w:rPr>
                <w:rFonts w:asciiTheme="minorHAnsi" w:eastAsiaTheme="minorEastAsia" w:hAnsiTheme="minorHAnsi" w:cstheme="minorBidi"/>
                <w:sz w:val="21"/>
              </w:rPr>
              <w:tab/>
            </w:r>
            <w:r>
              <w:rPr>
                <w:rStyle w:val="affa"/>
                <w:rFonts w:ascii="Arial Narrow" w:eastAsia="仿宋_GB2312" w:hAnsi="Arial Narrow" w:cs="楷体"/>
              </w:rPr>
              <w:t>验证对象的选择</w:t>
            </w:r>
            <w:r>
              <w:tab/>
            </w:r>
            <w:r>
              <w:fldChar w:fldCharType="begin"/>
            </w:r>
            <w:r>
              <w:instrText xml:space="preserve"> PAGEREF _Toc185598877 \h </w:instrText>
            </w:r>
            <w:r>
              <w:fldChar w:fldCharType="separate"/>
            </w:r>
            <w:r w:rsidR="005D7C90">
              <w:rPr>
                <w:noProof/>
              </w:rPr>
              <w:t>30</w:t>
            </w:r>
            <w:r>
              <w:fldChar w:fldCharType="end"/>
            </w:r>
          </w:hyperlink>
        </w:p>
        <w:p w14:paraId="66818B58" w14:textId="3F19DB2D" w:rsidR="006B4107" w:rsidRDefault="004E70C7">
          <w:pPr>
            <w:pStyle w:val="TOC2"/>
            <w:rPr>
              <w:rFonts w:asciiTheme="minorHAnsi" w:eastAsiaTheme="minorEastAsia" w:hAnsiTheme="minorHAnsi" w:cstheme="minorBidi"/>
              <w:sz w:val="21"/>
            </w:rPr>
          </w:pPr>
          <w:hyperlink w:anchor="_Toc185598878" w:history="1">
            <w:r>
              <w:rPr>
                <w:rStyle w:val="affa"/>
                <w:rFonts w:ascii="Arial Narrow" w:eastAsia="仿宋_GB2312" w:hAnsi="Arial Narrow"/>
              </w:rPr>
              <w:t>7.4</w:t>
            </w:r>
            <w:r>
              <w:rPr>
                <w:rFonts w:asciiTheme="minorHAnsi" w:eastAsiaTheme="minorEastAsia" w:hAnsiTheme="minorHAnsi" w:cstheme="minorBidi"/>
                <w:sz w:val="21"/>
              </w:rPr>
              <w:tab/>
            </w:r>
            <w:r>
              <w:rPr>
                <w:rStyle w:val="affa"/>
                <w:rFonts w:ascii="Arial Narrow" w:eastAsia="仿宋_GB2312" w:hAnsi="Arial Narrow" w:cs="楷体"/>
              </w:rPr>
              <w:t>转让定价方法的应用</w:t>
            </w:r>
            <w:r>
              <w:tab/>
            </w:r>
            <w:r>
              <w:fldChar w:fldCharType="begin"/>
            </w:r>
            <w:r>
              <w:instrText xml:space="preserve"> PAGEREF _Toc185598878 \h </w:instrText>
            </w:r>
            <w:r>
              <w:fldChar w:fldCharType="separate"/>
            </w:r>
            <w:r w:rsidR="005D7C90">
              <w:rPr>
                <w:noProof/>
              </w:rPr>
              <w:t>31</w:t>
            </w:r>
            <w:r>
              <w:fldChar w:fldCharType="end"/>
            </w:r>
          </w:hyperlink>
        </w:p>
        <w:p w14:paraId="12CBA79B" w14:textId="5E514A0B" w:rsidR="006B4107" w:rsidRDefault="004E70C7">
          <w:pPr>
            <w:pStyle w:val="TOC3"/>
            <w:rPr>
              <w:rFonts w:asciiTheme="minorHAnsi" w:eastAsiaTheme="minorEastAsia" w:hAnsiTheme="minorHAnsi" w:cstheme="minorBidi"/>
              <w:i w:val="0"/>
              <w:iCs w:val="0"/>
              <w:sz w:val="21"/>
            </w:rPr>
          </w:pPr>
          <w:hyperlink w:anchor="_Toc185598879" w:history="1">
            <w:r>
              <w:rPr>
                <w:rStyle w:val="affa"/>
                <w:rFonts w:ascii="Arial Narrow" w:hAnsi="Arial Narrow"/>
              </w:rPr>
              <w:t>7.4.1</w:t>
            </w:r>
            <w:r>
              <w:rPr>
                <w:rFonts w:asciiTheme="minorHAnsi" w:eastAsiaTheme="minorEastAsia" w:hAnsiTheme="minorHAnsi" w:cstheme="minorBidi"/>
                <w:i w:val="0"/>
                <w:iCs w:val="0"/>
                <w:sz w:val="21"/>
              </w:rPr>
              <w:tab/>
            </w:r>
            <w:r>
              <w:rPr>
                <w:rStyle w:val="affa"/>
                <w:rFonts w:ascii="Arial Narrow" w:hAnsi="Arial Narrow" w:cs="楷体"/>
              </w:rPr>
              <w:t>概述</w:t>
            </w:r>
            <w:r>
              <w:tab/>
            </w:r>
            <w:r>
              <w:fldChar w:fldCharType="begin"/>
            </w:r>
            <w:r>
              <w:instrText xml:space="preserve"> PAGEREF _Toc185598879 \h </w:instrText>
            </w:r>
            <w:r>
              <w:fldChar w:fldCharType="separate"/>
            </w:r>
            <w:r w:rsidR="005D7C90">
              <w:rPr>
                <w:noProof/>
              </w:rPr>
              <w:t>31</w:t>
            </w:r>
            <w:r>
              <w:fldChar w:fldCharType="end"/>
            </w:r>
          </w:hyperlink>
        </w:p>
        <w:p w14:paraId="29E9A9B8" w14:textId="5ED9D3BD" w:rsidR="006B4107" w:rsidRDefault="004E70C7">
          <w:pPr>
            <w:pStyle w:val="TOC3"/>
            <w:rPr>
              <w:rFonts w:asciiTheme="minorHAnsi" w:eastAsiaTheme="minorEastAsia" w:hAnsiTheme="minorHAnsi" w:cstheme="minorBidi"/>
              <w:i w:val="0"/>
              <w:iCs w:val="0"/>
              <w:sz w:val="21"/>
            </w:rPr>
          </w:pPr>
          <w:hyperlink w:anchor="_Toc185598880" w:history="1">
            <w:r>
              <w:rPr>
                <w:rStyle w:val="affa"/>
                <w:rFonts w:ascii="Arial Narrow" w:hAnsi="Arial Narrow"/>
              </w:rPr>
              <w:t>7.4.2</w:t>
            </w:r>
            <w:r>
              <w:rPr>
                <w:rFonts w:asciiTheme="minorHAnsi" w:eastAsiaTheme="minorEastAsia" w:hAnsiTheme="minorHAnsi" w:cstheme="minorBidi"/>
                <w:i w:val="0"/>
                <w:iCs w:val="0"/>
                <w:sz w:val="21"/>
              </w:rPr>
              <w:tab/>
            </w:r>
            <w:r>
              <w:rPr>
                <w:rStyle w:val="affa"/>
                <w:rFonts w:ascii="Arial Narrow" w:hAnsi="Arial Narrow" w:cs="楷体"/>
              </w:rPr>
              <w:t>确定与受测关联交易相关的财务数据</w:t>
            </w:r>
            <w:r>
              <w:tab/>
            </w:r>
            <w:r>
              <w:fldChar w:fldCharType="begin"/>
            </w:r>
            <w:r>
              <w:instrText xml:space="preserve"> PAGEREF _Toc185598880 \h </w:instrText>
            </w:r>
            <w:r>
              <w:fldChar w:fldCharType="separate"/>
            </w:r>
            <w:r w:rsidR="005D7C90">
              <w:rPr>
                <w:noProof/>
              </w:rPr>
              <w:t>31</w:t>
            </w:r>
            <w:r>
              <w:fldChar w:fldCharType="end"/>
            </w:r>
          </w:hyperlink>
        </w:p>
        <w:p w14:paraId="0420CB78" w14:textId="4F1108A6" w:rsidR="006B4107" w:rsidRDefault="004E70C7">
          <w:pPr>
            <w:pStyle w:val="TOC3"/>
            <w:rPr>
              <w:rFonts w:asciiTheme="minorHAnsi" w:eastAsiaTheme="minorEastAsia" w:hAnsiTheme="minorHAnsi" w:cstheme="minorBidi"/>
              <w:i w:val="0"/>
              <w:iCs w:val="0"/>
              <w:sz w:val="21"/>
            </w:rPr>
          </w:pPr>
          <w:hyperlink w:anchor="_Toc185598958" w:history="1">
            <w:r>
              <w:rPr>
                <w:rStyle w:val="affa"/>
                <w:rFonts w:ascii="Arial Narrow" w:hAnsi="Arial Narrow"/>
              </w:rPr>
              <w:t>7.4.3</w:t>
            </w:r>
            <w:r>
              <w:rPr>
                <w:rFonts w:asciiTheme="minorHAnsi" w:eastAsiaTheme="minorEastAsia" w:hAnsiTheme="minorHAnsi" w:cstheme="minorBidi"/>
                <w:i w:val="0"/>
                <w:iCs w:val="0"/>
                <w:sz w:val="21"/>
              </w:rPr>
              <w:tab/>
            </w:r>
            <w:r>
              <w:rPr>
                <w:rStyle w:val="affa"/>
                <w:rFonts w:ascii="Arial Narrow" w:hAnsi="Arial Narrow" w:cs="楷体"/>
              </w:rPr>
              <w:t>搜寻外部可比公司</w:t>
            </w:r>
            <w:r>
              <w:tab/>
            </w:r>
            <w:r>
              <w:fldChar w:fldCharType="begin"/>
            </w:r>
            <w:r>
              <w:instrText xml:space="preserve"> PAGEREF _Toc185598958 \h </w:instrText>
            </w:r>
            <w:r>
              <w:fldChar w:fldCharType="separate"/>
            </w:r>
            <w:r w:rsidR="005D7C90">
              <w:rPr>
                <w:noProof/>
              </w:rPr>
              <w:t>32</w:t>
            </w:r>
            <w:r>
              <w:fldChar w:fldCharType="end"/>
            </w:r>
          </w:hyperlink>
        </w:p>
        <w:p w14:paraId="792A62FA" w14:textId="34534CF4" w:rsidR="006B4107" w:rsidRDefault="004E70C7">
          <w:pPr>
            <w:pStyle w:val="TOC3"/>
            <w:rPr>
              <w:rFonts w:asciiTheme="minorHAnsi" w:eastAsiaTheme="minorEastAsia" w:hAnsiTheme="minorHAnsi" w:cstheme="minorBidi"/>
              <w:i w:val="0"/>
              <w:iCs w:val="0"/>
              <w:sz w:val="21"/>
            </w:rPr>
          </w:pPr>
          <w:hyperlink w:anchor="_Toc185598959" w:history="1">
            <w:r>
              <w:rPr>
                <w:rStyle w:val="affa"/>
                <w:rFonts w:ascii="Arial Narrow" w:hAnsi="Arial Narrow"/>
              </w:rPr>
              <w:t>7.4.4</w:t>
            </w:r>
            <w:r>
              <w:rPr>
                <w:rFonts w:asciiTheme="minorHAnsi" w:eastAsiaTheme="minorEastAsia" w:hAnsiTheme="minorHAnsi" w:cstheme="minorBidi"/>
                <w:i w:val="0"/>
                <w:iCs w:val="0"/>
                <w:sz w:val="21"/>
              </w:rPr>
              <w:tab/>
            </w:r>
            <w:r>
              <w:rPr>
                <w:rStyle w:val="affa"/>
                <w:rFonts w:ascii="Arial Narrow" w:hAnsi="Arial Narrow" w:cs="楷体"/>
              </w:rPr>
              <w:t>可比公司利润水平</w:t>
            </w:r>
            <w:r>
              <w:tab/>
            </w:r>
            <w:r>
              <w:fldChar w:fldCharType="begin"/>
            </w:r>
            <w:r>
              <w:instrText xml:space="preserve"> PAGEREF _Toc185598959 \h </w:instrText>
            </w:r>
            <w:r>
              <w:fldChar w:fldCharType="separate"/>
            </w:r>
            <w:r w:rsidR="005D7C90">
              <w:rPr>
                <w:noProof/>
              </w:rPr>
              <w:t>35</w:t>
            </w:r>
            <w:r>
              <w:fldChar w:fldCharType="end"/>
            </w:r>
          </w:hyperlink>
        </w:p>
        <w:p w14:paraId="6A240D59" w14:textId="1A23706D" w:rsidR="006B4107" w:rsidRDefault="004E70C7">
          <w:pPr>
            <w:pStyle w:val="TOC1"/>
            <w:rPr>
              <w:rFonts w:asciiTheme="minorHAnsi" w:eastAsiaTheme="minorEastAsia" w:hAnsiTheme="minorHAnsi" w:cstheme="minorBidi"/>
              <w:bCs w:val="0"/>
              <w:caps w:val="0"/>
              <w:sz w:val="21"/>
              <w:szCs w:val="22"/>
            </w:rPr>
          </w:pPr>
          <w:hyperlink w:anchor="_Toc185598960" w:history="1">
            <w:r>
              <w:rPr>
                <w:rStyle w:val="affa"/>
                <w:rFonts w:ascii="Arial Narrow" w:eastAsia="仿宋_GB2312" w:hAnsi="Arial Narrow"/>
              </w:rPr>
              <w:t>8.</w:t>
            </w:r>
            <w:r>
              <w:rPr>
                <w:rFonts w:asciiTheme="minorHAnsi" w:eastAsiaTheme="minorEastAsia" w:hAnsiTheme="minorHAnsi" w:cstheme="minorBidi"/>
                <w:bCs w:val="0"/>
                <w:caps w:val="0"/>
                <w:sz w:val="21"/>
                <w:szCs w:val="22"/>
              </w:rPr>
              <w:tab/>
            </w:r>
            <w:r>
              <w:rPr>
                <w:rStyle w:val="affa"/>
                <w:rFonts w:ascii="Arial Narrow" w:eastAsia="仿宋_GB2312" w:hAnsi="Arial Narrow"/>
              </w:rPr>
              <w:t>结论</w:t>
            </w:r>
            <w:r>
              <w:tab/>
            </w:r>
            <w:r>
              <w:fldChar w:fldCharType="begin"/>
            </w:r>
            <w:r>
              <w:instrText xml:space="preserve"> PAGEREF _Toc185598960 \h </w:instrText>
            </w:r>
            <w:r>
              <w:fldChar w:fldCharType="separate"/>
            </w:r>
            <w:r w:rsidR="005D7C90">
              <w:rPr>
                <w:noProof/>
              </w:rPr>
              <w:t>39</w:t>
            </w:r>
            <w:r>
              <w:fldChar w:fldCharType="end"/>
            </w:r>
          </w:hyperlink>
        </w:p>
        <w:p w14:paraId="04210B58" w14:textId="078B3081" w:rsidR="006B4107" w:rsidRDefault="004E70C7">
          <w:pPr>
            <w:pStyle w:val="TOC1"/>
            <w:rPr>
              <w:rFonts w:asciiTheme="minorHAnsi" w:eastAsiaTheme="minorEastAsia" w:hAnsiTheme="minorHAnsi" w:cstheme="minorBidi"/>
              <w:bCs w:val="0"/>
              <w:caps w:val="0"/>
              <w:sz w:val="21"/>
              <w:szCs w:val="22"/>
            </w:rPr>
          </w:pPr>
          <w:hyperlink w:anchor="_Toc185598961" w:history="1">
            <w:r>
              <w:rPr>
                <w:rStyle w:val="affa"/>
                <w:rFonts w:eastAsia="仿宋_GB2312" w:cs="Arial Unicode MS"/>
              </w:rPr>
              <w:t>附件列表</w:t>
            </w:r>
            <w:r>
              <w:tab/>
            </w:r>
            <w:r>
              <w:fldChar w:fldCharType="begin"/>
            </w:r>
            <w:r>
              <w:instrText xml:space="preserve"> PAGEREF _Toc185598961 \h </w:instrText>
            </w:r>
            <w:r>
              <w:fldChar w:fldCharType="separate"/>
            </w:r>
            <w:r w:rsidR="005D7C90">
              <w:rPr>
                <w:noProof/>
              </w:rPr>
              <w:t>40</w:t>
            </w:r>
            <w:r>
              <w:fldChar w:fldCharType="end"/>
            </w:r>
          </w:hyperlink>
        </w:p>
        <w:p w14:paraId="02BCD3B0" w14:textId="34FEBAC7" w:rsidR="006B4107" w:rsidRDefault="004E70C7">
          <w:pPr>
            <w:pStyle w:val="TOC1"/>
            <w:rPr>
              <w:rFonts w:asciiTheme="minorHAnsi" w:eastAsiaTheme="minorEastAsia" w:hAnsiTheme="minorHAnsi" w:cstheme="minorBidi"/>
              <w:bCs w:val="0"/>
              <w:caps w:val="0"/>
              <w:sz w:val="21"/>
              <w:szCs w:val="22"/>
            </w:rPr>
          </w:pPr>
          <w:hyperlink w:anchor="_Toc185598962" w:history="1">
            <w:r>
              <w:rPr>
                <w:rStyle w:val="affa"/>
                <w:rFonts w:eastAsia="仿宋_GB2312" w:cs="Arial Unicode MS"/>
              </w:rPr>
              <w:t>附件</w:t>
            </w:r>
            <w:r>
              <w:rPr>
                <w:rStyle w:val="affa"/>
                <w:rFonts w:eastAsia="仿宋_GB2312" w:cs="Arial Unicode MS"/>
              </w:rPr>
              <w:t xml:space="preserve">1 </w:t>
            </w:r>
            <w:r>
              <w:rPr>
                <w:rStyle w:val="affa"/>
                <w:rFonts w:eastAsia="仿宋_GB2312" w:cs="Arial Unicode MS"/>
              </w:rPr>
              <w:t>转让定价方法简介</w:t>
            </w:r>
            <w:r>
              <w:tab/>
            </w:r>
            <w:r>
              <w:fldChar w:fldCharType="begin"/>
            </w:r>
            <w:r>
              <w:instrText xml:space="preserve"> PAGEREF _Toc185598962 \h </w:instrText>
            </w:r>
            <w:r>
              <w:fldChar w:fldCharType="separate"/>
            </w:r>
            <w:r w:rsidR="005D7C90">
              <w:rPr>
                <w:noProof/>
              </w:rPr>
              <w:t>41</w:t>
            </w:r>
            <w:r>
              <w:fldChar w:fldCharType="end"/>
            </w:r>
          </w:hyperlink>
        </w:p>
        <w:p w14:paraId="2111BA91" w14:textId="41AE788B" w:rsidR="006B4107" w:rsidRDefault="004E70C7">
          <w:pPr>
            <w:pStyle w:val="TOC1"/>
            <w:rPr>
              <w:rFonts w:asciiTheme="minorHAnsi" w:eastAsiaTheme="minorEastAsia" w:hAnsiTheme="minorHAnsi" w:cstheme="minorBidi"/>
              <w:bCs w:val="0"/>
              <w:caps w:val="0"/>
              <w:sz w:val="21"/>
              <w:szCs w:val="22"/>
            </w:rPr>
          </w:pPr>
          <w:hyperlink w:anchor="_Toc185598963" w:history="1">
            <w:r>
              <w:rPr>
                <w:rStyle w:val="affa"/>
                <w:rFonts w:eastAsia="仿宋_GB2312" w:cs="Arial Unicode MS"/>
              </w:rPr>
              <w:t>附件</w:t>
            </w:r>
            <w:r>
              <w:rPr>
                <w:rStyle w:val="affa"/>
                <w:rFonts w:eastAsia="仿宋_GB2312" w:cs="Arial Unicode MS"/>
              </w:rPr>
              <w:t xml:space="preserve">2 </w:t>
            </w:r>
            <w:r>
              <w:rPr>
                <w:rStyle w:val="affa"/>
                <w:rFonts w:eastAsia="仿宋_GB2312" w:cs="Arial Unicode MS"/>
              </w:rPr>
              <w:t>企业年度关联交易财务状况</w:t>
            </w:r>
            <w:r>
              <w:rPr>
                <w:rStyle w:val="affa"/>
                <w:rFonts w:eastAsia="仿宋_GB2312" w:cs="Arial Unicode MS"/>
              </w:rPr>
              <w:t>分析表</w:t>
            </w:r>
            <w:r>
              <w:tab/>
            </w:r>
            <w:r>
              <w:fldChar w:fldCharType="begin"/>
            </w:r>
            <w:r>
              <w:instrText xml:space="preserve"> PAGEREF _Toc185598963 \h </w:instrText>
            </w:r>
            <w:r>
              <w:fldChar w:fldCharType="separate"/>
            </w:r>
            <w:r w:rsidR="005D7C90">
              <w:rPr>
                <w:noProof/>
              </w:rPr>
              <w:t>44</w:t>
            </w:r>
            <w:r>
              <w:fldChar w:fldCharType="end"/>
            </w:r>
          </w:hyperlink>
        </w:p>
        <w:p w14:paraId="402F05EC" w14:textId="5D231568" w:rsidR="006B4107" w:rsidRDefault="004E70C7">
          <w:pPr>
            <w:pStyle w:val="TOC1"/>
            <w:rPr>
              <w:rFonts w:asciiTheme="minorHAnsi" w:eastAsiaTheme="minorEastAsia" w:hAnsiTheme="minorHAnsi" w:cstheme="minorBidi"/>
              <w:bCs w:val="0"/>
              <w:caps w:val="0"/>
              <w:sz w:val="21"/>
              <w:szCs w:val="22"/>
            </w:rPr>
          </w:pPr>
          <w:hyperlink w:anchor="_Toc185598964" w:history="1">
            <w:r>
              <w:rPr>
                <w:rStyle w:val="affa"/>
                <w:rFonts w:eastAsia="仿宋_GB2312" w:cs="Arial Unicode MS"/>
              </w:rPr>
              <w:t>附件</w:t>
            </w:r>
            <w:r>
              <w:rPr>
                <w:rStyle w:val="affa"/>
                <w:rFonts w:eastAsia="仿宋_GB2312" w:cs="Arial Unicode MS"/>
              </w:rPr>
              <w:t xml:space="preserve">3 </w:t>
            </w:r>
            <w:r>
              <w:rPr>
                <w:rStyle w:val="affa"/>
                <w:rFonts w:eastAsia="仿宋_GB2312" w:cs="Arial Unicode MS"/>
              </w:rPr>
              <w:t>被选可比公司的业务简介</w:t>
            </w:r>
            <w:r>
              <w:tab/>
            </w:r>
            <w:r>
              <w:fldChar w:fldCharType="begin"/>
            </w:r>
            <w:r>
              <w:instrText xml:space="preserve"> PAGEREF _Toc185598964 \h </w:instrText>
            </w:r>
            <w:r>
              <w:fldChar w:fldCharType="separate"/>
            </w:r>
            <w:r w:rsidR="005D7C90">
              <w:rPr>
                <w:noProof/>
              </w:rPr>
              <w:t>45</w:t>
            </w:r>
            <w:r>
              <w:fldChar w:fldCharType="end"/>
            </w:r>
          </w:hyperlink>
        </w:p>
        <w:p w14:paraId="670316E2" w14:textId="6101FE48" w:rsidR="006B4107" w:rsidRDefault="004E70C7">
          <w:pPr>
            <w:pStyle w:val="TOC1"/>
            <w:rPr>
              <w:rFonts w:asciiTheme="minorHAnsi" w:eastAsiaTheme="minorEastAsia" w:hAnsiTheme="minorHAnsi" w:cstheme="minorBidi"/>
              <w:bCs w:val="0"/>
              <w:caps w:val="0"/>
              <w:sz w:val="21"/>
              <w:szCs w:val="22"/>
            </w:rPr>
          </w:pPr>
          <w:hyperlink w:anchor="_Toc185598965" w:history="1">
            <w:r>
              <w:rPr>
                <w:rStyle w:val="affa"/>
                <w:rFonts w:eastAsia="仿宋_GB2312" w:cs="Arial Unicode MS"/>
              </w:rPr>
              <w:t>附件</w:t>
            </w:r>
            <w:r>
              <w:rPr>
                <w:rStyle w:val="affa"/>
                <w:rFonts w:eastAsia="仿宋_GB2312" w:cs="Arial Unicode MS"/>
              </w:rPr>
              <w:t xml:space="preserve">4 </w:t>
            </w:r>
            <w:r>
              <w:rPr>
                <w:rStyle w:val="affa"/>
                <w:rFonts w:eastAsia="仿宋_GB2312" w:cs="Arial Unicode MS"/>
              </w:rPr>
              <w:t>被选可比公司完全成本加成率的计算</w:t>
            </w:r>
            <w:r>
              <w:tab/>
            </w:r>
            <w:r>
              <w:fldChar w:fldCharType="begin"/>
            </w:r>
            <w:r>
              <w:instrText xml:space="preserve"> PAGEREF _Toc185598965 \h </w:instrText>
            </w:r>
            <w:r>
              <w:fldChar w:fldCharType="separate"/>
            </w:r>
            <w:r w:rsidR="005D7C90">
              <w:rPr>
                <w:noProof/>
              </w:rPr>
              <w:t>48</w:t>
            </w:r>
            <w:r>
              <w:fldChar w:fldCharType="end"/>
            </w:r>
          </w:hyperlink>
        </w:p>
        <w:p w14:paraId="7C91C85F" w14:textId="77777777" w:rsidR="006B4107" w:rsidRDefault="004E70C7">
          <w:r>
            <w:rPr>
              <w:b/>
              <w:bCs/>
              <w:lang w:val="zh-CN"/>
            </w:rPr>
            <w:fldChar w:fldCharType="end"/>
          </w:r>
        </w:p>
      </w:sdtContent>
    </w:sdt>
    <w:p w14:paraId="7FC0D068" w14:textId="77777777" w:rsidR="006B4107" w:rsidRDefault="006B4107">
      <w:pPr>
        <w:spacing w:after="240"/>
        <w:jc w:val="both"/>
        <w:rPr>
          <w:b/>
          <w:sz w:val="36"/>
        </w:rPr>
      </w:pPr>
    </w:p>
    <w:p w14:paraId="23081534" w14:textId="77777777" w:rsidR="006B4107" w:rsidRDefault="006B4107">
      <w:pPr>
        <w:tabs>
          <w:tab w:val="left" w:pos="900"/>
        </w:tabs>
        <w:adjustRightInd w:val="0"/>
        <w:snapToGrid w:val="0"/>
        <w:spacing w:before="240"/>
        <w:jc w:val="both"/>
        <w:sectPr w:rsidR="006B4107">
          <w:headerReference w:type="even" r:id="rId15"/>
          <w:headerReference w:type="default" r:id="rId16"/>
          <w:footerReference w:type="default" r:id="rId17"/>
          <w:headerReference w:type="first" r:id="rId18"/>
          <w:pgSz w:w="11907" w:h="16839"/>
          <w:pgMar w:top="1440" w:right="1800" w:bottom="1440" w:left="1800" w:header="709" w:footer="709" w:gutter="0"/>
          <w:pgNumType w:fmt="lowerRoman"/>
          <w:cols w:space="720"/>
          <w:docGrid w:linePitch="360"/>
        </w:sectPr>
      </w:pPr>
    </w:p>
    <w:p w14:paraId="08222344" w14:textId="77777777" w:rsidR="006B4107" w:rsidRDefault="004E70C7">
      <w:pPr>
        <w:pStyle w:val="1"/>
        <w:numPr>
          <w:ilvl w:val="0"/>
          <w:numId w:val="0"/>
        </w:numPr>
        <w:ind w:left="360"/>
        <w:rPr>
          <w:rFonts w:ascii="Arial Narrow" w:eastAsia="仿宋_GB2312" w:hAnsi="Arial Narrow"/>
          <w:color w:val="1E4517" w:themeColor="accent4" w:themeShade="80"/>
          <w:sz w:val="28"/>
          <w:szCs w:val="28"/>
        </w:rPr>
      </w:pPr>
      <w:bookmarkStart w:id="47" w:name="_Toc140761280"/>
      <w:bookmarkStart w:id="48" w:name="_Toc185598811"/>
      <w:r>
        <w:rPr>
          <w:rFonts w:ascii="Arial Narrow" w:eastAsia="仿宋_GB2312" w:hAnsi="Arial Narrow"/>
          <w:color w:val="1E4517" w:themeColor="accent4" w:themeShade="80"/>
          <w:sz w:val="28"/>
          <w:szCs w:val="28"/>
        </w:rPr>
        <w:lastRenderedPageBreak/>
        <w:t>同期</w:t>
      </w:r>
      <w:proofErr w:type="gramStart"/>
      <w:r>
        <w:rPr>
          <w:rFonts w:ascii="Arial Narrow" w:eastAsia="仿宋_GB2312" w:hAnsi="Arial Narrow"/>
          <w:color w:val="1E4517" w:themeColor="accent4" w:themeShade="80"/>
          <w:sz w:val="28"/>
          <w:szCs w:val="28"/>
        </w:rPr>
        <w:t>资料本地</w:t>
      </w:r>
      <w:proofErr w:type="gramEnd"/>
      <w:r>
        <w:rPr>
          <w:rFonts w:ascii="Arial Narrow" w:eastAsia="仿宋_GB2312" w:hAnsi="Arial Narrow"/>
          <w:color w:val="1E4517" w:themeColor="accent4" w:themeShade="80"/>
          <w:sz w:val="28"/>
          <w:szCs w:val="28"/>
        </w:rPr>
        <w:t>文档对照表</w:t>
      </w:r>
      <w:bookmarkEnd w:id="47"/>
      <w:bookmarkEnd w:id="48"/>
    </w:p>
    <w:p w14:paraId="20AFA419" w14:textId="77777777" w:rsidR="006B4107" w:rsidRDefault="004E70C7">
      <w:pPr>
        <w:adjustRightInd w:val="0"/>
        <w:snapToGrid w:val="0"/>
        <w:spacing w:before="240" w:after="240"/>
        <w:ind w:firstLine="475"/>
        <w:jc w:val="both"/>
        <w:rPr>
          <w:b/>
          <w:color w:val="0000FF"/>
          <w:kern w:val="24"/>
        </w:rPr>
      </w:pPr>
      <w:r>
        <w:t>以下是</w:t>
      </w:r>
      <w:r>
        <w:rPr>
          <w:rFonts w:cs="华文细黑" w:hint="eastAsia"/>
        </w:rPr>
        <w:t>上海远化物流有限公司</w:t>
      </w:r>
      <w:r>
        <w:t>2023</w:t>
      </w:r>
      <w:r>
        <w:t>年度关联交易同期</w:t>
      </w:r>
      <w:proofErr w:type="gramStart"/>
      <w:r>
        <w:t>资料本地</w:t>
      </w:r>
      <w:proofErr w:type="gramEnd"/>
      <w:r>
        <w:t>文档报告内容与</w:t>
      </w:r>
      <w:r>
        <w:t>[2016]42</w:t>
      </w:r>
      <w:r>
        <w:t>号公告第十四条规定的本地文档内容对照表。</w:t>
      </w:r>
    </w:p>
    <w:tbl>
      <w:tblPr>
        <w:tblStyle w:val="4-41"/>
        <w:tblpPr w:leftFromText="180" w:rightFromText="180" w:vertAnchor="text" w:tblpY="1"/>
        <w:tblOverlap w:val="never"/>
        <w:tblW w:w="8217" w:type="dxa"/>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Look w:val="04A0" w:firstRow="1" w:lastRow="0" w:firstColumn="1" w:lastColumn="0" w:noHBand="0" w:noVBand="1"/>
      </w:tblPr>
      <w:tblGrid>
        <w:gridCol w:w="988"/>
        <w:gridCol w:w="6095"/>
        <w:gridCol w:w="1134"/>
      </w:tblGrid>
      <w:tr w:rsidR="006B4107" w14:paraId="58A59E29" w14:textId="77777777" w:rsidTr="006B4107">
        <w:trPr>
          <w:cnfStyle w:val="100000000000" w:firstRow="1" w:lastRow="0" w:firstColumn="0" w:lastColumn="0" w:oddVBand="0" w:evenVBand="0" w:oddHBand="0" w:evenHBand="0" w:firstRowFirstColumn="0" w:firstRowLastColumn="0" w:lastRowFirstColumn="0" w:lastRowLastColumn="0"/>
          <w:trHeight w:val="427"/>
          <w:tblHeader/>
        </w:trPr>
        <w:tc>
          <w:tcPr>
            <w:cnfStyle w:val="001000000000" w:firstRow="0" w:lastRow="0" w:firstColumn="1" w:lastColumn="0" w:oddVBand="0" w:evenVBand="0" w:oddHBand="0" w:evenHBand="0" w:firstRowFirstColumn="0" w:firstRowLastColumn="0" w:lastRowFirstColumn="0" w:lastRowLastColumn="0"/>
            <w:tcW w:w="988" w:type="dxa"/>
            <w:tcBorders>
              <w:top w:val="nil"/>
              <w:left w:val="nil"/>
              <w:bottom w:val="nil"/>
            </w:tcBorders>
            <w:shd w:val="clear" w:color="auto" w:fill="002060"/>
            <w:vAlign w:val="center"/>
          </w:tcPr>
          <w:p w14:paraId="0D3715FF" w14:textId="77777777" w:rsidR="006B4107" w:rsidRDefault="004E70C7">
            <w:pPr>
              <w:pStyle w:val="F"/>
              <w:adjustRightInd w:val="0"/>
              <w:snapToGrid w:val="0"/>
              <w:spacing w:line="240" w:lineRule="auto"/>
              <w:ind w:firstLine="0"/>
              <w:jc w:val="center"/>
              <w:rPr>
                <w:rFonts w:ascii="仿宋" w:eastAsia="仿宋" w:hAnsi="仿宋"/>
                <w:color w:val="FFFFFF" w:themeColor="background2"/>
                <w:sz w:val="20"/>
                <w:szCs w:val="20"/>
                <w:lang w:eastAsia="zh-CN"/>
              </w:rPr>
            </w:pPr>
            <w:r>
              <w:rPr>
                <w:rFonts w:ascii="仿宋" w:eastAsia="仿宋" w:hAnsi="仿宋"/>
                <w:color w:val="FFFFFF" w:themeColor="background2"/>
                <w:sz w:val="20"/>
                <w:szCs w:val="20"/>
                <w:lang w:eastAsia="zh-CN"/>
              </w:rPr>
              <w:t>条文</w:t>
            </w:r>
          </w:p>
        </w:tc>
        <w:tc>
          <w:tcPr>
            <w:tcW w:w="6095" w:type="dxa"/>
            <w:tcBorders>
              <w:top w:val="nil"/>
              <w:bottom w:val="nil"/>
            </w:tcBorders>
            <w:shd w:val="clear" w:color="auto" w:fill="002060"/>
            <w:vAlign w:val="center"/>
          </w:tcPr>
          <w:p w14:paraId="155392FC" w14:textId="77777777" w:rsidR="006B4107" w:rsidRDefault="004E70C7">
            <w:pPr>
              <w:pStyle w:val="F"/>
              <w:adjustRightInd w:val="0"/>
              <w:snapToGrid w:val="0"/>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仿宋" w:eastAsia="仿宋" w:hAnsi="仿宋"/>
                <w:color w:val="FFFFFF" w:themeColor="background2"/>
                <w:sz w:val="20"/>
                <w:szCs w:val="20"/>
                <w:lang w:eastAsia="zh-CN"/>
              </w:rPr>
            </w:pPr>
            <w:r>
              <w:rPr>
                <w:rFonts w:ascii="仿宋" w:eastAsia="仿宋" w:hAnsi="仿宋"/>
                <w:color w:val="FFFFFF" w:themeColor="background2"/>
                <w:sz w:val="20"/>
                <w:szCs w:val="20"/>
                <w:lang w:eastAsia="zh-CN"/>
              </w:rPr>
              <w:t>法规要求</w:t>
            </w:r>
          </w:p>
        </w:tc>
        <w:tc>
          <w:tcPr>
            <w:tcW w:w="1134" w:type="dxa"/>
            <w:tcBorders>
              <w:top w:val="nil"/>
              <w:bottom w:val="nil"/>
              <w:right w:val="nil"/>
            </w:tcBorders>
            <w:shd w:val="clear" w:color="auto" w:fill="002060"/>
            <w:vAlign w:val="center"/>
          </w:tcPr>
          <w:p w14:paraId="423A7BA1" w14:textId="77777777" w:rsidR="006B4107" w:rsidRDefault="004E70C7">
            <w:pPr>
              <w:pStyle w:val="F"/>
              <w:adjustRightInd w:val="0"/>
              <w:snapToGrid w:val="0"/>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仿宋" w:eastAsia="仿宋" w:hAnsi="仿宋"/>
                <w:color w:val="FFFFFF" w:themeColor="background2"/>
                <w:sz w:val="20"/>
                <w:szCs w:val="20"/>
                <w:lang w:eastAsia="zh-CN"/>
              </w:rPr>
            </w:pPr>
            <w:r>
              <w:rPr>
                <w:rFonts w:ascii="仿宋" w:eastAsia="仿宋" w:hAnsi="仿宋"/>
                <w:color w:val="FFFFFF" w:themeColor="background2"/>
                <w:sz w:val="20"/>
                <w:szCs w:val="20"/>
                <w:lang w:eastAsia="zh-CN"/>
              </w:rPr>
              <w:t>报告索引</w:t>
            </w:r>
          </w:p>
        </w:tc>
      </w:tr>
      <w:tr w:rsidR="006B4107" w14:paraId="7F96FE4B" w14:textId="77777777" w:rsidTr="006B4107">
        <w:tc>
          <w:tcPr>
            <w:cnfStyle w:val="001000000000" w:firstRow="0" w:lastRow="0" w:firstColumn="1" w:lastColumn="0" w:oddVBand="0" w:evenVBand="0" w:oddHBand="0" w:evenHBand="0" w:firstRowFirstColumn="0" w:firstRowLastColumn="0" w:lastRowFirstColumn="0" w:lastRowLastColumn="0"/>
            <w:tcW w:w="988" w:type="dxa"/>
            <w:vMerge w:val="restart"/>
            <w:shd w:val="clear" w:color="auto" w:fill="auto"/>
            <w:vAlign w:val="center"/>
          </w:tcPr>
          <w:p w14:paraId="64B18075" w14:textId="77777777" w:rsidR="006B4107" w:rsidRDefault="004E70C7">
            <w:pPr>
              <w:pStyle w:val="F"/>
              <w:adjustRightInd w:val="0"/>
              <w:snapToGrid w:val="0"/>
              <w:spacing w:line="240" w:lineRule="auto"/>
              <w:ind w:firstLine="0"/>
              <w:rPr>
                <w:rFonts w:ascii="仿宋" w:eastAsia="仿宋" w:hAnsi="仿宋"/>
                <w:sz w:val="20"/>
                <w:szCs w:val="20"/>
                <w:lang w:eastAsia="zh-CN"/>
              </w:rPr>
            </w:pPr>
            <w:r>
              <w:rPr>
                <w:rFonts w:ascii="仿宋" w:eastAsia="仿宋" w:hAnsi="仿宋"/>
                <w:sz w:val="20"/>
                <w:szCs w:val="20"/>
                <w:lang w:eastAsia="zh-CN"/>
              </w:rPr>
              <w:t>（一）企业概况</w:t>
            </w:r>
          </w:p>
        </w:tc>
        <w:tc>
          <w:tcPr>
            <w:tcW w:w="6095" w:type="dxa"/>
            <w:shd w:val="clear" w:color="auto" w:fill="auto"/>
            <w:vAlign w:val="center"/>
          </w:tcPr>
          <w:p w14:paraId="0899E21F" w14:textId="77777777" w:rsidR="006B4107" w:rsidRDefault="004E70C7">
            <w:pPr>
              <w:pStyle w:val="F"/>
              <w:numPr>
                <w:ilvl w:val="0"/>
                <w:numId w:val="8"/>
              </w:numPr>
              <w:adjustRightInd w:val="0"/>
              <w:snapToGrid w:val="0"/>
              <w:spacing w:before="0" w:after="0" w:line="240" w:lineRule="auto"/>
              <w:ind w:left="583" w:hanging="426"/>
              <w:cnfStyle w:val="000000000000" w:firstRow="0" w:lastRow="0" w:firstColumn="0" w:lastColumn="0" w:oddVBand="0" w:evenVBand="0" w:oddHBand="0" w:evenHBand="0" w:firstRowFirstColumn="0" w:firstRowLastColumn="0" w:lastRowFirstColumn="0" w:lastRowLastColumn="0"/>
              <w:rPr>
                <w:sz w:val="20"/>
                <w:szCs w:val="20"/>
                <w:lang w:eastAsia="zh-CN"/>
              </w:rPr>
            </w:pPr>
            <w:r>
              <w:rPr>
                <w:sz w:val="20"/>
                <w:szCs w:val="20"/>
                <w:lang w:eastAsia="zh-CN"/>
              </w:rPr>
              <w:t>组织结构，包括企业各职能部门的设置、职责范围和雇员数量等；</w:t>
            </w:r>
          </w:p>
        </w:tc>
        <w:tc>
          <w:tcPr>
            <w:tcW w:w="1134" w:type="dxa"/>
            <w:shd w:val="clear" w:color="auto" w:fill="auto"/>
            <w:vAlign w:val="center"/>
          </w:tcPr>
          <w:p w14:paraId="12847C08" w14:textId="77777777" w:rsidR="006B4107" w:rsidRDefault="004E70C7">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sz w:val="20"/>
                <w:szCs w:val="20"/>
                <w:lang w:eastAsia="zh-CN"/>
              </w:rPr>
            </w:pPr>
            <w:r>
              <w:rPr>
                <w:sz w:val="20"/>
                <w:szCs w:val="20"/>
                <w:lang w:eastAsia="zh-CN"/>
              </w:rPr>
              <w:t>2.2</w:t>
            </w:r>
          </w:p>
        </w:tc>
      </w:tr>
      <w:tr w:rsidR="006B4107" w14:paraId="3F81CC44" w14:textId="77777777" w:rsidTr="006B4107">
        <w:tc>
          <w:tcPr>
            <w:cnfStyle w:val="001000000000" w:firstRow="0" w:lastRow="0" w:firstColumn="1" w:lastColumn="0" w:oddVBand="0" w:evenVBand="0" w:oddHBand="0" w:evenHBand="0" w:firstRowFirstColumn="0" w:firstRowLastColumn="0" w:lastRowFirstColumn="0" w:lastRowLastColumn="0"/>
            <w:tcW w:w="988" w:type="dxa"/>
            <w:vMerge/>
            <w:shd w:val="clear" w:color="auto" w:fill="auto"/>
            <w:vAlign w:val="center"/>
          </w:tcPr>
          <w:p w14:paraId="5EA676B6" w14:textId="77777777" w:rsidR="006B4107" w:rsidRDefault="006B4107">
            <w:pPr>
              <w:pStyle w:val="F"/>
              <w:adjustRightInd w:val="0"/>
              <w:snapToGrid w:val="0"/>
              <w:spacing w:line="240" w:lineRule="auto"/>
              <w:ind w:firstLine="0"/>
              <w:rPr>
                <w:rFonts w:ascii="仿宋" w:eastAsia="仿宋" w:hAnsi="仿宋"/>
                <w:sz w:val="20"/>
                <w:szCs w:val="20"/>
                <w:lang w:eastAsia="zh-CN"/>
              </w:rPr>
            </w:pPr>
          </w:p>
        </w:tc>
        <w:tc>
          <w:tcPr>
            <w:tcW w:w="6095" w:type="dxa"/>
            <w:shd w:val="clear" w:color="auto" w:fill="DDEBF7"/>
            <w:vAlign w:val="center"/>
          </w:tcPr>
          <w:p w14:paraId="3324FA83" w14:textId="77777777" w:rsidR="006B4107" w:rsidRDefault="004E70C7">
            <w:pPr>
              <w:pStyle w:val="F"/>
              <w:numPr>
                <w:ilvl w:val="0"/>
                <w:numId w:val="8"/>
              </w:numPr>
              <w:adjustRightInd w:val="0"/>
              <w:snapToGrid w:val="0"/>
              <w:spacing w:before="0" w:after="0" w:line="240" w:lineRule="auto"/>
              <w:ind w:left="583" w:hanging="426"/>
              <w:cnfStyle w:val="000000000000" w:firstRow="0" w:lastRow="0" w:firstColumn="0" w:lastColumn="0" w:oddVBand="0" w:evenVBand="0" w:oddHBand="0" w:evenHBand="0" w:firstRowFirstColumn="0" w:firstRowLastColumn="0" w:lastRowFirstColumn="0" w:lastRowLastColumn="0"/>
              <w:rPr>
                <w:sz w:val="20"/>
                <w:szCs w:val="20"/>
                <w:lang w:eastAsia="zh-CN"/>
              </w:rPr>
            </w:pPr>
            <w:r>
              <w:rPr>
                <w:sz w:val="20"/>
                <w:szCs w:val="20"/>
                <w:lang w:eastAsia="zh-CN"/>
              </w:rPr>
              <w:t>管理架构，包括企业各级管理层的汇报对象以及汇报对象主要办公所在地等；</w:t>
            </w:r>
          </w:p>
        </w:tc>
        <w:tc>
          <w:tcPr>
            <w:tcW w:w="1134" w:type="dxa"/>
            <w:shd w:val="clear" w:color="auto" w:fill="DDEBF7"/>
            <w:vAlign w:val="center"/>
          </w:tcPr>
          <w:p w14:paraId="2CAB37A0" w14:textId="77777777" w:rsidR="006B4107" w:rsidRDefault="004E70C7">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sz w:val="20"/>
                <w:szCs w:val="20"/>
                <w:lang w:eastAsia="zh-CN"/>
              </w:rPr>
            </w:pPr>
            <w:r>
              <w:rPr>
                <w:sz w:val="20"/>
                <w:szCs w:val="20"/>
                <w:lang w:eastAsia="zh-CN"/>
              </w:rPr>
              <w:t>2.2</w:t>
            </w:r>
          </w:p>
        </w:tc>
      </w:tr>
      <w:tr w:rsidR="006B4107" w14:paraId="1F4CF4EF" w14:textId="77777777" w:rsidTr="006B4107">
        <w:tc>
          <w:tcPr>
            <w:cnfStyle w:val="001000000000" w:firstRow="0" w:lastRow="0" w:firstColumn="1" w:lastColumn="0" w:oddVBand="0" w:evenVBand="0" w:oddHBand="0" w:evenHBand="0" w:firstRowFirstColumn="0" w:firstRowLastColumn="0" w:lastRowFirstColumn="0" w:lastRowLastColumn="0"/>
            <w:tcW w:w="988" w:type="dxa"/>
            <w:vMerge/>
            <w:shd w:val="clear" w:color="auto" w:fill="auto"/>
            <w:vAlign w:val="center"/>
          </w:tcPr>
          <w:p w14:paraId="7186300E" w14:textId="77777777" w:rsidR="006B4107" w:rsidRDefault="006B4107">
            <w:pPr>
              <w:pStyle w:val="F"/>
              <w:adjustRightInd w:val="0"/>
              <w:snapToGrid w:val="0"/>
              <w:spacing w:line="240" w:lineRule="auto"/>
              <w:ind w:firstLine="0"/>
              <w:rPr>
                <w:rFonts w:ascii="仿宋" w:eastAsia="仿宋" w:hAnsi="仿宋"/>
                <w:sz w:val="20"/>
                <w:szCs w:val="20"/>
                <w:lang w:eastAsia="zh-CN"/>
              </w:rPr>
            </w:pPr>
          </w:p>
        </w:tc>
        <w:tc>
          <w:tcPr>
            <w:tcW w:w="6095" w:type="dxa"/>
            <w:shd w:val="clear" w:color="auto" w:fill="auto"/>
            <w:vAlign w:val="center"/>
          </w:tcPr>
          <w:p w14:paraId="43EE83BE" w14:textId="77777777" w:rsidR="006B4107" w:rsidRDefault="004E70C7">
            <w:pPr>
              <w:pStyle w:val="F"/>
              <w:numPr>
                <w:ilvl w:val="0"/>
                <w:numId w:val="8"/>
              </w:numPr>
              <w:adjustRightInd w:val="0"/>
              <w:snapToGrid w:val="0"/>
              <w:spacing w:before="0" w:after="0" w:line="240" w:lineRule="auto"/>
              <w:ind w:left="583" w:hanging="426"/>
              <w:cnfStyle w:val="000000000000" w:firstRow="0" w:lastRow="0" w:firstColumn="0" w:lastColumn="0" w:oddVBand="0" w:evenVBand="0" w:oddHBand="0" w:evenHBand="0" w:firstRowFirstColumn="0" w:firstRowLastColumn="0" w:lastRowFirstColumn="0" w:lastRowLastColumn="0"/>
              <w:rPr>
                <w:sz w:val="20"/>
                <w:szCs w:val="20"/>
                <w:lang w:eastAsia="zh-CN"/>
              </w:rPr>
            </w:pPr>
            <w:r>
              <w:rPr>
                <w:sz w:val="20"/>
                <w:szCs w:val="20"/>
                <w:lang w:eastAsia="zh-CN"/>
              </w:rPr>
              <w:t>业务描述，包括企业所属行业的发展概况、产业政策、行业限制等影响企业和行业的主要经济和法律问题，主要竞争者等；</w:t>
            </w:r>
          </w:p>
        </w:tc>
        <w:tc>
          <w:tcPr>
            <w:tcW w:w="1134" w:type="dxa"/>
            <w:shd w:val="clear" w:color="auto" w:fill="auto"/>
            <w:vAlign w:val="center"/>
          </w:tcPr>
          <w:p w14:paraId="3040F733" w14:textId="77777777" w:rsidR="006B4107" w:rsidRDefault="004E70C7">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sz w:val="20"/>
                <w:szCs w:val="20"/>
                <w:lang w:eastAsia="zh-CN"/>
              </w:rPr>
            </w:pPr>
            <w:r>
              <w:rPr>
                <w:sz w:val="20"/>
                <w:szCs w:val="20"/>
                <w:lang w:eastAsia="zh-CN"/>
              </w:rPr>
              <w:t>2.2</w:t>
            </w:r>
          </w:p>
          <w:p w14:paraId="47583DF0" w14:textId="77777777" w:rsidR="006B4107" w:rsidRDefault="004E70C7">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sz w:val="20"/>
                <w:szCs w:val="20"/>
                <w:lang w:eastAsia="zh-CN"/>
              </w:rPr>
            </w:pPr>
            <w:r>
              <w:rPr>
                <w:sz w:val="20"/>
                <w:szCs w:val="20"/>
                <w:lang w:eastAsia="zh-CN"/>
              </w:rPr>
              <w:t>3</w:t>
            </w:r>
          </w:p>
        </w:tc>
      </w:tr>
      <w:tr w:rsidR="006B4107" w14:paraId="5BD4CBD9" w14:textId="77777777" w:rsidTr="006B4107">
        <w:trPr>
          <w:trHeight w:val="854"/>
        </w:trPr>
        <w:tc>
          <w:tcPr>
            <w:cnfStyle w:val="001000000000" w:firstRow="0" w:lastRow="0" w:firstColumn="1" w:lastColumn="0" w:oddVBand="0" w:evenVBand="0" w:oddHBand="0" w:evenHBand="0" w:firstRowFirstColumn="0" w:firstRowLastColumn="0" w:lastRowFirstColumn="0" w:lastRowLastColumn="0"/>
            <w:tcW w:w="988" w:type="dxa"/>
            <w:vMerge/>
            <w:shd w:val="clear" w:color="auto" w:fill="auto"/>
            <w:vAlign w:val="center"/>
          </w:tcPr>
          <w:p w14:paraId="665D3902" w14:textId="77777777" w:rsidR="006B4107" w:rsidRDefault="006B4107">
            <w:pPr>
              <w:pStyle w:val="F"/>
              <w:adjustRightInd w:val="0"/>
              <w:snapToGrid w:val="0"/>
              <w:spacing w:line="240" w:lineRule="auto"/>
              <w:ind w:firstLine="0"/>
              <w:rPr>
                <w:rFonts w:ascii="仿宋" w:eastAsia="仿宋" w:hAnsi="仿宋"/>
                <w:sz w:val="20"/>
                <w:szCs w:val="20"/>
                <w:lang w:eastAsia="zh-CN"/>
              </w:rPr>
            </w:pPr>
          </w:p>
        </w:tc>
        <w:tc>
          <w:tcPr>
            <w:tcW w:w="6095" w:type="dxa"/>
            <w:shd w:val="clear" w:color="auto" w:fill="DDEBF7"/>
            <w:vAlign w:val="center"/>
          </w:tcPr>
          <w:p w14:paraId="2160E6CF" w14:textId="77777777" w:rsidR="006B4107" w:rsidRDefault="004E70C7">
            <w:pPr>
              <w:pStyle w:val="F"/>
              <w:numPr>
                <w:ilvl w:val="0"/>
                <w:numId w:val="8"/>
              </w:numPr>
              <w:adjustRightInd w:val="0"/>
              <w:snapToGrid w:val="0"/>
              <w:spacing w:before="0" w:after="0" w:line="240" w:lineRule="auto"/>
              <w:ind w:left="583" w:hanging="426"/>
              <w:cnfStyle w:val="000000000000" w:firstRow="0" w:lastRow="0" w:firstColumn="0" w:lastColumn="0" w:oddVBand="0" w:evenVBand="0" w:oddHBand="0" w:evenHBand="0" w:firstRowFirstColumn="0" w:firstRowLastColumn="0" w:lastRowFirstColumn="0" w:lastRowLastColumn="0"/>
              <w:rPr>
                <w:sz w:val="20"/>
                <w:szCs w:val="20"/>
                <w:lang w:eastAsia="zh-CN"/>
              </w:rPr>
            </w:pPr>
            <w:r>
              <w:rPr>
                <w:sz w:val="20"/>
                <w:szCs w:val="20"/>
                <w:lang w:eastAsia="zh-CN"/>
              </w:rPr>
              <w:t>经营策略，包括企业各部门、各环节的业务流程，运营模式，价值贡献因素等；</w:t>
            </w:r>
          </w:p>
        </w:tc>
        <w:tc>
          <w:tcPr>
            <w:tcW w:w="1134" w:type="dxa"/>
            <w:shd w:val="clear" w:color="auto" w:fill="DDEBF7"/>
            <w:vAlign w:val="center"/>
          </w:tcPr>
          <w:p w14:paraId="1D8347F3" w14:textId="77777777" w:rsidR="006B4107" w:rsidRDefault="004E70C7">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sz w:val="20"/>
                <w:szCs w:val="20"/>
                <w:lang w:eastAsia="zh-CN"/>
              </w:rPr>
            </w:pPr>
            <w:r>
              <w:rPr>
                <w:sz w:val="20"/>
                <w:szCs w:val="20"/>
                <w:lang w:eastAsia="zh-CN"/>
              </w:rPr>
              <w:t>2.2</w:t>
            </w:r>
          </w:p>
          <w:p w14:paraId="506C0A52" w14:textId="77777777" w:rsidR="006B4107" w:rsidRDefault="004E70C7">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sz w:val="20"/>
                <w:szCs w:val="20"/>
                <w:lang w:eastAsia="zh-CN"/>
              </w:rPr>
            </w:pPr>
            <w:r>
              <w:rPr>
                <w:sz w:val="20"/>
                <w:szCs w:val="20"/>
                <w:lang w:eastAsia="zh-CN"/>
              </w:rPr>
              <w:t>6</w:t>
            </w:r>
          </w:p>
        </w:tc>
      </w:tr>
      <w:tr w:rsidR="006B4107" w14:paraId="775341C3" w14:textId="77777777" w:rsidTr="006B4107">
        <w:tc>
          <w:tcPr>
            <w:cnfStyle w:val="001000000000" w:firstRow="0" w:lastRow="0" w:firstColumn="1" w:lastColumn="0" w:oddVBand="0" w:evenVBand="0" w:oddHBand="0" w:evenHBand="0" w:firstRowFirstColumn="0" w:firstRowLastColumn="0" w:lastRowFirstColumn="0" w:lastRowLastColumn="0"/>
            <w:tcW w:w="988" w:type="dxa"/>
            <w:vMerge/>
            <w:shd w:val="clear" w:color="auto" w:fill="auto"/>
            <w:vAlign w:val="center"/>
          </w:tcPr>
          <w:p w14:paraId="0D9D186E" w14:textId="77777777" w:rsidR="006B4107" w:rsidRDefault="006B4107">
            <w:pPr>
              <w:pStyle w:val="F"/>
              <w:adjustRightInd w:val="0"/>
              <w:snapToGrid w:val="0"/>
              <w:spacing w:line="240" w:lineRule="auto"/>
              <w:ind w:firstLine="0"/>
              <w:rPr>
                <w:rFonts w:ascii="仿宋" w:eastAsia="仿宋" w:hAnsi="仿宋"/>
                <w:sz w:val="20"/>
                <w:szCs w:val="20"/>
                <w:lang w:eastAsia="zh-CN"/>
              </w:rPr>
            </w:pPr>
          </w:p>
        </w:tc>
        <w:tc>
          <w:tcPr>
            <w:tcW w:w="6095" w:type="dxa"/>
            <w:shd w:val="clear" w:color="auto" w:fill="auto"/>
            <w:vAlign w:val="center"/>
          </w:tcPr>
          <w:p w14:paraId="5EBEEA35" w14:textId="77777777" w:rsidR="006B4107" w:rsidRDefault="004E70C7">
            <w:pPr>
              <w:pStyle w:val="F"/>
              <w:numPr>
                <w:ilvl w:val="0"/>
                <w:numId w:val="8"/>
              </w:numPr>
              <w:adjustRightInd w:val="0"/>
              <w:snapToGrid w:val="0"/>
              <w:spacing w:before="0" w:after="0" w:line="240" w:lineRule="auto"/>
              <w:ind w:left="583" w:hanging="426"/>
              <w:cnfStyle w:val="000000000000" w:firstRow="0" w:lastRow="0" w:firstColumn="0" w:lastColumn="0" w:oddVBand="0" w:evenVBand="0" w:oddHBand="0" w:evenHBand="0" w:firstRowFirstColumn="0" w:firstRowLastColumn="0" w:lastRowFirstColumn="0" w:lastRowLastColumn="0"/>
              <w:rPr>
                <w:sz w:val="20"/>
                <w:szCs w:val="20"/>
                <w:lang w:eastAsia="zh-CN"/>
              </w:rPr>
            </w:pPr>
            <w:r>
              <w:rPr>
                <w:sz w:val="20"/>
                <w:szCs w:val="20"/>
                <w:lang w:eastAsia="zh-CN"/>
              </w:rPr>
              <w:t>财务数据，包括企业不同类型业务及产品的收入、成本、费用及利润；</w:t>
            </w:r>
          </w:p>
        </w:tc>
        <w:tc>
          <w:tcPr>
            <w:tcW w:w="1134" w:type="dxa"/>
            <w:shd w:val="clear" w:color="auto" w:fill="auto"/>
            <w:vAlign w:val="center"/>
          </w:tcPr>
          <w:p w14:paraId="5D2BE093" w14:textId="77777777" w:rsidR="006B4107" w:rsidRDefault="004E70C7">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sz w:val="20"/>
                <w:szCs w:val="20"/>
                <w:lang w:eastAsia="zh-CN"/>
              </w:rPr>
            </w:pPr>
            <w:r>
              <w:rPr>
                <w:sz w:val="20"/>
                <w:szCs w:val="20"/>
                <w:lang w:eastAsia="zh-CN"/>
              </w:rPr>
              <w:t>2.3</w:t>
            </w:r>
          </w:p>
        </w:tc>
      </w:tr>
      <w:tr w:rsidR="006B4107" w14:paraId="3DF8D1CA" w14:textId="77777777" w:rsidTr="006B4107">
        <w:tc>
          <w:tcPr>
            <w:cnfStyle w:val="001000000000" w:firstRow="0" w:lastRow="0" w:firstColumn="1" w:lastColumn="0" w:oddVBand="0" w:evenVBand="0" w:oddHBand="0" w:evenHBand="0" w:firstRowFirstColumn="0" w:firstRowLastColumn="0" w:lastRowFirstColumn="0" w:lastRowLastColumn="0"/>
            <w:tcW w:w="988" w:type="dxa"/>
            <w:vMerge/>
            <w:shd w:val="clear" w:color="auto" w:fill="auto"/>
            <w:vAlign w:val="center"/>
          </w:tcPr>
          <w:p w14:paraId="500ED84A" w14:textId="77777777" w:rsidR="006B4107" w:rsidRDefault="006B4107">
            <w:pPr>
              <w:pStyle w:val="F"/>
              <w:adjustRightInd w:val="0"/>
              <w:snapToGrid w:val="0"/>
              <w:spacing w:line="240" w:lineRule="auto"/>
              <w:ind w:firstLine="0"/>
              <w:rPr>
                <w:rFonts w:ascii="仿宋" w:eastAsia="仿宋" w:hAnsi="仿宋"/>
                <w:sz w:val="20"/>
                <w:szCs w:val="20"/>
                <w:lang w:eastAsia="zh-CN"/>
              </w:rPr>
            </w:pPr>
          </w:p>
        </w:tc>
        <w:tc>
          <w:tcPr>
            <w:tcW w:w="6095" w:type="dxa"/>
            <w:shd w:val="clear" w:color="auto" w:fill="DDEBF7"/>
            <w:vAlign w:val="center"/>
          </w:tcPr>
          <w:p w14:paraId="648C71DC" w14:textId="77777777" w:rsidR="006B4107" w:rsidRDefault="004E70C7">
            <w:pPr>
              <w:pStyle w:val="F"/>
              <w:numPr>
                <w:ilvl w:val="0"/>
                <w:numId w:val="8"/>
              </w:numPr>
              <w:adjustRightInd w:val="0"/>
              <w:snapToGrid w:val="0"/>
              <w:spacing w:before="0" w:after="0" w:line="240" w:lineRule="auto"/>
              <w:ind w:left="583" w:hanging="426"/>
              <w:cnfStyle w:val="000000000000" w:firstRow="0" w:lastRow="0" w:firstColumn="0" w:lastColumn="0" w:oddVBand="0" w:evenVBand="0" w:oddHBand="0" w:evenHBand="0" w:firstRowFirstColumn="0" w:firstRowLastColumn="0" w:lastRowFirstColumn="0" w:lastRowLastColumn="0"/>
              <w:rPr>
                <w:sz w:val="20"/>
                <w:szCs w:val="20"/>
                <w:lang w:eastAsia="zh-CN"/>
              </w:rPr>
            </w:pPr>
            <w:r>
              <w:rPr>
                <w:sz w:val="20"/>
                <w:szCs w:val="20"/>
                <w:lang w:eastAsia="zh-CN"/>
              </w:rPr>
              <w:t>涉及本企业或者对本企业产生影响的重组或者无形资产转让情况，以及对本企业的影响分析；</w:t>
            </w:r>
          </w:p>
        </w:tc>
        <w:tc>
          <w:tcPr>
            <w:tcW w:w="1134" w:type="dxa"/>
            <w:shd w:val="clear" w:color="auto" w:fill="DDEBF7"/>
            <w:vAlign w:val="center"/>
          </w:tcPr>
          <w:p w14:paraId="7AF90319" w14:textId="77777777" w:rsidR="006B4107" w:rsidRDefault="004E70C7">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sz w:val="20"/>
                <w:szCs w:val="20"/>
                <w:lang w:eastAsia="zh-CN"/>
              </w:rPr>
            </w:pPr>
            <w:r>
              <w:rPr>
                <w:sz w:val="20"/>
                <w:szCs w:val="20"/>
                <w:lang w:eastAsia="zh-CN"/>
              </w:rPr>
              <w:t>2.4</w:t>
            </w:r>
          </w:p>
        </w:tc>
      </w:tr>
      <w:tr w:rsidR="006B4107" w14:paraId="11EC755D" w14:textId="77777777" w:rsidTr="006B4107">
        <w:tc>
          <w:tcPr>
            <w:cnfStyle w:val="001000000000" w:firstRow="0" w:lastRow="0" w:firstColumn="1" w:lastColumn="0" w:oddVBand="0" w:evenVBand="0" w:oddHBand="0" w:evenHBand="0" w:firstRowFirstColumn="0" w:firstRowLastColumn="0" w:lastRowFirstColumn="0" w:lastRowLastColumn="0"/>
            <w:tcW w:w="988" w:type="dxa"/>
            <w:vMerge w:val="restart"/>
            <w:shd w:val="clear" w:color="auto" w:fill="auto"/>
            <w:vAlign w:val="center"/>
          </w:tcPr>
          <w:p w14:paraId="0D950807" w14:textId="77777777" w:rsidR="006B4107" w:rsidRDefault="004E70C7">
            <w:pPr>
              <w:pStyle w:val="F"/>
              <w:adjustRightInd w:val="0"/>
              <w:snapToGrid w:val="0"/>
              <w:spacing w:line="240" w:lineRule="auto"/>
              <w:ind w:firstLine="0"/>
              <w:rPr>
                <w:rFonts w:ascii="仿宋" w:eastAsia="仿宋" w:hAnsi="仿宋"/>
                <w:sz w:val="20"/>
                <w:szCs w:val="20"/>
                <w:lang w:eastAsia="zh-CN"/>
              </w:rPr>
            </w:pPr>
            <w:r>
              <w:rPr>
                <w:rFonts w:ascii="仿宋" w:eastAsia="仿宋" w:hAnsi="仿宋"/>
                <w:sz w:val="20"/>
                <w:szCs w:val="20"/>
                <w:lang w:eastAsia="zh-CN"/>
              </w:rPr>
              <w:t>（二）关联关系</w:t>
            </w:r>
          </w:p>
        </w:tc>
        <w:tc>
          <w:tcPr>
            <w:tcW w:w="6095" w:type="dxa"/>
            <w:shd w:val="clear" w:color="auto" w:fill="auto"/>
            <w:vAlign w:val="center"/>
          </w:tcPr>
          <w:p w14:paraId="2961BF9F" w14:textId="77777777" w:rsidR="006B4107" w:rsidRDefault="004E70C7">
            <w:pPr>
              <w:pStyle w:val="F"/>
              <w:numPr>
                <w:ilvl w:val="0"/>
                <w:numId w:val="9"/>
              </w:numPr>
              <w:adjustRightInd w:val="0"/>
              <w:snapToGrid w:val="0"/>
              <w:spacing w:before="0" w:after="0" w:line="240" w:lineRule="auto"/>
              <w:ind w:left="600" w:hanging="425"/>
              <w:cnfStyle w:val="000000000000" w:firstRow="0" w:lastRow="0" w:firstColumn="0" w:lastColumn="0" w:oddVBand="0" w:evenVBand="0" w:oddHBand="0" w:evenHBand="0" w:firstRowFirstColumn="0" w:firstRowLastColumn="0" w:lastRowFirstColumn="0" w:lastRowLastColumn="0"/>
              <w:rPr>
                <w:sz w:val="20"/>
                <w:szCs w:val="20"/>
                <w:lang w:eastAsia="zh-CN"/>
              </w:rPr>
            </w:pPr>
            <w:r>
              <w:rPr>
                <w:sz w:val="20"/>
                <w:szCs w:val="20"/>
                <w:lang w:eastAsia="zh-CN"/>
              </w:rPr>
              <w:t>关联方信息，包括直接或者间接拥有企业股权的关联方，以及与企业发生交易的关联方，内容涵盖关联方名称、法定代表人、高级管理人员的构成情况、注册地址、实际经营地址，以及关联个人的姓名、国籍、居住地等情况。</w:t>
            </w:r>
          </w:p>
        </w:tc>
        <w:tc>
          <w:tcPr>
            <w:tcW w:w="1134" w:type="dxa"/>
            <w:shd w:val="clear" w:color="auto" w:fill="auto"/>
            <w:vAlign w:val="center"/>
          </w:tcPr>
          <w:p w14:paraId="260110C1" w14:textId="77777777" w:rsidR="006B4107" w:rsidRDefault="004E70C7">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sz w:val="20"/>
                <w:szCs w:val="20"/>
                <w:lang w:eastAsia="zh-CN"/>
              </w:rPr>
            </w:pPr>
            <w:r>
              <w:rPr>
                <w:sz w:val="20"/>
                <w:szCs w:val="20"/>
                <w:lang w:eastAsia="zh-CN"/>
              </w:rPr>
              <w:t>4.1</w:t>
            </w:r>
          </w:p>
        </w:tc>
      </w:tr>
      <w:tr w:rsidR="006B4107" w14:paraId="4801F163" w14:textId="77777777" w:rsidTr="006B4107">
        <w:tc>
          <w:tcPr>
            <w:cnfStyle w:val="001000000000" w:firstRow="0" w:lastRow="0" w:firstColumn="1" w:lastColumn="0" w:oddVBand="0" w:evenVBand="0" w:oddHBand="0" w:evenHBand="0" w:firstRowFirstColumn="0" w:firstRowLastColumn="0" w:lastRowFirstColumn="0" w:lastRowLastColumn="0"/>
            <w:tcW w:w="988" w:type="dxa"/>
            <w:vMerge/>
            <w:shd w:val="clear" w:color="auto" w:fill="auto"/>
            <w:vAlign w:val="center"/>
          </w:tcPr>
          <w:p w14:paraId="375F1B92" w14:textId="77777777" w:rsidR="006B4107" w:rsidRDefault="006B4107">
            <w:pPr>
              <w:pStyle w:val="F"/>
              <w:adjustRightInd w:val="0"/>
              <w:snapToGrid w:val="0"/>
              <w:spacing w:line="240" w:lineRule="auto"/>
              <w:ind w:firstLine="0"/>
              <w:rPr>
                <w:rFonts w:ascii="仿宋" w:eastAsia="仿宋" w:hAnsi="仿宋"/>
                <w:sz w:val="20"/>
                <w:szCs w:val="20"/>
                <w:lang w:eastAsia="zh-CN"/>
              </w:rPr>
            </w:pPr>
          </w:p>
        </w:tc>
        <w:tc>
          <w:tcPr>
            <w:tcW w:w="6095" w:type="dxa"/>
            <w:shd w:val="clear" w:color="auto" w:fill="DDEBF7"/>
            <w:vAlign w:val="center"/>
          </w:tcPr>
          <w:p w14:paraId="56B17F03" w14:textId="77777777" w:rsidR="006B4107" w:rsidRDefault="004E70C7">
            <w:pPr>
              <w:pStyle w:val="F"/>
              <w:numPr>
                <w:ilvl w:val="0"/>
                <w:numId w:val="9"/>
              </w:numPr>
              <w:adjustRightInd w:val="0"/>
              <w:snapToGrid w:val="0"/>
              <w:spacing w:before="0" w:after="0" w:line="240" w:lineRule="auto"/>
              <w:ind w:left="600" w:hanging="425"/>
              <w:cnfStyle w:val="000000000000" w:firstRow="0" w:lastRow="0" w:firstColumn="0" w:lastColumn="0" w:oddVBand="0" w:evenVBand="0" w:oddHBand="0" w:evenHBand="0" w:firstRowFirstColumn="0" w:firstRowLastColumn="0" w:lastRowFirstColumn="0" w:lastRowLastColumn="0"/>
              <w:rPr>
                <w:sz w:val="20"/>
                <w:szCs w:val="20"/>
                <w:lang w:eastAsia="zh-CN"/>
              </w:rPr>
            </w:pPr>
            <w:r>
              <w:rPr>
                <w:sz w:val="20"/>
                <w:szCs w:val="20"/>
                <w:lang w:eastAsia="zh-CN"/>
              </w:rPr>
              <w:t>上述关联方适用的具有所得税性质的税种、税率及相应可享受的税收优惠。</w:t>
            </w:r>
          </w:p>
        </w:tc>
        <w:tc>
          <w:tcPr>
            <w:tcW w:w="1134" w:type="dxa"/>
            <w:shd w:val="clear" w:color="auto" w:fill="DDEBF7"/>
            <w:vAlign w:val="center"/>
          </w:tcPr>
          <w:p w14:paraId="72628129" w14:textId="77777777" w:rsidR="006B4107" w:rsidRDefault="004E70C7">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sz w:val="20"/>
                <w:szCs w:val="20"/>
                <w:lang w:eastAsia="zh-CN"/>
              </w:rPr>
            </w:pPr>
            <w:r>
              <w:rPr>
                <w:sz w:val="20"/>
                <w:szCs w:val="20"/>
                <w:lang w:eastAsia="zh-CN"/>
              </w:rPr>
              <w:t>4.1</w:t>
            </w:r>
          </w:p>
        </w:tc>
      </w:tr>
      <w:tr w:rsidR="006B4107" w14:paraId="1A5478D3" w14:textId="77777777" w:rsidTr="006B4107">
        <w:tc>
          <w:tcPr>
            <w:cnfStyle w:val="001000000000" w:firstRow="0" w:lastRow="0" w:firstColumn="1" w:lastColumn="0" w:oddVBand="0" w:evenVBand="0" w:oddHBand="0" w:evenHBand="0" w:firstRowFirstColumn="0" w:firstRowLastColumn="0" w:lastRowFirstColumn="0" w:lastRowLastColumn="0"/>
            <w:tcW w:w="988" w:type="dxa"/>
            <w:vMerge/>
            <w:shd w:val="clear" w:color="auto" w:fill="auto"/>
            <w:vAlign w:val="center"/>
          </w:tcPr>
          <w:p w14:paraId="0D964799" w14:textId="77777777" w:rsidR="006B4107" w:rsidRDefault="006B4107">
            <w:pPr>
              <w:pStyle w:val="F"/>
              <w:adjustRightInd w:val="0"/>
              <w:snapToGrid w:val="0"/>
              <w:spacing w:line="240" w:lineRule="auto"/>
              <w:ind w:firstLine="0"/>
              <w:rPr>
                <w:rFonts w:ascii="仿宋" w:eastAsia="仿宋" w:hAnsi="仿宋"/>
                <w:sz w:val="20"/>
                <w:szCs w:val="20"/>
                <w:lang w:eastAsia="zh-CN"/>
              </w:rPr>
            </w:pPr>
          </w:p>
        </w:tc>
        <w:tc>
          <w:tcPr>
            <w:tcW w:w="6095" w:type="dxa"/>
            <w:shd w:val="clear" w:color="auto" w:fill="auto"/>
            <w:vAlign w:val="center"/>
          </w:tcPr>
          <w:p w14:paraId="594569E2" w14:textId="77777777" w:rsidR="006B4107" w:rsidRDefault="004E70C7">
            <w:pPr>
              <w:pStyle w:val="F"/>
              <w:numPr>
                <w:ilvl w:val="0"/>
                <w:numId w:val="9"/>
              </w:numPr>
              <w:adjustRightInd w:val="0"/>
              <w:snapToGrid w:val="0"/>
              <w:spacing w:before="0" w:after="0" w:line="240" w:lineRule="auto"/>
              <w:ind w:left="600" w:hanging="425"/>
              <w:cnfStyle w:val="000000000000" w:firstRow="0" w:lastRow="0" w:firstColumn="0" w:lastColumn="0" w:oddVBand="0" w:evenVBand="0" w:oddHBand="0" w:evenHBand="0" w:firstRowFirstColumn="0" w:firstRowLastColumn="0" w:lastRowFirstColumn="0" w:lastRowLastColumn="0"/>
              <w:rPr>
                <w:sz w:val="20"/>
                <w:szCs w:val="20"/>
                <w:lang w:eastAsia="zh-CN"/>
              </w:rPr>
            </w:pPr>
            <w:r>
              <w:rPr>
                <w:sz w:val="20"/>
                <w:szCs w:val="20"/>
                <w:lang w:eastAsia="zh-CN"/>
              </w:rPr>
              <w:t>本会计年度内，企业关联关系的变化情况。</w:t>
            </w:r>
          </w:p>
        </w:tc>
        <w:tc>
          <w:tcPr>
            <w:tcW w:w="1134" w:type="dxa"/>
            <w:shd w:val="clear" w:color="auto" w:fill="auto"/>
            <w:vAlign w:val="center"/>
          </w:tcPr>
          <w:p w14:paraId="56FBF0DF" w14:textId="77777777" w:rsidR="006B4107" w:rsidRDefault="004E70C7">
            <w:pPr>
              <w:pStyle w:val="F"/>
              <w:keepNext/>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sz w:val="20"/>
                <w:szCs w:val="20"/>
                <w:lang w:eastAsia="zh-CN"/>
              </w:rPr>
            </w:pPr>
            <w:r>
              <w:rPr>
                <w:sz w:val="20"/>
                <w:szCs w:val="20"/>
                <w:lang w:eastAsia="zh-CN"/>
              </w:rPr>
              <w:t>4.1</w:t>
            </w:r>
          </w:p>
        </w:tc>
      </w:tr>
      <w:tr w:rsidR="006B4107" w14:paraId="51687898" w14:textId="77777777" w:rsidTr="006B4107">
        <w:tc>
          <w:tcPr>
            <w:cnfStyle w:val="001000000000" w:firstRow="0" w:lastRow="0" w:firstColumn="1" w:lastColumn="0" w:oddVBand="0" w:evenVBand="0" w:oddHBand="0" w:evenHBand="0" w:firstRowFirstColumn="0" w:firstRowLastColumn="0" w:lastRowFirstColumn="0" w:lastRowLastColumn="0"/>
            <w:tcW w:w="988" w:type="dxa"/>
            <w:vMerge w:val="restart"/>
            <w:shd w:val="clear" w:color="auto" w:fill="DDEBF7"/>
            <w:vAlign w:val="center"/>
          </w:tcPr>
          <w:p w14:paraId="35ABFA04" w14:textId="77777777" w:rsidR="006B4107" w:rsidRDefault="004E70C7">
            <w:pPr>
              <w:pStyle w:val="F"/>
              <w:adjustRightInd w:val="0"/>
              <w:snapToGrid w:val="0"/>
              <w:spacing w:line="240" w:lineRule="auto"/>
              <w:ind w:firstLine="0"/>
              <w:rPr>
                <w:rFonts w:ascii="仿宋" w:eastAsia="仿宋" w:hAnsi="仿宋"/>
                <w:sz w:val="20"/>
                <w:szCs w:val="20"/>
                <w:lang w:eastAsia="zh-CN"/>
              </w:rPr>
            </w:pPr>
            <w:r>
              <w:rPr>
                <w:rFonts w:ascii="仿宋" w:eastAsia="仿宋" w:hAnsi="仿宋"/>
                <w:sz w:val="20"/>
                <w:szCs w:val="20"/>
                <w:lang w:eastAsia="zh-CN"/>
              </w:rPr>
              <w:t>（三）关联交易</w:t>
            </w:r>
          </w:p>
          <w:p w14:paraId="21A32A3F" w14:textId="77777777" w:rsidR="006B4107" w:rsidRDefault="004E70C7">
            <w:pPr>
              <w:pStyle w:val="F"/>
              <w:adjustRightInd w:val="0"/>
              <w:snapToGrid w:val="0"/>
              <w:spacing w:line="240" w:lineRule="auto"/>
              <w:ind w:firstLine="0"/>
              <w:rPr>
                <w:rFonts w:ascii="仿宋" w:eastAsia="仿宋" w:hAnsi="仿宋"/>
                <w:sz w:val="20"/>
                <w:szCs w:val="20"/>
                <w:lang w:eastAsia="zh-CN"/>
              </w:rPr>
            </w:pPr>
            <w:r>
              <w:rPr>
                <w:rFonts w:ascii="仿宋" w:eastAsia="仿宋" w:hAnsi="仿宋"/>
                <w:sz w:val="20"/>
                <w:szCs w:val="20"/>
                <w:lang w:eastAsia="zh-CN"/>
              </w:rPr>
              <w:t>1.</w:t>
            </w:r>
            <w:r>
              <w:rPr>
                <w:rFonts w:ascii="仿宋" w:eastAsia="仿宋" w:hAnsi="仿宋"/>
                <w:sz w:val="20"/>
                <w:szCs w:val="20"/>
                <w:lang w:eastAsia="zh-CN"/>
              </w:rPr>
              <w:t>关联交易概况</w:t>
            </w:r>
          </w:p>
        </w:tc>
        <w:tc>
          <w:tcPr>
            <w:tcW w:w="6095" w:type="dxa"/>
            <w:shd w:val="clear" w:color="auto" w:fill="DDEBF7"/>
            <w:vAlign w:val="center"/>
          </w:tcPr>
          <w:p w14:paraId="0B986E9C" w14:textId="77777777" w:rsidR="006B4107" w:rsidRDefault="004E70C7">
            <w:pPr>
              <w:pStyle w:val="F"/>
              <w:numPr>
                <w:ilvl w:val="0"/>
                <w:numId w:val="10"/>
              </w:numPr>
              <w:adjustRightInd w:val="0"/>
              <w:snapToGrid w:val="0"/>
              <w:spacing w:before="0" w:after="0" w:line="240" w:lineRule="auto"/>
              <w:ind w:left="600" w:hanging="425"/>
              <w:cnfStyle w:val="000000000000" w:firstRow="0" w:lastRow="0" w:firstColumn="0" w:lastColumn="0" w:oddVBand="0" w:evenVBand="0" w:oddHBand="0" w:evenHBand="0" w:firstRowFirstColumn="0" w:firstRowLastColumn="0" w:lastRowFirstColumn="0" w:lastRowLastColumn="0"/>
              <w:rPr>
                <w:sz w:val="20"/>
                <w:szCs w:val="20"/>
                <w:lang w:eastAsia="zh-CN"/>
              </w:rPr>
            </w:pPr>
            <w:r>
              <w:rPr>
                <w:sz w:val="20"/>
                <w:szCs w:val="20"/>
                <w:lang w:eastAsia="zh-CN"/>
              </w:rPr>
              <w:t>关联交易描述和明细，包括关联交易相关合同或者协议副本及其执行情况的说明，交易标的</w:t>
            </w:r>
            <w:proofErr w:type="gramStart"/>
            <w:r>
              <w:rPr>
                <w:sz w:val="20"/>
                <w:szCs w:val="20"/>
                <w:lang w:eastAsia="zh-CN"/>
              </w:rPr>
              <w:t>的</w:t>
            </w:r>
            <w:proofErr w:type="gramEnd"/>
            <w:r>
              <w:rPr>
                <w:sz w:val="20"/>
                <w:szCs w:val="20"/>
                <w:lang w:eastAsia="zh-CN"/>
              </w:rPr>
              <w:t>特性，关联交易的类型、参与方、时间、金额、结算货币、交易条件、贸易形式，以及关联交易与非关联交易业务的异同等。</w:t>
            </w:r>
          </w:p>
        </w:tc>
        <w:tc>
          <w:tcPr>
            <w:tcW w:w="1134" w:type="dxa"/>
            <w:shd w:val="clear" w:color="auto" w:fill="DDEBF7"/>
            <w:vAlign w:val="center"/>
          </w:tcPr>
          <w:p w14:paraId="71D8013A" w14:textId="77777777" w:rsidR="006B4107" w:rsidRDefault="004E70C7">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sz w:val="20"/>
                <w:szCs w:val="20"/>
                <w:lang w:eastAsia="zh-CN"/>
              </w:rPr>
            </w:pPr>
            <w:r>
              <w:rPr>
                <w:sz w:val="20"/>
                <w:szCs w:val="20"/>
                <w:lang w:eastAsia="zh-CN"/>
              </w:rPr>
              <w:t>4.2</w:t>
            </w:r>
          </w:p>
          <w:p w14:paraId="06B414DF" w14:textId="77777777" w:rsidR="006B4107" w:rsidRDefault="004E70C7">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sz w:val="20"/>
                <w:szCs w:val="20"/>
                <w:lang w:eastAsia="zh-CN"/>
              </w:rPr>
            </w:pPr>
            <w:r>
              <w:rPr>
                <w:sz w:val="20"/>
                <w:szCs w:val="20"/>
                <w:lang w:eastAsia="zh-CN"/>
              </w:rPr>
              <w:t>4.3</w:t>
            </w:r>
          </w:p>
          <w:p w14:paraId="459159CC" w14:textId="77777777" w:rsidR="006B4107" w:rsidRDefault="004E70C7">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sz w:val="20"/>
                <w:szCs w:val="20"/>
                <w:lang w:eastAsia="zh-CN"/>
              </w:rPr>
            </w:pPr>
            <w:r>
              <w:rPr>
                <w:sz w:val="20"/>
                <w:szCs w:val="20"/>
                <w:lang w:eastAsia="zh-CN"/>
              </w:rPr>
              <w:t>4.4</w:t>
            </w:r>
          </w:p>
          <w:p w14:paraId="742EB615" w14:textId="77777777" w:rsidR="006B4107" w:rsidRDefault="004E70C7">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sz w:val="20"/>
                <w:szCs w:val="20"/>
                <w:lang w:eastAsia="zh-CN"/>
              </w:rPr>
            </w:pPr>
            <w:r>
              <w:rPr>
                <w:sz w:val="20"/>
                <w:szCs w:val="20"/>
                <w:lang w:eastAsia="zh-CN"/>
              </w:rPr>
              <w:t>4.5</w:t>
            </w:r>
          </w:p>
          <w:p w14:paraId="3F0C2EB4" w14:textId="77777777" w:rsidR="006B4107" w:rsidRDefault="004E70C7">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sz w:val="20"/>
                <w:szCs w:val="20"/>
                <w:lang w:eastAsia="zh-CN"/>
              </w:rPr>
            </w:pPr>
            <w:r>
              <w:rPr>
                <w:sz w:val="20"/>
                <w:szCs w:val="20"/>
                <w:lang w:eastAsia="zh-CN"/>
              </w:rPr>
              <w:t>4.7</w:t>
            </w:r>
          </w:p>
        </w:tc>
      </w:tr>
      <w:tr w:rsidR="006B4107" w14:paraId="78564F65" w14:textId="77777777" w:rsidTr="006B4107">
        <w:tc>
          <w:tcPr>
            <w:cnfStyle w:val="001000000000" w:firstRow="0" w:lastRow="0" w:firstColumn="1" w:lastColumn="0" w:oddVBand="0" w:evenVBand="0" w:oddHBand="0" w:evenHBand="0" w:firstRowFirstColumn="0" w:firstRowLastColumn="0" w:lastRowFirstColumn="0" w:lastRowLastColumn="0"/>
            <w:tcW w:w="988" w:type="dxa"/>
            <w:vMerge/>
            <w:shd w:val="clear" w:color="auto" w:fill="auto"/>
            <w:vAlign w:val="center"/>
          </w:tcPr>
          <w:p w14:paraId="2FE74AD1" w14:textId="77777777" w:rsidR="006B4107" w:rsidRDefault="006B4107">
            <w:pPr>
              <w:pStyle w:val="F"/>
              <w:adjustRightInd w:val="0"/>
              <w:snapToGrid w:val="0"/>
              <w:spacing w:line="240" w:lineRule="auto"/>
              <w:ind w:firstLine="0"/>
              <w:rPr>
                <w:rFonts w:ascii="仿宋" w:eastAsia="仿宋" w:hAnsi="仿宋"/>
                <w:sz w:val="20"/>
                <w:szCs w:val="20"/>
                <w:lang w:eastAsia="zh-CN"/>
              </w:rPr>
            </w:pPr>
          </w:p>
        </w:tc>
        <w:tc>
          <w:tcPr>
            <w:tcW w:w="6095" w:type="dxa"/>
            <w:shd w:val="clear" w:color="auto" w:fill="auto"/>
            <w:vAlign w:val="center"/>
          </w:tcPr>
          <w:p w14:paraId="572E0778" w14:textId="77777777" w:rsidR="006B4107" w:rsidRDefault="004E70C7">
            <w:pPr>
              <w:pStyle w:val="F"/>
              <w:numPr>
                <w:ilvl w:val="0"/>
                <w:numId w:val="10"/>
              </w:numPr>
              <w:adjustRightInd w:val="0"/>
              <w:snapToGrid w:val="0"/>
              <w:spacing w:before="0" w:after="0" w:line="240" w:lineRule="auto"/>
              <w:ind w:left="600" w:hanging="425"/>
              <w:cnfStyle w:val="000000000000" w:firstRow="0" w:lastRow="0" w:firstColumn="0" w:lastColumn="0" w:oddVBand="0" w:evenVBand="0" w:oddHBand="0" w:evenHBand="0" w:firstRowFirstColumn="0" w:firstRowLastColumn="0" w:lastRowFirstColumn="0" w:lastRowLastColumn="0"/>
              <w:rPr>
                <w:sz w:val="20"/>
                <w:szCs w:val="20"/>
                <w:lang w:eastAsia="zh-CN"/>
              </w:rPr>
            </w:pPr>
            <w:r>
              <w:rPr>
                <w:sz w:val="20"/>
                <w:szCs w:val="20"/>
                <w:lang w:eastAsia="zh-CN"/>
              </w:rPr>
              <w:t>关联交易流程，包括关联交易的信息流、物流和资金流，与非关联交易业务流程的异同；</w:t>
            </w:r>
          </w:p>
        </w:tc>
        <w:tc>
          <w:tcPr>
            <w:tcW w:w="1134" w:type="dxa"/>
            <w:shd w:val="clear" w:color="auto" w:fill="auto"/>
            <w:vAlign w:val="center"/>
          </w:tcPr>
          <w:p w14:paraId="1BE174BE" w14:textId="77777777" w:rsidR="006B4107" w:rsidRDefault="004E70C7">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sz w:val="20"/>
                <w:szCs w:val="20"/>
                <w:lang w:eastAsia="zh-CN"/>
              </w:rPr>
            </w:pPr>
            <w:r>
              <w:rPr>
                <w:sz w:val="20"/>
                <w:szCs w:val="20"/>
                <w:lang w:eastAsia="zh-CN"/>
              </w:rPr>
              <w:t>4.3</w:t>
            </w:r>
          </w:p>
          <w:p w14:paraId="334850F3" w14:textId="77777777" w:rsidR="006B4107" w:rsidRDefault="004E70C7">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sz w:val="20"/>
                <w:szCs w:val="20"/>
                <w:lang w:eastAsia="zh-CN"/>
              </w:rPr>
            </w:pPr>
            <w:r>
              <w:rPr>
                <w:sz w:val="20"/>
                <w:szCs w:val="20"/>
                <w:lang w:eastAsia="zh-CN"/>
              </w:rPr>
              <w:t>4.4</w:t>
            </w:r>
          </w:p>
        </w:tc>
      </w:tr>
      <w:tr w:rsidR="006B4107" w14:paraId="4A1876D5" w14:textId="77777777" w:rsidTr="006B4107">
        <w:tc>
          <w:tcPr>
            <w:cnfStyle w:val="001000000000" w:firstRow="0" w:lastRow="0" w:firstColumn="1" w:lastColumn="0" w:oddVBand="0" w:evenVBand="0" w:oddHBand="0" w:evenHBand="0" w:firstRowFirstColumn="0" w:firstRowLastColumn="0" w:lastRowFirstColumn="0" w:lastRowLastColumn="0"/>
            <w:tcW w:w="988" w:type="dxa"/>
            <w:vMerge/>
            <w:shd w:val="clear" w:color="auto" w:fill="auto"/>
            <w:vAlign w:val="center"/>
          </w:tcPr>
          <w:p w14:paraId="2230BCB8" w14:textId="77777777" w:rsidR="006B4107" w:rsidRDefault="006B4107">
            <w:pPr>
              <w:pStyle w:val="F"/>
              <w:adjustRightInd w:val="0"/>
              <w:snapToGrid w:val="0"/>
              <w:spacing w:line="240" w:lineRule="auto"/>
              <w:ind w:firstLine="0"/>
              <w:rPr>
                <w:rFonts w:ascii="仿宋" w:eastAsia="仿宋" w:hAnsi="仿宋"/>
                <w:sz w:val="20"/>
                <w:szCs w:val="20"/>
                <w:lang w:eastAsia="zh-CN"/>
              </w:rPr>
            </w:pPr>
          </w:p>
        </w:tc>
        <w:tc>
          <w:tcPr>
            <w:tcW w:w="6095" w:type="dxa"/>
            <w:shd w:val="clear" w:color="auto" w:fill="DDEBF7"/>
            <w:vAlign w:val="center"/>
          </w:tcPr>
          <w:p w14:paraId="42C4AF64" w14:textId="77777777" w:rsidR="006B4107" w:rsidRDefault="004E70C7">
            <w:pPr>
              <w:pStyle w:val="F"/>
              <w:numPr>
                <w:ilvl w:val="0"/>
                <w:numId w:val="10"/>
              </w:numPr>
              <w:adjustRightInd w:val="0"/>
              <w:snapToGrid w:val="0"/>
              <w:spacing w:before="0" w:after="0" w:line="240" w:lineRule="auto"/>
              <w:ind w:left="600" w:hanging="425"/>
              <w:cnfStyle w:val="000000000000" w:firstRow="0" w:lastRow="0" w:firstColumn="0" w:lastColumn="0" w:oddVBand="0" w:evenVBand="0" w:oddHBand="0" w:evenHBand="0" w:firstRowFirstColumn="0" w:firstRowLastColumn="0" w:lastRowFirstColumn="0" w:lastRowLastColumn="0"/>
              <w:rPr>
                <w:sz w:val="20"/>
                <w:szCs w:val="20"/>
                <w:lang w:eastAsia="zh-CN"/>
              </w:rPr>
            </w:pPr>
            <w:r>
              <w:rPr>
                <w:sz w:val="20"/>
                <w:szCs w:val="20"/>
                <w:lang w:eastAsia="zh-CN"/>
              </w:rPr>
              <w:t>功能风险描述，包括企业及其关联方在各类关联交易中执行的功能、承担的风险和使用的资产；</w:t>
            </w:r>
          </w:p>
        </w:tc>
        <w:tc>
          <w:tcPr>
            <w:tcW w:w="1134" w:type="dxa"/>
            <w:shd w:val="clear" w:color="auto" w:fill="DDEBF7"/>
            <w:vAlign w:val="center"/>
          </w:tcPr>
          <w:p w14:paraId="0E897349" w14:textId="77777777" w:rsidR="006B4107" w:rsidRDefault="004E70C7">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sz w:val="20"/>
                <w:szCs w:val="20"/>
                <w:lang w:eastAsia="zh-CN"/>
              </w:rPr>
            </w:pPr>
            <w:r>
              <w:rPr>
                <w:sz w:val="20"/>
                <w:szCs w:val="20"/>
                <w:lang w:eastAsia="zh-CN"/>
              </w:rPr>
              <w:t>5</w:t>
            </w:r>
          </w:p>
        </w:tc>
      </w:tr>
      <w:tr w:rsidR="006B4107" w14:paraId="006E438E" w14:textId="77777777" w:rsidTr="006B4107">
        <w:tc>
          <w:tcPr>
            <w:cnfStyle w:val="001000000000" w:firstRow="0" w:lastRow="0" w:firstColumn="1" w:lastColumn="0" w:oddVBand="0" w:evenVBand="0" w:oddHBand="0" w:evenHBand="0" w:firstRowFirstColumn="0" w:firstRowLastColumn="0" w:lastRowFirstColumn="0" w:lastRowLastColumn="0"/>
            <w:tcW w:w="988" w:type="dxa"/>
            <w:vMerge/>
            <w:shd w:val="clear" w:color="auto" w:fill="auto"/>
            <w:vAlign w:val="center"/>
          </w:tcPr>
          <w:p w14:paraId="2793B5E0" w14:textId="77777777" w:rsidR="006B4107" w:rsidRDefault="006B4107">
            <w:pPr>
              <w:pStyle w:val="F"/>
              <w:adjustRightInd w:val="0"/>
              <w:snapToGrid w:val="0"/>
              <w:spacing w:line="240" w:lineRule="auto"/>
              <w:ind w:firstLine="0"/>
              <w:rPr>
                <w:rFonts w:ascii="仿宋" w:eastAsia="仿宋" w:hAnsi="仿宋"/>
                <w:sz w:val="20"/>
                <w:szCs w:val="20"/>
                <w:lang w:eastAsia="zh-CN"/>
              </w:rPr>
            </w:pPr>
          </w:p>
        </w:tc>
        <w:tc>
          <w:tcPr>
            <w:tcW w:w="6095" w:type="dxa"/>
            <w:shd w:val="clear" w:color="auto" w:fill="auto"/>
            <w:vAlign w:val="center"/>
          </w:tcPr>
          <w:p w14:paraId="68B52CD0" w14:textId="77777777" w:rsidR="006B4107" w:rsidRDefault="004E70C7">
            <w:pPr>
              <w:pStyle w:val="F"/>
              <w:numPr>
                <w:ilvl w:val="0"/>
                <w:numId w:val="10"/>
              </w:numPr>
              <w:adjustRightInd w:val="0"/>
              <w:snapToGrid w:val="0"/>
              <w:spacing w:before="0" w:after="0" w:line="240" w:lineRule="auto"/>
              <w:ind w:left="600" w:hanging="425"/>
              <w:cnfStyle w:val="000000000000" w:firstRow="0" w:lastRow="0" w:firstColumn="0" w:lastColumn="0" w:oddVBand="0" w:evenVBand="0" w:oddHBand="0" w:evenHBand="0" w:firstRowFirstColumn="0" w:firstRowLastColumn="0" w:lastRowFirstColumn="0" w:lastRowLastColumn="0"/>
              <w:rPr>
                <w:sz w:val="20"/>
                <w:szCs w:val="20"/>
                <w:lang w:eastAsia="zh-CN"/>
              </w:rPr>
            </w:pPr>
            <w:r>
              <w:rPr>
                <w:sz w:val="20"/>
                <w:szCs w:val="20"/>
                <w:lang w:eastAsia="zh-CN"/>
              </w:rPr>
              <w:t>交易定价影响要素，包括关联交易涉及的无形资产及其影响，成本节约、市场溢价等地域特殊因素。地域特殊因素应从劳动力成本、环境成本、市场规模、市场竞争程度、消费者购买力、商品或者劳务的可替代性、政府管制等方面进行分析；</w:t>
            </w:r>
          </w:p>
        </w:tc>
        <w:tc>
          <w:tcPr>
            <w:tcW w:w="1134" w:type="dxa"/>
            <w:shd w:val="clear" w:color="auto" w:fill="auto"/>
            <w:vAlign w:val="center"/>
          </w:tcPr>
          <w:p w14:paraId="09850A9F" w14:textId="77777777" w:rsidR="006B4107" w:rsidRDefault="004E70C7">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sz w:val="20"/>
                <w:szCs w:val="20"/>
                <w:lang w:eastAsia="zh-CN"/>
              </w:rPr>
            </w:pPr>
            <w:r>
              <w:rPr>
                <w:sz w:val="20"/>
                <w:szCs w:val="20"/>
                <w:lang w:eastAsia="zh-CN"/>
              </w:rPr>
              <w:t>4.3</w:t>
            </w:r>
          </w:p>
          <w:p w14:paraId="4FF52E2F" w14:textId="77777777" w:rsidR="006B4107" w:rsidRDefault="004E70C7">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sz w:val="20"/>
                <w:szCs w:val="20"/>
                <w:lang w:eastAsia="zh-CN"/>
              </w:rPr>
            </w:pPr>
            <w:r>
              <w:rPr>
                <w:sz w:val="20"/>
                <w:szCs w:val="20"/>
                <w:lang w:eastAsia="zh-CN"/>
              </w:rPr>
              <w:t>4.4</w:t>
            </w:r>
          </w:p>
          <w:p w14:paraId="0BF9924D" w14:textId="77777777" w:rsidR="006B4107" w:rsidRDefault="004E70C7">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sz w:val="20"/>
                <w:szCs w:val="20"/>
                <w:lang w:eastAsia="zh-CN"/>
              </w:rPr>
            </w:pPr>
            <w:r>
              <w:rPr>
                <w:sz w:val="20"/>
                <w:szCs w:val="20"/>
                <w:lang w:eastAsia="zh-CN"/>
              </w:rPr>
              <w:t>6.3</w:t>
            </w:r>
          </w:p>
        </w:tc>
      </w:tr>
      <w:tr w:rsidR="006B4107" w14:paraId="70D3A4E0" w14:textId="77777777" w:rsidTr="006B4107">
        <w:tc>
          <w:tcPr>
            <w:cnfStyle w:val="001000000000" w:firstRow="0" w:lastRow="0" w:firstColumn="1" w:lastColumn="0" w:oddVBand="0" w:evenVBand="0" w:oddHBand="0" w:evenHBand="0" w:firstRowFirstColumn="0" w:firstRowLastColumn="0" w:lastRowFirstColumn="0" w:lastRowLastColumn="0"/>
            <w:tcW w:w="988" w:type="dxa"/>
            <w:vMerge/>
            <w:shd w:val="clear" w:color="auto" w:fill="auto"/>
            <w:vAlign w:val="center"/>
          </w:tcPr>
          <w:p w14:paraId="21225F2D" w14:textId="77777777" w:rsidR="006B4107" w:rsidRDefault="006B4107">
            <w:pPr>
              <w:pStyle w:val="F"/>
              <w:adjustRightInd w:val="0"/>
              <w:snapToGrid w:val="0"/>
              <w:spacing w:line="240" w:lineRule="auto"/>
              <w:ind w:firstLine="0"/>
              <w:rPr>
                <w:rFonts w:ascii="仿宋" w:eastAsia="仿宋" w:hAnsi="仿宋"/>
                <w:sz w:val="20"/>
                <w:szCs w:val="20"/>
                <w:lang w:eastAsia="zh-CN"/>
              </w:rPr>
            </w:pPr>
          </w:p>
        </w:tc>
        <w:tc>
          <w:tcPr>
            <w:tcW w:w="6095" w:type="dxa"/>
            <w:shd w:val="clear" w:color="auto" w:fill="DDEBF7"/>
            <w:vAlign w:val="center"/>
          </w:tcPr>
          <w:p w14:paraId="3EAA0ADB" w14:textId="77777777" w:rsidR="006B4107" w:rsidRDefault="004E70C7">
            <w:pPr>
              <w:pStyle w:val="F"/>
              <w:numPr>
                <w:ilvl w:val="0"/>
                <w:numId w:val="10"/>
              </w:numPr>
              <w:adjustRightInd w:val="0"/>
              <w:snapToGrid w:val="0"/>
              <w:spacing w:before="0" w:after="0" w:line="240" w:lineRule="auto"/>
              <w:ind w:left="600" w:hanging="425"/>
              <w:cnfStyle w:val="000000000000" w:firstRow="0" w:lastRow="0" w:firstColumn="0" w:lastColumn="0" w:oddVBand="0" w:evenVBand="0" w:oddHBand="0" w:evenHBand="0" w:firstRowFirstColumn="0" w:firstRowLastColumn="0" w:lastRowFirstColumn="0" w:lastRowLastColumn="0"/>
              <w:rPr>
                <w:sz w:val="20"/>
                <w:szCs w:val="20"/>
                <w:lang w:eastAsia="zh-CN"/>
              </w:rPr>
            </w:pPr>
            <w:r>
              <w:rPr>
                <w:sz w:val="20"/>
                <w:szCs w:val="20"/>
                <w:lang w:eastAsia="zh-CN"/>
              </w:rPr>
              <w:t>关联交易数据，包括各关联方、各类关联交易涉及的交易金额。分别披露关联交易和非关联交易的收入、成本、费用和利润，不能直接归集的，按照合理比例划分，并说明该划分比例的依据。</w:t>
            </w:r>
          </w:p>
        </w:tc>
        <w:tc>
          <w:tcPr>
            <w:tcW w:w="1134" w:type="dxa"/>
            <w:shd w:val="clear" w:color="auto" w:fill="DDEBF7"/>
            <w:vAlign w:val="center"/>
          </w:tcPr>
          <w:p w14:paraId="1C6F39CE" w14:textId="77777777" w:rsidR="006B4107" w:rsidRDefault="004E70C7">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sz w:val="20"/>
                <w:szCs w:val="20"/>
                <w:lang w:eastAsia="zh-CN"/>
              </w:rPr>
            </w:pPr>
            <w:r>
              <w:rPr>
                <w:sz w:val="20"/>
                <w:szCs w:val="20"/>
                <w:lang w:eastAsia="zh-CN"/>
              </w:rPr>
              <w:t>4.2</w:t>
            </w:r>
          </w:p>
          <w:p w14:paraId="72096581" w14:textId="77777777" w:rsidR="006B4107" w:rsidRDefault="004E70C7">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sz w:val="20"/>
                <w:szCs w:val="20"/>
                <w:lang w:eastAsia="zh-CN"/>
              </w:rPr>
            </w:pPr>
            <w:r>
              <w:rPr>
                <w:sz w:val="20"/>
                <w:szCs w:val="20"/>
                <w:lang w:eastAsia="zh-CN"/>
              </w:rPr>
              <w:t>4.3</w:t>
            </w:r>
          </w:p>
          <w:p w14:paraId="6D88059D" w14:textId="77777777" w:rsidR="006B4107" w:rsidRDefault="004E70C7">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sz w:val="20"/>
                <w:szCs w:val="20"/>
                <w:lang w:eastAsia="zh-CN"/>
              </w:rPr>
            </w:pPr>
            <w:r>
              <w:rPr>
                <w:sz w:val="20"/>
                <w:szCs w:val="20"/>
                <w:lang w:eastAsia="zh-CN"/>
              </w:rPr>
              <w:t>4.4</w:t>
            </w:r>
          </w:p>
          <w:p w14:paraId="164C4CB4" w14:textId="77777777" w:rsidR="006B4107" w:rsidRDefault="004E70C7">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sz w:val="20"/>
                <w:szCs w:val="20"/>
                <w:lang w:eastAsia="zh-CN"/>
              </w:rPr>
            </w:pPr>
            <w:r>
              <w:rPr>
                <w:sz w:val="20"/>
                <w:szCs w:val="20"/>
                <w:lang w:eastAsia="zh-CN"/>
              </w:rPr>
              <w:t>4.5</w:t>
            </w:r>
          </w:p>
          <w:p w14:paraId="082741D4" w14:textId="77777777" w:rsidR="006B4107" w:rsidRDefault="004E70C7">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sz w:val="20"/>
                <w:szCs w:val="20"/>
                <w:lang w:eastAsia="zh-CN"/>
              </w:rPr>
            </w:pPr>
            <w:r>
              <w:rPr>
                <w:rFonts w:hint="eastAsia"/>
                <w:sz w:val="20"/>
                <w:szCs w:val="20"/>
                <w:lang w:eastAsia="zh-CN"/>
              </w:rPr>
              <w:t>4.7</w:t>
            </w:r>
          </w:p>
          <w:p w14:paraId="65150A7A" w14:textId="77777777" w:rsidR="006B4107" w:rsidRDefault="004E70C7">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sz w:val="20"/>
                <w:szCs w:val="20"/>
                <w:lang w:eastAsia="zh-CN"/>
              </w:rPr>
            </w:pPr>
            <w:r>
              <w:rPr>
                <w:sz w:val="20"/>
                <w:szCs w:val="20"/>
                <w:lang w:eastAsia="zh-CN"/>
              </w:rPr>
              <w:t>4.10</w:t>
            </w:r>
          </w:p>
          <w:p w14:paraId="733FC774" w14:textId="77777777" w:rsidR="006B4107" w:rsidRDefault="004E70C7">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sz w:val="20"/>
                <w:szCs w:val="20"/>
                <w:lang w:eastAsia="zh-CN"/>
              </w:rPr>
            </w:pPr>
            <w:r>
              <w:rPr>
                <w:sz w:val="20"/>
                <w:szCs w:val="20"/>
                <w:lang w:eastAsia="zh-CN"/>
              </w:rPr>
              <w:t>附件</w:t>
            </w:r>
            <w:r>
              <w:rPr>
                <w:sz w:val="20"/>
                <w:szCs w:val="20"/>
                <w:lang w:eastAsia="zh-CN"/>
              </w:rPr>
              <w:t>2</w:t>
            </w:r>
          </w:p>
        </w:tc>
      </w:tr>
      <w:tr w:rsidR="006B4107" w14:paraId="5DC3FE00" w14:textId="77777777" w:rsidTr="006B4107">
        <w:tc>
          <w:tcPr>
            <w:cnfStyle w:val="001000000000" w:firstRow="0" w:lastRow="0" w:firstColumn="1" w:lastColumn="0" w:oddVBand="0" w:evenVBand="0" w:oddHBand="0" w:evenHBand="0" w:firstRowFirstColumn="0" w:firstRowLastColumn="0" w:lastRowFirstColumn="0" w:lastRowLastColumn="0"/>
            <w:tcW w:w="988" w:type="dxa"/>
            <w:vMerge w:val="restart"/>
            <w:shd w:val="clear" w:color="auto" w:fill="auto"/>
            <w:vAlign w:val="center"/>
          </w:tcPr>
          <w:p w14:paraId="02690969" w14:textId="77777777" w:rsidR="006B4107" w:rsidRDefault="004E70C7">
            <w:pPr>
              <w:pStyle w:val="F"/>
              <w:adjustRightInd w:val="0"/>
              <w:snapToGrid w:val="0"/>
              <w:spacing w:line="240" w:lineRule="auto"/>
              <w:ind w:firstLine="0"/>
              <w:rPr>
                <w:rFonts w:ascii="仿宋" w:eastAsia="仿宋" w:hAnsi="仿宋"/>
                <w:sz w:val="20"/>
                <w:szCs w:val="20"/>
                <w:lang w:eastAsia="zh-CN"/>
              </w:rPr>
            </w:pPr>
            <w:r>
              <w:rPr>
                <w:rFonts w:ascii="仿宋" w:eastAsia="仿宋" w:hAnsi="仿宋"/>
                <w:sz w:val="20"/>
                <w:szCs w:val="20"/>
                <w:lang w:eastAsia="zh-CN"/>
              </w:rPr>
              <w:lastRenderedPageBreak/>
              <w:t>（三）关联交易</w:t>
            </w:r>
          </w:p>
          <w:p w14:paraId="129AA124" w14:textId="77777777" w:rsidR="006B4107" w:rsidRDefault="004E70C7">
            <w:pPr>
              <w:pStyle w:val="F"/>
              <w:adjustRightInd w:val="0"/>
              <w:snapToGrid w:val="0"/>
              <w:spacing w:line="240" w:lineRule="auto"/>
              <w:ind w:firstLine="0"/>
              <w:rPr>
                <w:rFonts w:ascii="仿宋" w:eastAsia="仿宋" w:hAnsi="仿宋"/>
                <w:sz w:val="20"/>
                <w:szCs w:val="20"/>
                <w:lang w:eastAsia="zh-CN"/>
              </w:rPr>
            </w:pPr>
            <w:r>
              <w:rPr>
                <w:rFonts w:ascii="仿宋" w:eastAsia="仿宋" w:hAnsi="仿宋"/>
                <w:sz w:val="20"/>
                <w:szCs w:val="20"/>
                <w:lang w:eastAsia="zh-CN"/>
              </w:rPr>
              <w:t>2.</w:t>
            </w:r>
            <w:r>
              <w:rPr>
                <w:rFonts w:ascii="仿宋" w:eastAsia="仿宋" w:hAnsi="仿宋"/>
                <w:sz w:val="20"/>
                <w:szCs w:val="20"/>
                <w:lang w:eastAsia="zh-CN"/>
              </w:rPr>
              <w:t>价值链分析</w:t>
            </w:r>
          </w:p>
        </w:tc>
        <w:tc>
          <w:tcPr>
            <w:tcW w:w="6095" w:type="dxa"/>
            <w:shd w:val="clear" w:color="auto" w:fill="auto"/>
            <w:vAlign w:val="center"/>
          </w:tcPr>
          <w:p w14:paraId="5124AB0F" w14:textId="77777777" w:rsidR="006B4107" w:rsidRDefault="004E70C7">
            <w:pPr>
              <w:pStyle w:val="F"/>
              <w:numPr>
                <w:ilvl w:val="0"/>
                <w:numId w:val="11"/>
              </w:numPr>
              <w:adjustRightInd w:val="0"/>
              <w:snapToGrid w:val="0"/>
              <w:spacing w:before="0" w:after="0" w:line="240" w:lineRule="auto"/>
              <w:ind w:left="600" w:hanging="425"/>
              <w:cnfStyle w:val="000000000000" w:firstRow="0" w:lastRow="0" w:firstColumn="0" w:lastColumn="0" w:oddVBand="0" w:evenVBand="0" w:oddHBand="0" w:evenHBand="0" w:firstRowFirstColumn="0" w:firstRowLastColumn="0" w:lastRowFirstColumn="0" w:lastRowLastColumn="0"/>
              <w:rPr>
                <w:sz w:val="20"/>
                <w:szCs w:val="20"/>
                <w:lang w:eastAsia="zh-CN"/>
              </w:rPr>
            </w:pPr>
            <w:r>
              <w:rPr>
                <w:sz w:val="20"/>
                <w:szCs w:val="20"/>
                <w:lang w:eastAsia="zh-CN"/>
              </w:rPr>
              <w:t>企业集团内业务流、物流和资金流，包括商品、劳务或者其他交易标的从设计、开发、生产制造、营销、销售、交货、结算、消费、售后服务、循环利用等各环节及其参与方；</w:t>
            </w:r>
          </w:p>
        </w:tc>
        <w:tc>
          <w:tcPr>
            <w:tcW w:w="1134" w:type="dxa"/>
            <w:shd w:val="clear" w:color="auto" w:fill="auto"/>
            <w:vAlign w:val="center"/>
          </w:tcPr>
          <w:p w14:paraId="06C34C26" w14:textId="77777777" w:rsidR="006B4107" w:rsidRDefault="004E70C7">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sz w:val="20"/>
                <w:szCs w:val="20"/>
                <w:lang w:eastAsia="zh-CN"/>
              </w:rPr>
            </w:pPr>
            <w:r>
              <w:rPr>
                <w:sz w:val="20"/>
                <w:szCs w:val="20"/>
                <w:lang w:eastAsia="zh-CN"/>
              </w:rPr>
              <w:t>4</w:t>
            </w:r>
          </w:p>
          <w:p w14:paraId="0D4CFE49" w14:textId="77777777" w:rsidR="006B4107" w:rsidRDefault="004E70C7">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sz w:val="20"/>
                <w:szCs w:val="20"/>
                <w:lang w:eastAsia="zh-CN"/>
              </w:rPr>
            </w:pPr>
            <w:r>
              <w:rPr>
                <w:sz w:val="20"/>
                <w:szCs w:val="20"/>
                <w:lang w:eastAsia="zh-CN"/>
              </w:rPr>
              <w:t>6</w:t>
            </w:r>
          </w:p>
        </w:tc>
      </w:tr>
      <w:tr w:rsidR="006B4107" w14:paraId="118C9068" w14:textId="77777777" w:rsidTr="006B4107">
        <w:tc>
          <w:tcPr>
            <w:cnfStyle w:val="001000000000" w:firstRow="0" w:lastRow="0" w:firstColumn="1" w:lastColumn="0" w:oddVBand="0" w:evenVBand="0" w:oddHBand="0" w:evenHBand="0" w:firstRowFirstColumn="0" w:firstRowLastColumn="0" w:lastRowFirstColumn="0" w:lastRowLastColumn="0"/>
            <w:tcW w:w="988" w:type="dxa"/>
            <w:vMerge/>
            <w:shd w:val="clear" w:color="auto" w:fill="auto"/>
            <w:vAlign w:val="center"/>
          </w:tcPr>
          <w:p w14:paraId="42F42AC7" w14:textId="77777777" w:rsidR="006B4107" w:rsidRDefault="006B4107">
            <w:pPr>
              <w:pStyle w:val="F"/>
              <w:adjustRightInd w:val="0"/>
              <w:snapToGrid w:val="0"/>
              <w:spacing w:line="240" w:lineRule="auto"/>
              <w:ind w:firstLine="0"/>
              <w:rPr>
                <w:rFonts w:ascii="仿宋" w:eastAsia="仿宋" w:hAnsi="仿宋"/>
                <w:sz w:val="20"/>
                <w:szCs w:val="20"/>
                <w:lang w:eastAsia="zh-CN"/>
              </w:rPr>
            </w:pPr>
          </w:p>
        </w:tc>
        <w:tc>
          <w:tcPr>
            <w:tcW w:w="6095" w:type="dxa"/>
            <w:shd w:val="clear" w:color="auto" w:fill="DDEBF7"/>
            <w:vAlign w:val="center"/>
          </w:tcPr>
          <w:p w14:paraId="2C19F9E6" w14:textId="77777777" w:rsidR="006B4107" w:rsidRDefault="004E70C7">
            <w:pPr>
              <w:pStyle w:val="F"/>
              <w:numPr>
                <w:ilvl w:val="0"/>
                <w:numId w:val="11"/>
              </w:numPr>
              <w:adjustRightInd w:val="0"/>
              <w:snapToGrid w:val="0"/>
              <w:spacing w:before="0" w:after="0" w:line="240" w:lineRule="auto"/>
              <w:ind w:left="600" w:hanging="425"/>
              <w:cnfStyle w:val="000000000000" w:firstRow="0" w:lastRow="0" w:firstColumn="0" w:lastColumn="0" w:oddVBand="0" w:evenVBand="0" w:oddHBand="0" w:evenHBand="0" w:firstRowFirstColumn="0" w:firstRowLastColumn="0" w:lastRowFirstColumn="0" w:lastRowLastColumn="0"/>
              <w:rPr>
                <w:sz w:val="20"/>
                <w:szCs w:val="20"/>
                <w:lang w:eastAsia="zh-CN"/>
              </w:rPr>
            </w:pPr>
            <w:r>
              <w:rPr>
                <w:sz w:val="20"/>
                <w:szCs w:val="20"/>
                <w:lang w:eastAsia="zh-CN"/>
              </w:rPr>
              <w:t>上述各环节参与方最近会计年度的财务报表；</w:t>
            </w:r>
          </w:p>
        </w:tc>
        <w:tc>
          <w:tcPr>
            <w:tcW w:w="1134" w:type="dxa"/>
            <w:shd w:val="clear" w:color="auto" w:fill="DDEBF7"/>
            <w:vAlign w:val="center"/>
          </w:tcPr>
          <w:p w14:paraId="7B94ABB7" w14:textId="77777777" w:rsidR="006B4107" w:rsidRDefault="004E70C7">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sz w:val="20"/>
                <w:szCs w:val="20"/>
                <w:lang w:eastAsia="zh-CN"/>
              </w:rPr>
            </w:pPr>
            <w:r>
              <w:rPr>
                <w:sz w:val="20"/>
                <w:szCs w:val="20"/>
                <w:lang w:eastAsia="zh-CN"/>
              </w:rPr>
              <w:t>待税局要求后配合提供</w:t>
            </w:r>
          </w:p>
        </w:tc>
      </w:tr>
      <w:tr w:rsidR="006B4107" w14:paraId="5DD36238" w14:textId="77777777" w:rsidTr="006B4107">
        <w:tc>
          <w:tcPr>
            <w:cnfStyle w:val="001000000000" w:firstRow="0" w:lastRow="0" w:firstColumn="1" w:lastColumn="0" w:oddVBand="0" w:evenVBand="0" w:oddHBand="0" w:evenHBand="0" w:firstRowFirstColumn="0" w:firstRowLastColumn="0" w:lastRowFirstColumn="0" w:lastRowLastColumn="0"/>
            <w:tcW w:w="988" w:type="dxa"/>
            <w:vMerge/>
            <w:shd w:val="clear" w:color="auto" w:fill="auto"/>
            <w:vAlign w:val="center"/>
          </w:tcPr>
          <w:p w14:paraId="588CA23F" w14:textId="77777777" w:rsidR="006B4107" w:rsidRDefault="006B4107">
            <w:pPr>
              <w:pStyle w:val="F"/>
              <w:adjustRightInd w:val="0"/>
              <w:snapToGrid w:val="0"/>
              <w:spacing w:line="240" w:lineRule="auto"/>
              <w:ind w:firstLine="0"/>
              <w:rPr>
                <w:rFonts w:ascii="仿宋" w:eastAsia="仿宋" w:hAnsi="仿宋"/>
                <w:sz w:val="20"/>
                <w:szCs w:val="20"/>
                <w:lang w:eastAsia="zh-CN"/>
              </w:rPr>
            </w:pPr>
          </w:p>
        </w:tc>
        <w:tc>
          <w:tcPr>
            <w:tcW w:w="6095" w:type="dxa"/>
            <w:shd w:val="clear" w:color="auto" w:fill="auto"/>
            <w:vAlign w:val="center"/>
          </w:tcPr>
          <w:p w14:paraId="26393B22" w14:textId="77777777" w:rsidR="006B4107" w:rsidRDefault="004E70C7">
            <w:pPr>
              <w:pStyle w:val="F"/>
              <w:numPr>
                <w:ilvl w:val="0"/>
                <w:numId w:val="11"/>
              </w:numPr>
              <w:adjustRightInd w:val="0"/>
              <w:snapToGrid w:val="0"/>
              <w:spacing w:before="0" w:after="0" w:line="240" w:lineRule="auto"/>
              <w:ind w:left="600" w:hanging="425"/>
              <w:cnfStyle w:val="000000000000" w:firstRow="0" w:lastRow="0" w:firstColumn="0" w:lastColumn="0" w:oddVBand="0" w:evenVBand="0" w:oddHBand="0" w:evenHBand="0" w:firstRowFirstColumn="0" w:firstRowLastColumn="0" w:lastRowFirstColumn="0" w:lastRowLastColumn="0"/>
              <w:rPr>
                <w:sz w:val="20"/>
                <w:szCs w:val="20"/>
                <w:lang w:eastAsia="zh-CN"/>
              </w:rPr>
            </w:pPr>
            <w:r>
              <w:rPr>
                <w:sz w:val="20"/>
                <w:szCs w:val="20"/>
                <w:lang w:eastAsia="zh-CN"/>
              </w:rPr>
              <w:t>地域特殊因素对企业创造价值贡献的计量及其归属；</w:t>
            </w:r>
          </w:p>
        </w:tc>
        <w:tc>
          <w:tcPr>
            <w:tcW w:w="1134" w:type="dxa"/>
            <w:shd w:val="clear" w:color="auto" w:fill="auto"/>
            <w:vAlign w:val="center"/>
          </w:tcPr>
          <w:p w14:paraId="7C9E3E92" w14:textId="77777777" w:rsidR="006B4107" w:rsidRDefault="004E70C7">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sz w:val="20"/>
                <w:szCs w:val="20"/>
                <w:lang w:eastAsia="zh-CN"/>
              </w:rPr>
            </w:pPr>
            <w:r>
              <w:rPr>
                <w:sz w:val="20"/>
                <w:szCs w:val="20"/>
                <w:lang w:eastAsia="zh-CN"/>
              </w:rPr>
              <w:t>6</w:t>
            </w:r>
          </w:p>
        </w:tc>
      </w:tr>
      <w:tr w:rsidR="006B4107" w14:paraId="631D2CAA" w14:textId="77777777" w:rsidTr="006B4107">
        <w:tc>
          <w:tcPr>
            <w:cnfStyle w:val="001000000000" w:firstRow="0" w:lastRow="0" w:firstColumn="1" w:lastColumn="0" w:oddVBand="0" w:evenVBand="0" w:oddHBand="0" w:evenHBand="0" w:firstRowFirstColumn="0" w:firstRowLastColumn="0" w:lastRowFirstColumn="0" w:lastRowLastColumn="0"/>
            <w:tcW w:w="988" w:type="dxa"/>
            <w:vMerge/>
            <w:shd w:val="clear" w:color="auto" w:fill="auto"/>
            <w:vAlign w:val="center"/>
          </w:tcPr>
          <w:p w14:paraId="116BEFDD" w14:textId="77777777" w:rsidR="006B4107" w:rsidRDefault="006B4107">
            <w:pPr>
              <w:pStyle w:val="F"/>
              <w:adjustRightInd w:val="0"/>
              <w:snapToGrid w:val="0"/>
              <w:spacing w:line="240" w:lineRule="auto"/>
              <w:ind w:firstLine="0"/>
              <w:rPr>
                <w:rFonts w:ascii="仿宋" w:eastAsia="仿宋" w:hAnsi="仿宋"/>
                <w:sz w:val="20"/>
                <w:szCs w:val="20"/>
                <w:lang w:eastAsia="zh-CN"/>
              </w:rPr>
            </w:pPr>
          </w:p>
        </w:tc>
        <w:tc>
          <w:tcPr>
            <w:tcW w:w="6095" w:type="dxa"/>
            <w:shd w:val="clear" w:color="auto" w:fill="DDEBF7"/>
            <w:vAlign w:val="center"/>
          </w:tcPr>
          <w:p w14:paraId="74DDABE0" w14:textId="77777777" w:rsidR="006B4107" w:rsidRDefault="004E70C7">
            <w:pPr>
              <w:pStyle w:val="F"/>
              <w:numPr>
                <w:ilvl w:val="0"/>
                <w:numId w:val="11"/>
              </w:numPr>
              <w:adjustRightInd w:val="0"/>
              <w:snapToGrid w:val="0"/>
              <w:spacing w:before="0" w:after="0" w:line="240" w:lineRule="auto"/>
              <w:ind w:left="600" w:hanging="425"/>
              <w:cnfStyle w:val="000000000000" w:firstRow="0" w:lastRow="0" w:firstColumn="0" w:lastColumn="0" w:oddVBand="0" w:evenVBand="0" w:oddHBand="0" w:evenHBand="0" w:firstRowFirstColumn="0" w:firstRowLastColumn="0" w:lastRowFirstColumn="0" w:lastRowLastColumn="0"/>
              <w:rPr>
                <w:sz w:val="20"/>
                <w:szCs w:val="20"/>
                <w:lang w:eastAsia="zh-CN"/>
              </w:rPr>
            </w:pPr>
            <w:r>
              <w:rPr>
                <w:sz w:val="20"/>
                <w:szCs w:val="20"/>
                <w:lang w:eastAsia="zh-CN"/>
              </w:rPr>
              <w:t>企业集团利润在全球价值链条中的分配原则和分配结果；</w:t>
            </w:r>
          </w:p>
        </w:tc>
        <w:tc>
          <w:tcPr>
            <w:tcW w:w="1134" w:type="dxa"/>
            <w:shd w:val="clear" w:color="auto" w:fill="DDEBF7"/>
            <w:vAlign w:val="center"/>
          </w:tcPr>
          <w:p w14:paraId="7717B239" w14:textId="77777777" w:rsidR="006B4107" w:rsidRDefault="004E70C7">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sz w:val="20"/>
                <w:szCs w:val="20"/>
                <w:lang w:eastAsia="zh-CN"/>
              </w:rPr>
            </w:pPr>
            <w:r>
              <w:rPr>
                <w:sz w:val="20"/>
                <w:szCs w:val="20"/>
                <w:lang w:eastAsia="zh-CN"/>
              </w:rPr>
              <w:t>6</w:t>
            </w:r>
          </w:p>
        </w:tc>
      </w:tr>
      <w:tr w:rsidR="006B4107" w14:paraId="1C4F2460" w14:textId="77777777" w:rsidTr="006B4107">
        <w:tc>
          <w:tcPr>
            <w:cnfStyle w:val="001000000000" w:firstRow="0" w:lastRow="0" w:firstColumn="1" w:lastColumn="0" w:oddVBand="0" w:evenVBand="0" w:oddHBand="0" w:evenHBand="0" w:firstRowFirstColumn="0" w:firstRowLastColumn="0" w:lastRowFirstColumn="0" w:lastRowLastColumn="0"/>
            <w:tcW w:w="988" w:type="dxa"/>
            <w:vMerge w:val="restart"/>
            <w:shd w:val="clear" w:color="auto" w:fill="auto"/>
            <w:vAlign w:val="center"/>
          </w:tcPr>
          <w:p w14:paraId="71476E9D" w14:textId="77777777" w:rsidR="006B4107" w:rsidRDefault="004E70C7">
            <w:pPr>
              <w:pStyle w:val="F"/>
              <w:adjustRightInd w:val="0"/>
              <w:snapToGrid w:val="0"/>
              <w:spacing w:line="240" w:lineRule="auto"/>
              <w:ind w:firstLine="0"/>
              <w:rPr>
                <w:rFonts w:ascii="仿宋" w:eastAsia="仿宋" w:hAnsi="仿宋"/>
                <w:sz w:val="20"/>
                <w:szCs w:val="20"/>
                <w:lang w:eastAsia="zh-CN"/>
              </w:rPr>
            </w:pPr>
            <w:r>
              <w:rPr>
                <w:rFonts w:ascii="仿宋" w:eastAsia="仿宋" w:hAnsi="仿宋"/>
                <w:sz w:val="20"/>
                <w:szCs w:val="20"/>
                <w:lang w:eastAsia="zh-CN"/>
              </w:rPr>
              <w:t>（三）关联交易</w:t>
            </w:r>
          </w:p>
          <w:p w14:paraId="5C6B7CB6" w14:textId="77777777" w:rsidR="006B4107" w:rsidRDefault="004E70C7">
            <w:pPr>
              <w:pStyle w:val="F"/>
              <w:adjustRightInd w:val="0"/>
              <w:snapToGrid w:val="0"/>
              <w:spacing w:line="240" w:lineRule="auto"/>
              <w:ind w:firstLine="0"/>
              <w:rPr>
                <w:rFonts w:ascii="仿宋" w:eastAsia="仿宋" w:hAnsi="仿宋"/>
                <w:sz w:val="20"/>
                <w:szCs w:val="20"/>
                <w:lang w:eastAsia="zh-CN"/>
              </w:rPr>
            </w:pPr>
            <w:r>
              <w:rPr>
                <w:rFonts w:ascii="仿宋" w:eastAsia="仿宋" w:hAnsi="仿宋"/>
                <w:sz w:val="20"/>
                <w:szCs w:val="20"/>
                <w:lang w:eastAsia="zh-CN"/>
              </w:rPr>
              <w:t>3.</w:t>
            </w:r>
            <w:r>
              <w:rPr>
                <w:rFonts w:ascii="仿宋" w:eastAsia="仿宋" w:hAnsi="仿宋"/>
                <w:sz w:val="20"/>
                <w:szCs w:val="20"/>
                <w:lang w:eastAsia="zh-CN"/>
              </w:rPr>
              <w:t>对外投资</w:t>
            </w:r>
          </w:p>
        </w:tc>
        <w:tc>
          <w:tcPr>
            <w:tcW w:w="6095" w:type="dxa"/>
            <w:shd w:val="clear" w:color="auto" w:fill="auto"/>
            <w:vAlign w:val="center"/>
          </w:tcPr>
          <w:p w14:paraId="229C3FBD" w14:textId="77777777" w:rsidR="006B4107" w:rsidRDefault="004E70C7">
            <w:pPr>
              <w:pStyle w:val="F"/>
              <w:numPr>
                <w:ilvl w:val="0"/>
                <w:numId w:val="12"/>
              </w:numPr>
              <w:adjustRightInd w:val="0"/>
              <w:snapToGrid w:val="0"/>
              <w:spacing w:before="0" w:after="0" w:line="240" w:lineRule="auto"/>
              <w:ind w:left="600" w:hanging="425"/>
              <w:cnfStyle w:val="000000000000" w:firstRow="0" w:lastRow="0" w:firstColumn="0" w:lastColumn="0" w:oddVBand="0" w:evenVBand="0" w:oddHBand="0" w:evenHBand="0" w:firstRowFirstColumn="0" w:firstRowLastColumn="0" w:lastRowFirstColumn="0" w:lastRowLastColumn="0"/>
              <w:rPr>
                <w:sz w:val="20"/>
                <w:szCs w:val="20"/>
                <w:lang w:eastAsia="zh-CN"/>
              </w:rPr>
            </w:pPr>
            <w:r>
              <w:rPr>
                <w:color w:val="000000"/>
                <w:sz w:val="20"/>
                <w:szCs w:val="20"/>
                <w:lang w:eastAsia="zh-CN"/>
              </w:rPr>
              <w:t>对外投资基本信息，包括对外投资项目的投资地区、金额、主营业务及战略规划</w:t>
            </w:r>
            <w:r>
              <w:rPr>
                <w:rFonts w:cs="宋体"/>
                <w:color w:val="000000"/>
                <w:sz w:val="20"/>
                <w:szCs w:val="20"/>
                <w:lang w:eastAsia="zh-CN"/>
              </w:rPr>
              <w:t>。</w:t>
            </w:r>
          </w:p>
        </w:tc>
        <w:tc>
          <w:tcPr>
            <w:tcW w:w="1134" w:type="dxa"/>
            <w:vMerge w:val="restart"/>
            <w:shd w:val="clear" w:color="auto" w:fill="auto"/>
            <w:vAlign w:val="center"/>
          </w:tcPr>
          <w:p w14:paraId="5F460588" w14:textId="77777777" w:rsidR="006B4107" w:rsidRDefault="004E70C7">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sz w:val="20"/>
                <w:szCs w:val="20"/>
                <w:lang w:eastAsia="zh-CN"/>
              </w:rPr>
            </w:pPr>
            <w:r>
              <w:rPr>
                <w:sz w:val="20"/>
                <w:szCs w:val="20"/>
                <w:lang w:eastAsia="zh-CN"/>
              </w:rPr>
              <w:t>2.4</w:t>
            </w:r>
          </w:p>
        </w:tc>
      </w:tr>
      <w:tr w:rsidR="006B4107" w14:paraId="70798C18" w14:textId="77777777" w:rsidTr="006B4107">
        <w:tc>
          <w:tcPr>
            <w:cnfStyle w:val="001000000000" w:firstRow="0" w:lastRow="0" w:firstColumn="1" w:lastColumn="0" w:oddVBand="0" w:evenVBand="0" w:oddHBand="0" w:evenHBand="0" w:firstRowFirstColumn="0" w:firstRowLastColumn="0" w:lastRowFirstColumn="0" w:lastRowLastColumn="0"/>
            <w:tcW w:w="988" w:type="dxa"/>
            <w:vMerge/>
            <w:shd w:val="clear" w:color="auto" w:fill="auto"/>
            <w:vAlign w:val="center"/>
          </w:tcPr>
          <w:p w14:paraId="233334EB" w14:textId="77777777" w:rsidR="006B4107" w:rsidRDefault="006B4107">
            <w:pPr>
              <w:pStyle w:val="F"/>
              <w:adjustRightInd w:val="0"/>
              <w:snapToGrid w:val="0"/>
              <w:spacing w:line="240" w:lineRule="auto"/>
              <w:ind w:firstLine="0"/>
              <w:rPr>
                <w:rFonts w:ascii="仿宋" w:eastAsia="仿宋" w:hAnsi="仿宋"/>
                <w:sz w:val="20"/>
                <w:szCs w:val="20"/>
                <w:lang w:eastAsia="zh-CN"/>
              </w:rPr>
            </w:pPr>
          </w:p>
        </w:tc>
        <w:tc>
          <w:tcPr>
            <w:tcW w:w="6095" w:type="dxa"/>
            <w:shd w:val="clear" w:color="auto" w:fill="DDEBF7"/>
            <w:vAlign w:val="center"/>
          </w:tcPr>
          <w:p w14:paraId="7E81DE21" w14:textId="77777777" w:rsidR="006B4107" w:rsidRDefault="004E70C7">
            <w:pPr>
              <w:pStyle w:val="F"/>
              <w:numPr>
                <w:ilvl w:val="0"/>
                <w:numId w:val="12"/>
              </w:numPr>
              <w:adjustRightInd w:val="0"/>
              <w:snapToGrid w:val="0"/>
              <w:spacing w:before="0" w:after="0" w:line="240" w:lineRule="auto"/>
              <w:ind w:left="600" w:hanging="425"/>
              <w:cnfStyle w:val="000000000000" w:firstRow="0" w:lastRow="0" w:firstColumn="0" w:lastColumn="0" w:oddVBand="0" w:evenVBand="0" w:oddHBand="0" w:evenHBand="0" w:firstRowFirstColumn="0" w:firstRowLastColumn="0" w:lastRowFirstColumn="0" w:lastRowLastColumn="0"/>
              <w:rPr>
                <w:sz w:val="20"/>
                <w:szCs w:val="20"/>
                <w:lang w:eastAsia="zh-CN"/>
              </w:rPr>
            </w:pPr>
            <w:r>
              <w:rPr>
                <w:rFonts w:cs="宋体"/>
                <w:color w:val="000000"/>
                <w:sz w:val="20"/>
                <w:szCs w:val="20"/>
                <w:lang w:eastAsia="zh-CN"/>
              </w:rPr>
              <w:t>对外投资项目概况，包括对外投资项目的股权架构、组织结构，高级管理人员的雇佣方式，项目决策权限的归属。</w:t>
            </w:r>
          </w:p>
        </w:tc>
        <w:tc>
          <w:tcPr>
            <w:tcW w:w="1134" w:type="dxa"/>
            <w:vMerge/>
            <w:shd w:val="clear" w:color="auto" w:fill="auto"/>
            <w:vAlign w:val="center"/>
          </w:tcPr>
          <w:p w14:paraId="5733921F" w14:textId="77777777" w:rsidR="006B4107" w:rsidRDefault="006B4107">
            <w:pPr>
              <w:pStyle w:val="F"/>
              <w:adjustRightInd w:val="0"/>
              <w:snapToGrid w:val="0"/>
              <w:spacing w:before="60" w:after="60" w:line="240" w:lineRule="auto"/>
              <w:cnfStyle w:val="000000000000" w:firstRow="0" w:lastRow="0" w:firstColumn="0" w:lastColumn="0" w:oddVBand="0" w:evenVBand="0" w:oddHBand="0" w:evenHBand="0" w:firstRowFirstColumn="0" w:firstRowLastColumn="0" w:lastRowFirstColumn="0" w:lastRowLastColumn="0"/>
              <w:rPr>
                <w:sz w:val="20"/>
                <w:szCs w:val="20"/>
                <w:lang w:eastAsia="zh-CN"/>
              </w:rPr>
            </w:pPr>
          </w:p>
        </w:tc>
      </w:tr>
      <w:tr w:rsidR="006B4107" w14:paraId="5FA54478" w14:textId="77777777" w:rsidTr="006B4107">
        <w:tc>
          <w:tcPr>
            <w:cnfStyle w:val="001000000000" w:firstRow="0" w:lastRow="0" w:firstColumn="1" w:lastColumn="0" w:oddVBand="0" w:evenVBand="0" w:oddHBand="0" w:evenHBand="0" w:firstRowFirstColumn="0" w:firstRowLastColumn="0" w:lastRowFirstColumn="0" w:lastRowLastColumn="0"/>
            <w:tcW w:w="988" w:type="dxa"/>
            <w:vMerge/>
            <w:shd w:val="clear" w:color="auto" w:fill="auto"/>
            <w:vAlign w:val="center"/>
          </w:tcPr>
          <w:p w14:paraId="020076F3" w14:textId="77777777" w:rsidR="006B4107" w:rsidRDefault="006B4107">
            <w:pPr>
              <w:pStyle w:val="F"/>
              <w:adjustRightInd w:val="0"/>
              <w:snapToGrid w:val="0"/>
              <w:spacing w:line="240" w:lineRule="auto"/>
              <w:ind w:firstLine="0"/>
              <w:rPr>
                <w:rFonts w:ascii="仿宋" w:eastAsia="仿宋" w:hAnsi="仿宋"/>
                <w:sz w:val="20"/>
                <w:szCs w:val="20"/>
                <w:lang w:eastAsia="zh-CN"/>
              </w:rPr>
            </w:pPr>
          </w:p>
        </w:tc>
        <w:tc>
          <w:tcPr>
            <w:tcW w:w="6095" w:type="dxa"/>
            <w:shd w:val="clear" w:color="auto" w:fill="auto"/>
            <w:vAlign w:val="center"/>
          </w:tcPr>
          <w:p w14:paraId="66DFF010" w14:textId="77777777" w:rsidR="006B4107" w:rsidRDefault="004E70C7">
            <w:pPr>
              <w:pStyle w:val="F"/>
              <w:numPr>
                <w:ilvl w:val="0"/>
                <w:numId w:val="12"/>
              </w:numPr>
              <w:adjustRightInd w:val="0"/>
              <w:snapToGrid w:val="0"/>
              <w:spacing w:before="0" w:after="0" w:line="240" w:lineRule="auto"/>
              <w:ind w:left="600" w:hanging="425"/>
              <w:cnfStyle w:val="000000000000" w:firstRow="0" w:lastRow="0" w:firstColumn="0" w:lastColumn="0" w:oddVBand="0" w:evenVBand="0" w:oddHBand="0" w:evenHBand="0" w:firstRowFirstColumn="0" w:firstRowLastColumn="0" w:lastRowFirstColumn="0" w:lastRowLastColumn="0"/>
              <w:rPr>
                <w:sz w:val="20"/>
                <w:szCs w:val="20"/>
                <w:lang w:eastAsia="zh-CN"/>
              </w:rPr>
            </w:pPr>
            <w:r>
              <w:rPr>
                <w:rFonts w:cs="宋体"/>
                <w:color w:val="000000"/>
                <w:sz w:val="20"/>
                <w:szCs w:val="20"/>
                <w:lang w:eastAsia="zh-CN"/>
              </w:rPr>
              <w:t>对外投资项目数据，包括对外投资项目的营运数据。</w:t>
            </w:r>
          </w:p>
        </w:tc>
        <w:tc>
          <w:tcPr>
            <w:tcW w:w="1134" w:type="dxa"/>
            <w:vMerge/>
            <w:shd w:val="clear" w:color="auto" w:fill="auto"/>
            <w:vAlign w:val="center"/>
          </w:tcPr>
          <w:p w14:paraId="380980F7" w14:textId="77777777" w:rsidR="006B4107" w:rsidRDefault="006B4107">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sz w:val="20"/>
                <w:szCs w:val="20"/>
                <w:lang w:eastAsia="zh-CN"/>
              </w:rPr>
            </w:pPr>
          </w:p>
        </w:tc>
      </w:tr>
      <w:tr w:rsidR="006B4107" w14:paraId="47953F83" w14:textId="77777777" w:rsidTr="006B4107">
        <w:tc>
          <w:tcPr>
            <w:cnfStyle w:val="001000000000" w:firstRow="0" w:lastRow="0" w:firstColumn="1" w:lastColumn="0" w:oddVBand="0" w:evenVBand="0" w:oddHBand="0" w:evenHBand="0" w:firstRowFirstColumn="0" w:firstRowLastColumn="0" w:lastRowFirstColumn="0" w:lastRowLastColumn="0"/>
            <w:tcW w:w="988" w:type="dxa"/>
            <w:vMerge w:val="restart"/>
            <w:shd w:val="clear" w:color="auto" w:fill="DDEBF7"/>
            <w:vAlign w:val="center"/>
          </w:tcPr>
          <w:p w14:paraId="62408709" w14:textId="77777777" w:rsidR="006B4107" w:rsidRDefault="004E70C7">
            <w:pPr>
              <w:pStyle w:val="F"/>
              <w:adjustRightInd w:val="0"/>
              <w:snapToGrid w:val="0"/>
              <w:spacing w:line="240" w:lineRule="auto"/>
              <w:ind w:firstLine="0"/>
              <w:rPr>
                <w:rFonts w:ascii="仿宋" w:eastAsia="仿宋" w:hAnsi="仿宋"/>
                <w:sz w:val="20"/>
                <w:szCs w:val="20"/>
                <w:lang w:eastAsia="zh-CN"/>
              </w:rPr>
            </w:pPr>
            <w:r>
              <w:rPr>
                <w:rFonts w:ascii="仿宋" w:eastAsia="仿宋" w:hAnsi="仿宋"/>
                <w:sz w:val="20"/>
                <w:szCs w:val="20"/>
                <w:lang w:eastAsia="zh-CN"/>
              </w:rPr>
              <w:t>（三）关联交易</w:t>
            </w:r>
          </w:p>
          <w:p w14:paraId="60893D22" w14:textId="77777777" w:rsidR="006B4107" w:rsidRDefault="004E70C7">
            <w:pPr>
              <w:pStyle w:val="F"/>
              <w:adjustRightInd w:val="0"/>
              <w:snapToGrid w:val="0"/>
              <w:spacing w:line="240" w:lineRule="auto"/>
              <w:ind w:firstLine="0"/>
              <w:rPr>
                <w:rFonts w:ascii="仿宋" w:eastAsia="仿宋" w:hAnsi="仿宋"/>
                <w:sz w:val="20"/>
                <w:szCs w:val="20"/>
                <w:lang w:eastAsia="zh-CN"/>
              </w:rPr>
            </w:pPr>
            <w:r>
              <w:rPr>
                <w:rFonts w:ascii="仿宋" w:eastAsia="仿宋" w:hAnsi="仿宋"/>
                <w:sz w:val="20"/>
                <w:szCs w:val="20"/>
                <w:lang w:eastAsia="zh-CN"/>
              </w:rPr>
              <w:t>4.</w:t>
            </w:r>
            <w:r>
              <w:rPr>
                <w:rFonts w:ascii="仿宋" w:eastAsia="仿宋" w:hAnsi="仿宋"/>
                <w:sz w:val="20"/>
                <w:szCs w:val="20"/>
                <w:lang w:eastAsia="zh-CN"/>
              </w:rPr>
              <w:t>关联股权转让</w:t>
            </w:r>
          </w:p>
        </w:tc>
        <w:tc>
          <w:tcPr>
            <w:tcW w:w="6095" w:type="dxa"/>
            <w:shd w:val="clear" w:color="auto" w:fill="DDEBF7"/>
            <w:vAlign w:val="center"/>
          </w:tcPr>
          <w:p w14:paraId="0BFB2B87" w14:textId="77777777" w:rsidR="006B4107" w:rsidRDefault="004E70C7">
            <w:pPr>
              <w:pStyle w:val="F"/>
              <w:numPr>
                <w:ilvl w:val="0"/>
                <w:numId w:val="13"/>
              </w:numPr>
              <w:adjustRightInd w:val="0"/>
              <w:snapToGrid w:val="0"/>
              <w:spacing w:before="0" w:after="0" w:line="240" w:lineRule="auto"/>
              <w:ind w:left="600" w:hanging="425"/>
              <w:cnfStyle w:val="000000000000" w:firstRow="0" w:lastRow="0" w:firstColumn="0" w:lastColumn="0" w:oddVBand="0" w:evenVBand="0" w:oddHBand="0" w:evenHBand="0" w:firstRowFirstColumn="0" w:firstRowLastColumn="0" w:lastRowFirstColumn="0" w:lastRowLastColumn="0"/>
              <w:rPr>
                <w:sz w:val="20"/>
                <w:szCs w:val="20"/>
                <w:lang w:eastAsia="zh-CN"/>
              </w:rPr>
            </w:pPr>
            <w:r>
              <w:rPr>
                <w:sz w:val="20"/>
                <w:szCs w:val="20"/>
                <w:lang w:eastAsia="zh-CN"/>
              </w:rPr>
              <w:t>股权转让概况，包括转让背景、参与方、时间、价格、支付方式，以及影响股权转让的其他因</w:t>
            </w:r>
            <w:r>
              <w:rPr>
                <w:rFonts w:hint="eastAsia"/>
                <w:sz w:val="20"/>
                <w:szCs w:val="20"/>
                <w:lang w:eastAsia="zh-CN"/>
              </w:rPr>
              <w:t>素。</w:t>
            </w:r>
          </w:p>
        </w:tc>
        <w:tc>
          <w:tcPr>
            <w:tcW w:w="1134" w:type="dxa"/>
            <w:vMerge w:val="restart"/>
            <w:shd w:val="clear" w:color="auto" w:fill="DDEBF7"/>
            <w:vAlign w:val="center"/>
          </w:tcPr>
          <w:p w14:paraId="3DC19C48" w14:textId="77777777" w:rsidR="006B4107" w:rsidRDefault="004E70C7">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sz w:val="20"/>
                <w:szCs w:val="20"/>
                <w:lang w:eastAsia="zh-CN"/>
              </w:rPr>
            </w:pPr>
            <w:r>
              <w:rPr>
                <w:sz w:val="20"/>
                <w:szCs w:val="20"/>
                <w:lang w:eastAsia="zh-CN"/>
              </w:rPr>
              <w:t>2.4</w:t>
            </w:r>
          </w:p>
        </w:tc>
      </w:tr>
      <w:tr w:rsidR="006B4107" w14:paraId="599121B3" w14:textId="77777777" w:rsidTr="006B4107">
        <w:tc>
          <w:tcPr>
            <w:cnfStyle w:val="001000000000" w:firstRow="0" w:lastRow="0" w:firstColumn="1" w:lastColumn="0" w:oddVBand="0" w:evenVBand="0" w:oddHBand="0" w:evenHBand="0" w:firstRowFirstColumn="0" w:firstRowLastColumn="0" w:lastRowFirstColumn="0" w:lastRowLastColumn="0"/>
            <w:tcW w:w="988" w:type="dxa"/>
            <w:vMerge/>
            <w:shd w:val="clear" w:color="auto" w:fill="auto"/>
            <w:vAlign w:val="center"/>
          </w:tcPr>
          <w:p w14:paraId="43B257C3" w14:textId="77777777" w:rsidR="006B4107" w:rsidRDefault="006B4107">
            <w:pPr>
              <w:pStyle w:val="F"/>
              <w:adjustRightInd w:val="0"/>
              <w:snapToGrid w:val="0"/>
              <w:spacing w:line="240" w:lineRule="auto"/>
              <w:ind w:firstLine="0"/>
              <w:rPr>
                <w:rFonts w:ascii="仿宋" w:eastAsia="仿宋" w:hAnsi="仿宋"/>
                <w:sz w:val="20"/>
                <w:szCs w:val="20"/>
                <w:lang w:eastAsia="zh-CN"/>
              </w:rPr>
            </w:pPr>
          </w:p>
        </w:tc>
        <w:tc>
          <w:tcPr>
            <w:tcW w:w="6095" w:type="dxa"/>
            <w:shd w:val="clear" w:color="auto" w:fill="auto"/>
            <w:vAlign w:val="center"/>
          </w:tcPr>
          <w:p w14:paraId="2BDD9F25" w14:textId="77777777" w:rsidR="006B4107" w:rsidRDefault="004E70C7">
            <w:pPr>
              <w:pStyle w:val="F"/>
              <w:numPr>
                <w:ilvl w:val="0"/>
                <w:numId w:val="13"/>
              </w:numPr>
              <w:adjustRightInd w:val="0"/>
              <w:snapToGrid w:val="0"/>
              <w:spacing w:before="0" w:after="0" w:line="240" w:lineRule="auto"/>
              <w:ind w:left="600" w:hanging="425"/>
              <w:cnfStyle w:val="000000000000" w:firstRow="0" w:lastRow="0" w:firstColumn="0" w:lastColumn="0" w:oddVBand="0" w:evenVBand="0" w:oddHBand="0" w:evenHBand="0" w:firstRowFirstColumn="0" w:firstRowLastColumn="0" w:lastRowFirstColumn="0" w:lastRowLastColumn="0"/>
              <w:rPr>
                <w:sz w:val="20"/>
                <w:szCs w:val="20"/>
                <w:lang w:eastAsia="zh-CN"/>
              </w:rPr>
            </w:pPr>
            <w:r>
              <w:rPr>
                <w:sz w:val="20"/>
                <w:szCs w:val="20"/>
                <w:lang w:eastAsia="zh-CN"/>
              </w:rPr>
              <w:t>股权转让标的</w:t>
            </w:r>
            <w:proofErr w:type="gramStart"/>
            <w:r>
              <w:rPr>
                <w:sz w:val="20"/>
                <w:szCs w:val="20"/>
                <w:lang w:eastAsia="zh-CN"/>
              </w:rPr>
              <w:t>的</w:t>
            </w:r>
            <w:proofErr w:type="gramEnd"/>
            <w:r>
              <w:rPr>
                <w:sz w:val="20"/>
                <w:szCs w:val="20"/>
                <w:lang w:eastAsia="zh-CN"/>
              </w:rPr>
              <w:t>相关信息，包括股权转让标的所在地，出让方获取该股权的时间、方式和成本，股权转让收益等信息。</w:t>
            </w:r>
          </w:p>
        </w:tc>
        <w:tc>
          <w:tcPr>
            <w:tcW w:w="1134" w:type="dxa"/>
            <w:vMerge/>
            <w:shd w:val="clear" w:color="auto" w:fill="auto"/>
            <w:vAlign w:val="center"/>
          </w:tcPr>
          <w:p w14:paraId="702F16F8" w14:textId="77777777" w:rsidR="006B4107" w:rsidRDefault="006B4107">
            <w:pPr>
              <w:pStyle w:val="F"/>
              <w:adjustRightInd w:val="0"/>
              <w:snapToGrid w:val="0"/>
              <w:spacing w:before="60" w:after="60" w:line="240" w:lineRule="auto"/>
              <w:cnfStyle w:val="000000000000" w:firstRow="0" w:lastRow="0" w:firstColumn="0" w:lastColumn="0" w:oddVBand="0" w:evenVBand="0" w:oddHBand="0" w:evenHBand="0" w:firstRowFirstColumn="0" w:firstRowLastColumn="0" w:lastRowFirstColumn="0" w:lastRowLastColumn="0"/>
              <w:rPr>
                <w:sz w:val="20"/>
                <w:szCs w:val="20"/>
                <w:lang w:eastAsia="zh-CN"/>
              </w:rPr>
            </w:pPr>
          </w:p>
        </w:tc>
      </w:tr>
      <w:tr w:rsidR="006B4107" w14:paraId="328F108D" w14:textId="77777777" w:rsidTr="006B4107">
        <w:tc>
          <w:tcPr>
            <w:cnfStyle w:val="001000000000" w:firstRow="0" w:lastRow="0" w:firstColumn="1" w:lastColumn="0" w:oddVBand="0" w:evenVBand="0" w:oddHBand="0" w:evenHBand="0" w:firstRowFirstColumn="0" w:firstRowLastColumn="0" w:lastRowFirstColumn="0" w:lastRowLastColumn="0"/>
            <w:tcW w:w="988" w:type="dxa"/>
            <w:vMerge/>
            <w:shd w:val="clear" w:color="auto" w:fill="auto"/>
            <w:vAlign w:val="center"/>
          </w:tcPr>
          <w:p w14:paraId="2FC6C8BD" w14:textId="77777777" w:rsidR="006B4107" w:rsidRDefault="006B4107">
            <w:pPr>
              <w:pStyle w:val="F"/>
              <w:adjustRightInd w:val="0"/>
              <w:snapToGrid w:val="0"/>
              <w:spacing w:line="240" w:lineRule="auto"/>
              <w:ind w:firstLine="0"/>
              <w:rPr>
                <w:rFonts w:ascii="仿宋" w:eastAsia="仿宋" w:hAnsi="仿宋"/>
                <w:sz w:val="20"/>
                <w:szCs w:val="20"/>
                <w:lang w:eastAsia="zh-CN"/>
              </w:rPr>
            </w:pPr>
          </w:p>
        </w:tc>
        <w:tc>
          <w:tcPr>
            <w:tcW w:w="6095" w:type="dxa"/>
            <w:shd w:val="clear" w:color="auto" w:fill="DDEBF7"/>
            <w:vAlign w:val="center"/>
          </w:tcPr>
          <w:p w14:paraId="780FC609" w14:textId="77777777" w:rsidR="006B4107" w:rsidRDefault="004E70C7">
            <w:pPr>
              <w:pStyle w:val="F"/>
              <w:numPr>
                <w:ilvl w:val="0"/>
                <w:numId w:val="13"/>
              </w:numPr>
              <w:adjustRightInd w:val="0"/>
              <w:snapToGrid w:val="0"/>
              <w:spacing w:before="0" w:after="0" w:line="240" w:lineRule="auto"/>
              <w:ind w:left="600" w:hanging="425"/>
              <w:cnfStyle w:val="000000000000" w:firstRow="0" w:lastRow="0" w:firstColumn="0" w:lastColumn="0" w:oddVBand="0" w:evenVBand="0" w:oddHBand="0" w:evenHBand="0" w:firstRowFirstColumn="0" w:firstRowLastColumn="0" w:lastRowFirstColumn="0" w:lastRowLastColumn="0"/>
              <w:rPr>
                <w:sz w:val="20"/>
                <w:szCs w:val="20"/>
                <w:lang w:eastAsia="zh-CN"/>
              </w:rPr>
            </w:pPr>
            <w:r>
              <w:rPr>
                <w:sz w:val="20"/>
                <w:szCs w:val="20"/>
                <w:lang w:eastAsia="zh-CN"/>
              </w:rPr>
              <w:t>尽职调查报告或者资产评估报告等与股权转让相关的其他信息。</w:t>
            </w:r>
          </w:p>
        </w:tc>
        <w:tc>
          <w:tcPr>
            <w:tcW w:w="1134" w:type="dxa"/>
            <w:vMerge/>
            <w:shd w:val="clear" w:color="auto" w:fill="DDEBF7"/>
            <w:vAlign w:val="center"/>
          </w:tcPr>
          <w:p w14:paraId="102D3D23" w14:textId="77777777" w:rsidR="006B4107" w:rsidRDefault="006B4107">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sz w:val="20"/>
                <w:szCs w:val="20"/>
                <w:lang w:eastAsia="zh-CN"/>
              </w:rPr>
            </w:pPr>
          </w:p>
        </w:tc>
      </w:tr>
      <w:tr w:rsidR="006B4107" w14:paraId="076500A9" w14:textId="77777777" w:rsidTr="006B4107">
        <w:tc>
          <w:tcPr>
            <w:cnfStyle w:val="001000000000" w:firstRow="0" w:lastRow="0" w:firstColumn="1" w:lastColumn="0" w:oddVBand="0" w:evenVBand="0" w:oddHBand="0" w:evenHBand="0" w:firstRowFirstColumn="0" w:firstRowLastColumn="0" w:lastRowFirstColumn="0" w:lastRowLastColumn="0"/>
            <w:tcW w:w="988" w:type="dxa"/>
            <w:vMerge w:val="restart"/>
            <w:shd w:val="clear" w:color="auto" w:fill="auto"/>
            <w:vAlign w:val="center"/>
          </w:tcPr>
          <w:p w14:paraId="357ACAD6" w14:textId="77777777" w:rsidR="006B4107" w:rsidRDefault="004E70C7">
            <w:pPr>
              <w:pStyle w:val="F"/>
              <w:adjustRightInd w:val="0"/>
              <w:snapToGrid w:val="0"/>
              <w:spacing w:line="240" w:lineRule="auto"/>
              <w:ind w:firstLine="0"/>
              <w:rPr>
                <w:rFonts w:ascii="仿宋" w:eastAsia="仿宋" w:hAnsi="仿宋"/>
                <w:sz w:val="20"/>
                <w:szCs w:val="20"/>
                <w:lang w:eastAsia="zh-CN"/>
              </w:rPr>
            </w:pPr>
            <w:r>
              <w:rPr>
                <w:rFonts w:ascii="仿宋" w:eastAsia="仿宋" w:hAnsi="仿宋"/>
                <w:sz w:val="20"/>
                <w:szCs w:val="20"/>
                <w:lang w:eastAsia="zh-CN"/>
              </w:rPr>
              <w:t>（三）关联交易</w:t>
            </w:r>
          </w:p>
          <w:p w14:paraId="42C456DF" w14:textId="77777777" w:rsidR="006B4107" w:rsidRDefault="004E70C7">
            <w:pPr>
              <w:pStyle w:val="F"/>
              <w:adjustRightInd w:val="0"/>
              <w:snapToGrid w:val="0"/>
              <w:spacing w:line="240" w:lineRule="auto"/>
              <w:ind w:firstLine="0"/>
              <w:rPr>
                <w:rFonts w:ascii="仿宋" w:eastAsia="仿宋" w:hAnsi="仿宋"/>
                <w:sz w:val="20"/>
                <w:szCs w:val="20"/>
                <w:lang w:eastAsia="zh-CN"/>
              </w:rPr>
            </w:pPr>
            <w:r>
              <w:rPr>
                <w:rFonts w:ascii="仿宋" w:eastAsia="仿宋" w:hAnsi="仿宋"/>
                <w:sz w:val="20"/>
                <w:szCs w:val="20"/>
                <w:lang w:eastAsia="zh-CN"/>
              </w:rPr>
              <w:t>5.</w:t>
            </w:r>
            <w:r>
              <w:rPr>
                <w:rFonts w:ascii="仿宋" w:eastAsia="仿宋" w:hAnsi="仿宋"/>
                <w:sz w:val="20"/>
                <w:szCs w:val="20"/>
                <w:lang w:eastAsia="zh-CN"/>
              </w:rPr>
              <w:t>关联劳务</w:t>
            </w:r>
          </w:p>
        </w:tc>
        <w:tc>
          <w:tcPr>
            <w:tcW w:w="6095" w:type="dxa"/>
            <w:shd w:val="clear" w:color="auto" w:fill="auto"/>
            <w:vAlign w:val="center"/>
          </w:tcPr>
          <w:p w14:paraId="01458EC5" w14:textId="77777777" w:rsidR="006B4107" w:rsidRDefault="004E70C7">
            <w:pPr>
              <w:pStyle w:val="F"/>
              <w:numPr>
                <w:ilvl w:val="0"/>
                <w:numId w:val="14"/>
              </w:numPr>
              <w:adjustRightInd w:val="0"/>
              <w:snapToGrid w:val="0"/>
              <w:spacing w:before="0" w:after="0" w:line="240" w:lineRule="auto"/>
              <w:ind w:left="600" w:hanging="425"/>
              <w:cnfStyle w:val="000000000000" w:firstRow="0" w:lastRow="0" w:firstColumn="0" w:lastColumn="0" w:oddVBand="0" w:evenVBand="0" w:oddHBand="0" w:evenHBand="0" w:firstRowFirstColumn="0" w:firstRowLastColumn="0" w:lastRowFirstColumn="0" w:lastRowLastColumn="0"/>
              <w:rPr>
                <w:sz w:val="20"/>
                <w:szCs w:val="20"/>
                <w:lang w:eastAsia="zh-CN"/>
              </w:rPr>
            </w:pPr>
            <w:r>
              <w:rPr>
                <w:sz w:val="20"/>
                <w:szCs w:val="20"/>
                <w:lang w:eastAsia="zh-CN"/>
              </w:rPr>
              <w:t>关联劳务概况，包括劳务提供方和接受方，劳务的具体内容、特性、开展方式、定价原则、支付形式，以及劳务发生后各方受益情况等。</w:t>
            </w:r>
          </w:p>
        </w:tc>
        <w:tc>
          <w:tcPr>
            <w:tcW w:w="1134" w:type="dxa"/>
            <w:vMerge w:val="restart"/>
            <w:shd w:val="clear" w:color="auto" w:fill="auto"/>
            <w:vAlign w:val="center"/>
          </w:tcPr>
          <w:p w14:paraId="6482C24D" w14:textId="77777777" w:rsidR="006B4107" w:rsidRDefault="004E70C7">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sz w:val="20"/>
                <w:szCs w:val="20"/>
                <w:lang w:eastAsia="zh-CN"/>
              </w:rPr>
            </w:pPr>
            <w:r>
              <w:rPr>
                <w:sz w:val="20"/>
                <w:szCs w:val="20"/>
                <w:lang w:eastAsia="zh-CN"/>
              </w:rPr>
              <w:t>4.3</w:t>
            </w:r>
          </w:p>
        </w:tc>
      </w:tr>
      <w:tr w:rsidR="006B4107" w14:paraId="63AF3744" w14:textId="77777777" w:rsidTr="006B4107">
        <w:tc>
          <w:tcPr>
            <w:cnfStyle w:val="001000000000" w:firstRow="0" w:lastRow="0" w:firstColumn="1" w:lastColumn="0" w:oddVBand="0" w:evenVBand="0" w:oddHBand="0" w:evenHBand="0" w:firstRowFirstColumn="0" w:firstRowLastColumn="0" w:lastRowFirstColumn="0" w:lastRowLastColumn="0"/>
            <w:tcW w:w="988" w:type="dxa"/>
            <w:vMerge/>
            <w:shd w:val="clear" w:color="auto" w:fill="auto"/>
            <w:vAlign w:val="center"/>
          </w:tcPr>
          <w:p w14:paraId="48D6F590" w14:textId="77777777" w:rsidR="006B4107" w:rsidRDefault="006B4107">
            <w:pPr>
              <w:pStyle w:val="F"/>
              <w:adjustRightInd w:val="0"/>
              <w:snapToGrid w:val="0"/>
              <w:spacing w:line="240" w:lineRule="auto"/>
              <w:ind w:firstLine="0"/>
              <w:rPr>
                <w:rFonts w:ascii="仿宋" w:eastAsia="仿宋" w:hAnsi="仿宋"/>
                <w:sz w:val="20"/>
                <w:szCs w:val="20"/>
                <w:lang w:eastAsia="zh-CN"/>
              </w:rPr>
            </w:pPr>
          </w:p>
        </w:tc>
        <w:tc>
          <w:tcPr>
            <w:tcW w:w="6095" w:type="dxa"/>
            <w:shd w:val="clear" w:color="auto" w:fill="DDEBF7"/>
            <w:vAlign w:val="center"/>
          </w:tcPr>
          <w:p w14:paraId="7997688E" w14:textId="77777777" w:rsidR="006B4107" w:rsidRDefault="004E70C7">
            <w:pPr>
              <w:pStyle w:val="F"/>
              <w:numPr>
                <w:ilvl w:val="0"/>
                <w:numId w:val="14"/>
              </w:numPr>
              <w:adjustRightInd w:val="0"/>
              <w:snapToGrid w:val="0"/>
              <w:spacing w:before="0" w:after="0" w:line="240" w:lineRule="auto"/>
              <w:ind w:left="600" w:hanging="425"/>
              <w:cnfStyle w:val="000000000000" w:firstRow="0" w:lastRow="0" w:firstColumn="0" w:lastColumn="0" w:oddVBand="0" w:evenVBand="0" w:oddHBand="0" w:evenHBand="0" w:firstRowFirstColumn="0" w:firstRowLastColumn="0" w:lastRowFirstColumn="0" w:lastRowLastColumn="0"/>
              <w:rPr>
                <w:sz w:val="20"/>
                <w:szCs w:val="20"/>
                <w:lang w:eastAsia="zh-CN"/>
              </w:rPr>
            </w:pPr>
            <w:r>
              <w:rPr>
                <w:sz w:val="20"/>
                <w:szCs w:val="20"/>
                <w:lang w:eastAsia="zh-CN"/>
              </w:rPr>
              <w:t>劳务成本费用的归集方法、项目、金额、分配标准、计算过程及结果等。</w:t>
            </w:r>
          </w:p>
        </w:tc>
        <w:tc>
          <w:tcPr>
            <w:tcW w:w="1134" w:type="dxa"/>
            <w:vMerge/>
            <w:shd w:val="clear" w:color="auto" w:fill="DDEBF7"/>
            <w:vAlign w:val="center"/>
          </w:tcPr>
          <w:p w14:paraId="40930839" w14:textId="77777777" w:rsidR="006B4107" w:rsidRDefault="006B4107">
            <w:pPr>
              <w:pStyle w:val="F"/>
              <w:adjustRightInd w:val="0"/>
              <w:snapToGrid w:val="0"/>
              <w:spacing w:before="60" w:after="60" w:line="240" w:lineRule="auto"/>
              <w:cnfStyle w:val="000000000000" w:firstRow="0" w:lastRow="0" w:firstColumn="0" w:lastColumn="0" w:oddVBand="0" w:evenVBand="0" w:oddHBand="0" w:evenHBand="0" w:firstRowFirstColumn="0" w:firstRowLastColumn="0" w:lastRowFirstColumn="0" w:lastRowLastColumn="0"/>
              <w:rPr>
                <w:sz w:val="20"/>
                <w:szCs w:val="20"/>
                <w:lang w:eastAsia="zh-CN"/>
              </w:rPr>
            </w:pPr>
          </w:p>
        </w:tc>
      </w:tr>
      <w:tr w:rsidR="006B4107" w14:paraId="274F3434" w14:textId="77777777" w:rsidTr="006B4107">
        <w:tc>
          <w:tcPr>
            <w:cnfStyle w:val="001000000000" w:firstRow="0" w:lastRow="0" w:firstColumn="1" w:lastColumn="0" w:oddVBand="0" w:evenVBand="0" w:oddHBand="0" w:evenHBand="0" w:firstRowFirstColumn="0" w:firstRowLastColumn="0" w:lastRowFirstColumn="0" w:lastRowLastColumn="0"/>
            <w:tcW w:w="988" w:type="dxa"/>
            <w:vMerge/>
            <w:shd w:val="clear" w:color="auto" w:fill="auto"/>
            <w:vAlign w:val="center"/>
          </w:tcPr>
          <w:p w14:paraId="53E80D42" w14:textId="77777777" w:rsidR="006B4107" w:rsidRDefault="006B4107">
            <w:pPr>
              <w:pStyle w:val="F"/>
              <w:adjustRightInd w:val="0"/>
              <w:snapToGrid w:val="0"/>
              <w:spacing w:line="240" w:lineRule="auto"/>
              <w:ind w:firstLine="0"/>
              <w:rPr>
                <w:rFonts w:ascii="仿宋" w:eastAsia="仿宋" w:hAnsi="仿宋"/>
                <w:sz w:val="20"/>
                <w:szCs w:val="20"/>
                <w:lang w:eastAsia="zh-CN"/>
              </w:rPr>
            </w:pPr>
          </w:p>
        </w:tc>
        <w:tc>
          <w:tcPr>
            <w:tcW w:w="6095" w:type="dxa"/>
            <w:shd w:val="clear" w:color="auto" w:fill="auto"/>
            <w:vAlign w:val="center"/>
          </w:tcPr>
          <w:p w14:paraId="085189DA" w14:textId="77777777" w:rsidR="006B4107" w:rsidRDefault="004E70C7">
            <w:pPr>
              <w:pStyle w:val="F"/>
              <w:numPr>
                <w:ilvl w:val="0"/>
                <w:numId w:val="14"/>
              </w:numPr>
              <w:adjustRightInd w:val="0"/>
              <w:snapToGrid w:val="0"/>
              <w:spacing w:before="0" w:after="0" w:line="240" w:lineRule="auto"/>
              <w:ind w:left="600" w:hanging="425"/>
              <w:cnfStyle w:val="000000000000" w:firstRow="0" w:lastRow="0" w:firstColumn="0" w:lastColumn="0" w:oddVBand="0" w:evenVBand="0" w:oddHBand="0" w:evenHBand="0" w:firstRowFirstColumn="0" w:firstRowLastColumn="0" w:lastRowFirstColumn="0" w:lastRowLastColumn="0"/>
              <w:rPr>
                <w:sz w:val="20"/>
                <w:szCs w:val="20"/>
                <w:lang w:eastAsia="zh-CN"/>
              </w:rPr>
            </w:pPr>
            <w:r>
              <w:rPr>
                <w:sz w:val="20"/>
                <w:szCs w:val="20"/>
                <w:lang w:eastAsia="zh-CN"/>
              </w:rPr>
              <w:t>企业及其所属企业集团与非关联</w:t>
            </w:r>
            <w:proofErr w:type="gramStart"/>
            <w:r>
              <w:rPr>
                <w:sz w:val="20"/>
                <w:szCs w:val="20"/>
                <w:lang w:eastAsia="zh-CN"/>
              </w:rPr>
              <w:t>方存在</w:t>
            </w:r>
            <w:proofErr w:type="gramEnd"/>
            <w:r>
              <w:rPr>
                <w:sz w:val="20"/>
                <w:szCs w:val="20"/>
                <w:lang w:eastAsia="zh-CN"/>
              </w:rPr>
              <w:t>相同或者类似劳务交易的，还应当详细说明关联劳务与非关联劳务在定价原则和交易结果上的异同。</w:t>
            </w:r>
          </w:p>
        </w:tc>
        <w:tc>
          <w:tcPr>
            <w:tcW w:w="1134" w:type="dxa"/>
            <w:vMerge/>
            <w:shd w:val="clear" w:color="auto" w:fill="auto"/>
            <w:vAlign w:val="center"/>
          </w:tcPr>
          <w:p w14:paraId="3B2220C0" w14:textId="77777777" w:rsidR="006B4107" w:rsidRDefault="006B4107">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sz w:val="20"/>
                <w:szCs w:val="20"/>
                <w:lang w:eastAsia="zh-CN"/>
              </w:rPr>
            </w:pPr>
          </w:p>
        </w:tc>
      </w:tr>
      <w:tr w:rsidR="006B4107" w14:paraId="0756FE06" w14:textId="77777777" w:rsidTr="006B4107">
        <w:trPr>
          <w:trHeight w:val="1263"/>
        </w:trPr>
        <w:tc>
          <w:tcPr>
            <w:cnfStyle w:val="001000000000" w:firstRow="0" w:lastRow="0" w:firstColumn="1" w:lastColumn="0" w:oddVBand="0" w:evenVBand="0" w:oddHBand="0" w:evenHBand="0" w:firstRowFirstColumn="0" w:firstRowLastColumn="0" w:lastRowFirstColumn="0" w:lastRowLastColumn="0"/>
            <w:tcW w:w="988" w:type="dxa"/>
            <w:shd w:val="clear" w:color="auto" w:fill="DDEBF7"/>
            <w:vAlign w:val="center"/>
          </w:tcPr>
          <w:p w14:paraId="24926930" w14:textId="77777777" w:rsidR="006B4107" w:rsidRDefault="004E70C7">
            <w:pPr>
              <w:pStyle w:val="F"/>
              <w:adjustRightInd w:val="0"/>
              <w:snapToGrid w:val="0"/>
              <w:spacing w:line="240" w:lineRule="auto"/>
              <w:ind w:firstLine="0"/>
              <w:rPr>
                <w:rFonts w:ascii="仿宋" w:eastAsia="仿宋" w:hAnsi="仿宋"/>
                <w:sz w:val="20"/>
                <w:szCs w:val="20"/>
                <w:lang w:eastAsia="zh-CN"/>
              </w:rPr>
            </w:pPr>
            <w:r>
              <w:rPr>
                <w:rFonts w:ascii="仿宋" w:eastAsia="仿宋" w:hAnsi="仿宋"/>
                <w:sz w:val="20"/>
                <w:szCs w:val="20"/>
                <w:lang w:eastAsia="zh-CN"/>
              </w:rPr>
              <w:t>（三）关联交易</w:t>
            </w:r>
          </w:p>
          <w:p w14:paraId="1FDA160E" w14:textId="77777777" w:rsidR="006B4107" w:rsidRDefault="004E70C7">
            <w:pPr>
              <w:pStyle w:val="F"/>
              <w:adjustRightInd w:val="0"/>
              <w:snapToGrid w:val="0"/>
              <w:spacing w:line="240" w:lineRule="auto"/>
              <w:ind w:firstLine="0"/>
              <w:rPr>
                <w:rFonts w:ascii="仿宋" w:eastAsia="仿宋" w:hAnsi="仿宋"/>
                <w:sz w:val="20"/>
                <w:szCs w:val="20"/>
                <w:lang w:eastAsia="zh-CN"/>
              </w:rPr>
            </w:pPr>
            <w:r>
              <w:rPr>
                <w:rFonts w:ascii="仿宋" w:eastAsia="仿宋" w:hAnsi="仿宋"/>
                <w:sz w:val="20"/>
                <w:szCs w:val="20"/>
                <w:lang w:eastAsia="zh-CN"/>
              </w:rPr>
              <w:t>6.</w:t>
            </w:r>
            <w:r>
              <w:rPr>
                <w:rFonts w:ascii="仿宋" w:eastAsia="仿宋" w:hAnsi="仿宋"/>
                <w:sz w:val="20"/>
                <w:szCs w:val="20"/>
                <w:lang w:eastAsia="zh-CN"/>
              </w:rPr>
              <w:t>预约定价安排和</w:t>
            </w:r>
            <w:proofErr w:type="gramStart"/>
            <w:r>
              <w:rPr>
                <w:rFonts w:ascii="仿宋" w:eastAsia="仿宋" w:hAnsi="仿宋"/>
                <w:sz w:val="20"/>
                <w:szCs w:val="20"/>
                <w:lang w:eastAsia="zh-CN"/>
              </w:rPr>
              <w:t>作出</w:t>
            </w:r>
            <w:proofErr w:type="gramEnd"/>
            <w:r>
              <w:rPr>
                <w:rFonts w:ascii="仿宋" w:eastAsia="仿宋" w:hAnsi="仿宋"/>
                <w:sz w:val="20"/>
                <w:szCs w:val="20"/>
                <w:lang w:eastAsia="zh-CN"/>
              </w:rPr>
              <w:t>的其他税收裁定</w:t>
            </w:r>
          </w:p>
        </w:tc>
        <w:tc>
          <w:tcPr>
            <w:tcW w:w="6095" w:type="dxa"/>
            <w:shd w:val="clear" w:color="auto" w:fill="DDEBF7"/>
            <w:vAlign w:val="center"/>
          </w:tcPr>
          <w:p w14:paraId="0C8CD2BB" w14:textId="77777777" w:rsidR="006B4107" w:rsidRDefault="004E70C7">
            <w:pPr>
              <w:pStyle w:val="F"/>
              <w:adjustRightInd w:val="0"/>
              <w:snapToGrid w:val="0"/>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lang w:eastAsia="zh-CN"/>
              </w:rPr>
            </w:pPr>
            <w:r>
              <w:rPr>
                <w:sz w:val="20"/>
                <w:szCs w:val="20"/>
                <w:lang w:eastAsia="zh-CN"/>
              </w:rPr>
              <w:t>与企业关联交易直接相关的，中国以外其他国家税务主管当局签订的预约定价安排和</w:t>
            </w:r>
            <w:proofErr w:type="gramStart"/>
            <w:r>
              <w:rPr>
                <w:sz w:val="20"/>
                <w:szCs w:val="20"/>
                <w:lang w:eastAsia="zh-CN"/>
              </w:rPr>
              <w:t>作出</w:t>
            </w:r>
            <w:proofErr w:type="gramEnd"/>
            <w:r>
              <w:rPr>
                <w:sz w:val="20"/>
                <w:szCs w:val="20"/>
                <w:lang w:eastAsia="zh-CN"/>
              </w:rPr>
              <w:t>的其他税收裁定</w:t>
            </w:r>
          </w:p>
        </w:tc>
        <w:tc>
          <w:tcPr>
            <w:tcW w:w="1134" w:type="dxa"/>
            <w:shd w:val="clear" w:color="auto" w:fill="DDEBF7"/>
            <w:vAlign w:val="center"/>
          </w:tcPr>
          <w:p w14:paraId="117D19E4" w14:textId="77777777" w:rsidR="006B4107" w:rsidRDefault="004E70C7">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sz w:val="20"/>
                <w:szCs w:val="20"/>
                <w:lang w:eastAsia="zh-CN"/>
              </w:rPr>
            </w:pPr>
            <w:r>
              <w:rPr>
                <w:sz w:val="20"/>
                <w:szCs w:val="20"/>
                <w:lang w:eastAsia="zh-CN"/>
              </w:rPr>
              <w:t>4.6</w:t>
            </w:r>
          </w:p>
        </w:tc>
      </w:tr>
      <w:tr w:rsidR="006B4107" w14:paraId="2ECDA138" w14:textId="77777777" w:rsidTr="006B4107">
        <w:tc>
          <w:tcPr>
            <w:cnfStyle w:val="001000000000" w:firstRow="0" w:lastRow="0" w:firstColumn="1" w:lastColumn="0" w:oddVBand="0" w:evenVBand="0" w:oddHBand="0" w:evenHBand="0" w:firstRowFirstColumn="0" w:firstRowLastColumn="0" w:lastRowFirstColumn="0" w:lastRowLastColumn="0"/>
            <w:tcW w:w="988" w:type="dxa"/>
            <w:vMerge w:val="restart"/>
            <w:shd w:val="clear" w:color="auto" w:fill="auto"/>
            <w:vAlign w:val="center"/>
          </w:tcPr>
          <w:p w14:paraId="2F5BD684" w14:textId="77777777" w:rsidR="006B4107" w:rsidRDefault="004E70C7">
            <w:pPr>
              <w:pStyle w:val="F"/>
              <w:adjustRightInd w:val="0"/>
              <w:snapToGrid w:val="0"/>
              <w:spacing w:line="240" w:lineRule="auto"/>
              <w:ind w:firstLine="0"/>
              <w:rPr>
                <w:rFonts w:ascii="仿宋" w:eastAsia="仿宋" w:hAnsi="仿宋"/>
                <w:sz w:val="20"/>
                <w:szCs w:val="20"/>
                <w:lang w:eastAsia="zh-CN"/>
              </w:rPr>
            </w:pPr>
            <w:r>
              <w:rPr>
                <w:rFonts w:ascii="仿宋" w:eastAsia="仿宋" w:hAnsi="仿宋"/>
                <w:sz w:val="20"/>
                <w:szCs w:val="20"/>
                <w:lang w:eastAsia="zh-CN"/>
              </w:rPr>
              <w:t>（四）可比性分析</w:t>
            </w:r>
          </w:p>
        </w:tc>
        <w:tc>
          <w:tcPr>
            <w:tcW w:w="6095" w:type="dxa"/>
            <w:shd w:val="clear" w:color="auto" w:fill="auto"/>
            <w:vAlign w:val="center"/>
          </w:tcPr>
          <w:p w14:paraId="7141517A" w14:textId="77777777" w:rsidR="006B4107" w:rsidRDefault="004E70C7">
            <w:pPr>
              <w:pStyle w:val="F"/>
              <w:numPr>
                <w:ilvl w:val="0"/>
                <w:numId w:val="15"/>
              </w:numPr>
              <w:adjustRightInd w:val="0"/>
              <w:snapToGrid w:val="0"/>
              <w:spacing w:before="0" w:after="0" w:line="240" w:lineRule="auto"/>
              <w:ind w:left="496" w:hanging="270"/>
              <w:cnfStyle w:val="000000000000" w:firstRow="0" w:lastRow="0" w:firstColumn="0" w:lastColumn="0" w:oddVBand="0" w:evenVBand="0" w:oddHBand="0" w:evenHBand="0" w:firstRowFirstColumn="0" w:firstRowLastColumn="0" w:lastRowFirstColumn="0" w:lastRowLastColumn="0"/>
              <w:rPr>
                <w:rFonts w:cs="宋体"/>
                <w:color w:val="000000"/>
                <w:sz w:val="20"/>
                <w:szCs w:val="20"/>
                <w:lang w:eastAsia="zh-CN"/>
              </w:rPr>
            </w:pPr>
            <w:r>
              <w:rPr>
                <w:rFonts w:cs="宋体"/>
                <w:color w:val="000000"/>
                <w:sz w:val="20"/>
                <w:szCs w:val="20"/>
                <w:lang w:eastAsia="zh-CN"/>
              </w:rPr>
              <w:t>可比性分析考虑的因素，包括交易资产或者劳务特性，交易各方功能、风险和资产，合同条款，经济环境，经营策略等。</w:t>
            </w:r>
          </w:p>
        </w:tc>
        <w:tc>
          <w:tcPr>
            <w:tcW w:w="1134" w:type="dxa"/>
            <w:shd w:val="clear" w:color="auto" w:fill="auto"/>
            <w:vAlign w:val="center"/>
          </w:tcPr>
          <w:p w14:paraId="71DFB91E" w14:textId="77777777" w:rsidR="006B4107" w:rsidRDefault="004E70C7">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sz w:val="20"/>
                <w:szCs w:val="20"/>
                <w:lang w:eastAsia="zh-CN"/>
              </w:rPr>
            </w:pPr>
            <w:r>
              <w:rPr>
                <w:sz w:val="20"/>
                <w:szCs w:val="20"/>
                <w:lang w:eastAsia="zh-CN"/>
              </w:rPr>
              <w:t>7</w:t>
            </w:r>
          </w:p>
        </w:tc>
      </w:tr>
      <w:tr w:rsidR="006B4107" w14:paraId="07B1C406" w14:textId="77777777" w:rsidTr="006B4107">
        <w:tc>
          <w:tcPr>
            <w:cnfStyle w:val="001000000000" w:firstRow="0" w:lastRow="0" w:firstColumn="1" w:lastColumn="0" w:oddVBand="0" w:evenVBand="0" w:oddHBand="0" w:evenHBand="0" w:firstRowFirstColumn="0" w:firstRowLastColumn="0" w:lastRowFirstColumn="0" w:lastRowLastColumn="0"/>
            <w:tcW w:w="988" w:type="dxa"/>
            <w:vMerge/>
            <w:shd w:val="clear" w:color="auto" w:fill="auto"/>
            <w:vAlign w:val="center"/>
          </w:tcPr>
          <w:p w14:paraId="21AEBBC9" w14:textId="77777777" w:rsidR="006B4107" w:rsidRDefault="006B4107">
            <w:pPr>
              <w:pStyle w:val="F"/>
              <w:adjustRightInd w:val="0"/>
              <w:snapToGrid w:val="0"/>
              <w:spacing w:line="240" w:lineRule="auto"/>
              <w:ind w:firstLine="0"/>
              <w:rPr>
                <w:rFonts w:ascii="仿宋" w:eastAsia="仿宋" w:hAnsi="仿宋"/>
                <w:sz w:val="20"/>
                <w:szCs w:val="20"/>
                <w:lang w:eastAsia="zh-CN"/>
              </w:rPr>
            </w:pPr>
          </w:p>
        </w:tc>
        <w:tc>
          <w:tcPr>
            <w:tcW w:w="6095" w:type="dxa"/>
            <w:shd w:val="clear" w:color="auto" w:fill="DDEBF7"/>
            <w:vAlign w:val="center"/>
          </w:tcPr>
          <w:p w14:paraId="4766CAB6" w14:textId="77777777" w:rsidR="006B4107" w:rsidRDefault="004E70C7">
            <w:pPr>
              <w:pStyle w:val="F"/>
              <w:numPr>
                <w:ilvl w:val="0"/>
                <w:numId w:val="15"/>
              </w:numPr>
              <w:adjustRightInd w:val="0"/>
              <w:snapToGrid w:val="0"/>
              <w:spacing w:before="0" w:after="0" w:line="240" w:lineRule="auto"/>
              <w:ind w:left="496" w:hanging="270"/>
              <w:cnfStyle w:val="000000000000" w:firstRow="0" w:lastRow="0" w:firstColumn="0" w:lastColumn="0" w:oddVBand="0" w:evenVBand="0" w:oddHBand="0" w:evenHBand="0" w:firstRowFirstColumn="0" w:firstRowLastColumn="0" w:lastRowFirstColumn="0" w:lastRowLastColumn="0"/>
              <w:rPr>
                <w:rFonts w:cs="宋体"/>
                <w:color w:val="000000"/>
                <w:sz w:val="20"/>
                <w:szCs w:val="20"/>
                <w:lang w:eastAsia="zh-CN"/>
              </w:rPr>
            </w:pPr>
            <w:r>
              <w:rPr>
                <w:rFonts w:cs="宋体"/>
                <w:color w:val="000000"/>
                <w:sz w:val="20"/>
                <w:szCs w:val="20"/>
                <w:lang w:eastAsia="zh-CN"/>
              </w:rPr>
              <w:t>可比企业执行的功能、承担的风险以及使用的资产等相关信息。</w:t>
            </w:r>
          </w:p>
        </w:tc>
        <w:tc>
          <w:tcPr>
            <w:tcW w:w="1134" w:type="dxa"/>
            <w:shd w:val="clear" w:color="auto" w:fill="DDEBF7"/>
            <w:vAlign w:val="center"/>
          </w:tcPr>
          <w:p w14:paraId="4D7B86E7" w14:textId="77777777" w:rsidR="006B4107" w:rsidRDefault="004E70C7">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sz w:val="20"/>
                <w:szCs w:val="20"/>
                <w:lang w:eastAsia="zh-CN"/>
              </w:rPr>
            </w:pPr>
            <w:r>
              <w:rPr>
                <w:sz w:val="20"/>
                <w:szCs w:val="20"/>
                <w:lang w:eastAsia="zh-CN"/>
              </w:rPr>
              <w:t>5</w:t>
            </w:r>
          </w:p>
          <w:p w14:paraId="16F31D25" w14:textId="77777777" w:rsidR="006B4107" w:rsidRDefault="004E70C7">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sz w:val="20"/>
                <w:szCs w:val="20"/>
                <w:lang w:eastAsia="zh-CN"/>
              </w:rPr>
            </w:pPr>
            <w:r>
              <w:rPr>
                <w:sz w:val="20"/>
                <w:szCs w:val="20"/>
                <w:lang w:eastAsia="zh-CN"/>
              </w:rPr>
              <w:t>附件</w:t>
            </w:r>
            <w:r>
              <w:rPr>
                <w:sz w:val="20"/>
                <w:szCs w:val="20"/>
                <w:lang w:eastAsia="zh-CN"/>
              </w:rPr>
              <w:t>3</w:t>
            </w:r>
          </w:p>
        </w:tc>
      </w:tr>
      <w:tr w:rsidR="006B4107" w14:paraId="121C535E" w14:textId="77777777" w:rsidTr="006B4107">
        <w:tc>
          <w:tcPr>
            <w:cnfStyle w:val="001000000000" w:firstRow="0" w:lastRow="0" w:firstColumn="1" w:lastColumn="0" w:oddVBand="0" w:evenVBand="0" w:oddHBand="0" w:evenHBand="0" w:firstRowFirstColumn="0" w:firstRowLastColumn="0" w:lastRowFirstColumn="0" w:lastRowLastColumn="0"/>
            <w:tcW w:w="988" w:type="dxa"/>
            <w:vMerge/>
            <w:shd w:val="clear" w:color="auto" w:fill="auto"/>
            <w:vAlign w:val="center"/>
          </w:tcPr>
          <w:p w14:paraId="49B9DAC5" w14:textId="77777777" w:rsidR="006B4107" w:rsidRDefault="006B4107">
            <w:pPr>
              <w:pStyle w:val="F"/>
              <w:adjustRightInd w:val="0"/>
              <w:snapToGrid w:val="0"/>
              <w:spacing w:line="240" w:lineRule="auto"/>
              <w:ind w:firstLine="0"/>
              <w:rPr>
                <w:rFonts w:ascii="仿宋" w:eastAsia="仿宋" w:hAnsi="仿宋"/>
                <w:sz w:val="20"/>
                <w:szCs w:val="20"/>
                <w:lang w:eastAsia="zh-CN"/>
              </w:rPr>
            </w:pPr>
          </w:p>
        </w:tc>
        <w:tc>
          <w:tcPr>
            <w:tcW w:w="6095" w:type="dxa"/>
            <w:shd w:val="clear" w:color="auto" w:fill="auto"/>
            <w:vAlign w:val="center"/>
          </w:tcPr>
          <w:p w14:paraId="7A0A8111" w14:textId="77777777" w:rsidR="006B4107" w:rsidRDefault="004E70C7">
            <w:pPr>
              <w:pStyle w:val="F"/>
              <w:numPr>
                <w:ilvl w:val="0"/>
                <w:numId w:val="15"/>
              </w:numPr>
              <w:adjustRightInd w:val="0"/>
              <w:snapToGrid w:val="0"/>
              <w:spacing w:before="0" w:after="0" w:line="240" w:lineRule="auto"/>
              <w:ind w:left="496" w:hanging="270"/>
              <w:cnfStyle w:val="000000000000" w:firstRow="0" w:lastRow="0" w:firstColumn="0" w:lastColumn="0" w:oddVBand="0" w:evenVBand="0" w:oddHBand="0" w:evenHBand="0" w:firstRowFirstColumn="0" w:firstRowLastColumn="0" w:lastRowFirstColumn="0" w:lastRowLastColumn="0"/>
              <w:rPr>
                <w:rFonts w:cs="宋体"/>
                <w:color w:val="000000"/>
                <w:sz w:val="20"/>
                <w:szCs w:val="20"/>
                <w:lang w:eastAsia="zh-CN"/>
              </w:rPr>
            </w:pPr>
            <w:r>
              <w:rPr>
                <w:rFonts w:cs="宋体"/>
                <w:color w:val="000000"/>
                <w:sz w:val="20"/>
                <w:szCs w:val="20"/>
                <w:lang w:eastAsia="zh-CN"/>
              </w:rPr>
              <w:t>可比对象搜索方法、信息来源、选择条件及理由。</w:t>
            </w:r>
          </w:p>
        </w:tc>
        <w:tc>
          <w:tcPr>
            <w:tcW w:w="1134" w:type="dxa"/>
            <w:shd w:val="clear" w:color="auto" w:fill="auto"/>
            <w:vAlign w:val="center"/>
          </w:tcPr>
          <w:p w14:paraId="000670A6" w14:textId="77777777" w:rsidR="006B4107" w:rsidRDefault="004E70C7">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sz w:val="20"/>
                <w:szCs w:val="20"/>
                <w:lang w:eastAsia="zh-CN"/>
              </w:rPr>
            </w:pPr>
            <w:r>
              <w:rPr>
                <w:sz w:val="20"/>
                <w:szCs w:val="20"/>
                <w:lang w:eastAsia="zh-CN"/>
              </w:rPr>
              <w:t>7.4</w:t>
            </w:r>
          </w:p>
        </w:tc>
      </w:tr>
      <w:tr w:rsidR="006B4107" w14:paraId="49FC4469" w14:textId="77777777" w:rsidTr="006B4107">
        <w:tc>
          <w:tcPr>
            <w:cnfStyle w:val="001000000000" w:firstRow="0" w:lastRow="0" w:firstColumn="1" w:lastColumn="0" w:oddVBand="0" w:evenVBand="0" w:oddHBand="0" w:evenHBand="0" w:firstRowFirstColumn="0" w:firstRowLastColumn="0" w:lastRowFirstColumn="0" w:lastRowLastColumn="0"/>
            <w:tcW w:w="988" w:type="dxa"/>
            <w:vMerge/>
            <w:shd w:val="clear" w:color="auto" w:fill="auto"/>
            <w:vAlign w:val="center"/>
          </w:tcPr>
          <w:p w14:paraId="63B7066E" w14:textId="77777777" w:rsidR="006B4107" w:rsidRDefault="006B4107">
            <w:pPr>
              <w:pStyle w:val="F"/>
              <w:adjustRightInd w:val="0"/>
              <w:snapToGrid w:val="0"/>
              <w:spacing w:line="240" w:lineRule="auto"/>
              <w:ind w:firstLine="0"/>
              <w:rPr>
                <w:rFonts w:ascii="仿宋" w:eastAsia="仿宋" w:hAnsi="仿宋"/>
                <w:sz w:val="20"/>
                <w:szCs w:val="20"/>
                <w:lang w:eastAsia="zh-CN"/>
              </w:rPr>
            </w:pPr>
          </w:p>
        </w:tc>
        <w:tc>
          <w:tcPr>
            <w:tcW w:w="6095" w:type="dxa"/>
            <w:shd w:val="clear" w:color="auto" w:fill="DDEBF7"/>
            <w:vAlign w:val="center"/>
          </w:tcPr>
          <w:p w14:paraId="7F7E83D1" w14:textId="77777777" w:rsidR="006B4107" w:rsidRDefault="004E70C7">
            <w:pPr>
              <w:pStyle w:val="F"/>
              <w:numPr>
                <w:ilvl w:val="0"/>
                <w:numId w:val="15"/>
              </w:numPr>
              <w:adjustRightInd w:val="0"/>
              <w:snapToGrid w:val="0"/>
              <w:spacing w:before="0" w:after="0" w:line="240" w:lineRule="auto"/>
              <w:ind w:left="496" w:hanging="270"/>
              <w:cnfStyle w:val="000000000000" w:firstRow="0" w:lastRow="0" w:firstColumn="0" w:lastColumn="0" w:oddVBand="0" w:evenVBand="0" w:oddHBand="0" w:evenHBand="0" w:firstRowFirstColumn="0" w:firstRowLastColumn="0" w:lastRowFirstColumn="0" w:lastRowLastColumn="0"/>
              <w:rPr>
                <w:rFonts w:cs="宋体"/>
                <w:color w:val="000000"/>
                <w:sz w:val="20"/>
                <w:szCs w:val="20"/>
                <w:lang w:eastAsia="zh-CN"/>
              </w:rPr>
            </w:pPr>
            <w:r>
              <w:rPr>
                <w:rFonts w:cs="宋体"/>
                <w:color w:val="000000"/>
                <w:sz w:val="20"/>
                <w:szCs w:val="20"/>
                <w:lang w:eastAsia="zh-CN"/>
              </w:rPr>
              <w:t>所选取的内部或者外部可比非受控交易信息和可比企业的财务信息。</w:t>
            </w:r>
          </w:p>
        </w:tc>
        <w:tc>
          <w:tcPr>
            <w:tcW w:w="1134" w:type="dxa"/>
            <w:shd w:val="clear" w:color="auto" w:fill="DDEBF7"/>
            <w:vAlign w:val="center"/>
          </w:tcPr>
          <w:p w14:paraId="3393D918" w14:textId="77777777" w:rsidR="006B4107" w:rsidRDefault="004E70C7">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sz w:val="20"/>
                <w:szCs w:val="20"/>
                <w:lang w:eastAsia="zh-CN"/>
              </w:rPr>
            </w:pPr>
            <w:r>
              <w:rPr>
                <w:sz w:val="20"/>
                <w:szCs w:val="20"/>
                <w:lang w:eastAsia="zh-CN"/>
              </w:rPr>
              <w:t>附件</w:t>
            </w:r>
            <w:r>
              <w:rPr>
                <w:sz w:val="20"/>
                <w:szCs w:val="20"/>
                <w:lang w:eastAsia="zh-CN"/>
              </w:rPr>
              <w:t>4</w:t>
            </w:r>
          </w:p>
        </w:tc>
      </w:tr>
      <w:tr w:rsidR="006B4107" w14:paraId="1314CDD2" w14:textId="77777777" w:rsidTr="006B4107">
        <w:tc>
          <w:tcPr>
            <w:cnfStyle w:val="001000000000" w:firstRow="0" w:lastRow="0" w:firstColumn="1" w:lastColumn="0" w:oddVBand="0" w:evenVBand="0" w:oddHBand="0" w:evenHBand="0" w:firstRowFirstColumn="0" w:firstRowLastColumn="0" w:lastRowFirstColumn="0" w:lastRowLastColumn="0"/>
            <w:tcW w:w="988" w:type="dxa"/>
            <w:vMerge/>
            <w:shd w:val="clear" w:color="auto" w:fill="auto"/>
            <w:vAlign w:val="center"/>
          </w:tcPr>
          <w:p w14:paraId="6DD9500D" w14:textId="77777777" w:rsidR="006B4107" w:rsidRDefault="006B4107">
            <w:pPr>
              <w:pStyle w:val="F"/>
              <w:adjustRightInd w:val="0"/>
              <w:snapToGrid w:val="0"/>
              <w:spacing w:line="240" w:lineRule="auto"/>
              <w:ind w:firstLine="0"/>
              <w:rPr>
                <w:rFonts w:ascii="仿宋" w:eastAsia="仿宋" w:hAnsi="仿宋"/>
                <w:sz w:val="20"/>
                <w:szCs w:val="20"/>
                <w:lang w:eastAsia="zh-CN"/>
              </w:rPr>
            </w:pPr>
          </w:p>
        </w:tc>
        <w:tc>
          <w:tcPr>
            <w:tcW w:w="6095" w:type="dxa"/>
            <w:shd w:val="clear" w:color="auto" w:fill="auto"/>
            <w:vAlign w:val="center"/>
          </w:tcPr>
          <w:p w14:paraId="44E0EFBE" w14:textId="77777777" w:rsidR="006B4107" w:rsidRDefault="004E70C7">
            <w:pPr>
              <w:pStyle w:val="F"/>
              <w:numPr>
                <w:ilvl w:val="0"/>
                <w:numId w:val="15"/>
              </w:numPr>
              <w:adjustRightInd w:val="0"/>
              <w:snapToGrid w:val="0"/>
              <w:spacing w:before="0" w:after="0" w:line="240" w:lineRule="auto"/>
              <w:ind w:left="496" w:hanging="270"/>
              <w:cnfStyle w:val="000000000000" w:firstRow="0" w:lastRow="0" w:firstColumn="0" w:lastColumn="0" w:oddVBand="0" w:evenVBand="0" w:oddHBand="0" w:evenHBand="0" w:firstRowFirstColumn="0" w:firstRowLastColumn="0" w:lastRowFirstColumn="0" w:lastRowLastColumn="0"/>
              <w:rPr>
                <w:rFonts w:cs="宋体"/>
                <w:color w:val="000000"/>
                <w:sz w:val="20"/>
                <w:szCs w:val="20"/>
                <w:lang w:eastAsia="zh-CN"/>
              </w:rPr>
            </w:pPr>
            <w:r>
              <w:rPr>
                <w:rFonts w:cs="宋体"/>
                <w:color w:val="000000"/>
                <w:sz w:val="20"/>
                <w:szCs w:val="20"/>
                <w:lang w:eastAsia="zh-CN"/>
              </w:rPr>
              <w:t>可比数据的差异调整及理由。</w:t>
            </w:r>
          </w:p>
        </w:tc>
        <w:tc>
          <w:tcPr>
            <w:tcW w:w="1134" w:type="dxa"/>
            <w:shd w:val="clear" w:color="auto" w:fill="auto"/>
            <w:vAlign w:val="center"/>
          </w:tcPr>
          <w:p w14:paraId="045A30F5" w14:textId="77777777" w:rsidR="006B4107" w:rsidRDefault="004E70C7">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sz w:val="20"/>
                <w:szCs w:val="20"/>
                <w:lang w:eastAsia="zh-CN"/>
              </w:rPr>
            </w:pPr>
            <w:r>
              <w:rPr>
                <w:sz w:val="20"/>
                <w:szCs w:val="20"/>
                <w:lang w:eastAsia="zh-CN"/>
              </w:rPr>
              <w:t>7.4</w:t>
            </w:r>
          </w:p>
        </w:tc>
      </w:tr>
      <w:tr w:rsidR="006B4107" w14:paraId="4CF3FCC1" w14:textId="77777777" w:rsidTr="006B4107">
        <w:tc>
          <w:tcPr>
            <w:cnfStyle w:val="001000000000" w:firstRow="0" w:lastRow="0" w:firstColumn="1" w:lastColumn="0" w:oddVBand="0" w:evenVBand="0" w:oddHBand="0" w:evenHBand="0" w:firstRowFirstColumn="0" w:firstRowLastColumn="0" w:lastRowFirstColumn="0" w:lastRowLastColumn="0"/>
            <w:tcW w:w="988" w:type="dxa"/>
            <w:vMerge w:val="restart"/>
            <w:shd w:val="clear" w:color="auto" w:fill="DDEBF7"/>
            <w:vAlign w:val="center"/>
          </w:tcPr>
          <w:p w14:paraId="2028A837" w14:textId="77777777" w:rsidR="006B4107" w:rsidRDefault="004E70C7">
            <w:pPr>
              <w:pStyle w:val="F"/>
              <w:adjustRightInd w:val="0"/>
              <w:snapToGrid w:val="0"/>
              <w:spacing w:line="240" w:lineRule="auto"/>
              <w:ind w:firstLine="0"/>
              <w:rPr>
                <w:rFonts w:ascii="仿宋" w:eastAsia="仿宋" w:hAnsi="仿宋"/>
                <w:sz w:val="20"/>
                <w:szCs w:val="20"/>
                <w:lang w:eastAsia="zh-CN"/>
              </w:rPr>
            </w:pPr>
            <w:r>
              <w:rPr>
                <w:rFonts w:ascii="仿宋" w:eastAsia="仿宋" w:hAnsi="仿宋"/>
                <w:sz w:val="20"/>
                <w:szCs w:val="20"/>
                <w:lang w:eastAsia="zh-CN"/>
              </w:rPr>
              <w:t>（五）转让定价方法的选择和适用</w:t>
            </w:r>
          </w:p>
        </w:tc>
        <w:tc>
          <w:tcPr>
            <w:tcW w:w="6095" w:type="dxa"/>
            <w:shd w:val="clear" w:color="auto" w:fill="DDEBF7"/>
            <w:vAlign w:val="center"/>
          </w:tcPr>
          <w:p w14:paraId="52C9FEED" w14:textId="77777777" w:rsidR="006B4107" w:rsidRDefault="004E70C7">
            <w:pPr>
              <w:pStyle w:val="F"/>
              <w:numPr>
                <w:ilvl w:val="0"/>
                <w:numId w:val="16"/>
              </w:numPr>
              <w:adjustRightInd w:val="0"/>
              <w:snapToGrid w:val="0"/>
              <w:spacing w:before="0" w:after="0" w:line="240" w:lineRule="auto"/>
              <w:ind w:left="496" w:hanging="270"/>
              <w:cnfStyle w:val="000000000000" w:firstRow="0" w:lastRow="0" w:firstColumn="0" w:lastColumn="0" w:oddVBand="0" w:evenVBand="0" w:oddHBand="0" w:evenHBand="0" w:firstRowFirstColumn="0" w:firstRowLastColumn="0" w:lastRowFirstColumn="0" w:lastRowLastColumn="0"/>
              <w:rPr>
                <w:rFonts w:cs="宋体"/>
                <w:color w:val="000000"/>
                <w:sz w:val="20"/>
                <w:szCs w:val="20"/>
                <w:lang w:eastAsia="zh-CN"/>
              </w:rPr>
            </w:pPr>
            <w:r>
              <w:rPr>
                <w:rFonts w:cs="宋体"/>
                <w:color w:val="000000"/>
                <w:sz w:val="20"/>
                <w:szCs w:val="20"/>
                <w:lang w:eastAsia="zh-CN"/>
              </w:rPr>
              <w:t>被测试方的选择及理由。</w:t>
            </w:r>
          </w:p>
        </w:tc>
        <w:tc>
          <w:tcPr>
            <w:tcW w:w="1134" w:type="dxa"/>
            <w:shd w:val="clear" w:color="auto" w:fill="DDEBF7"/>
            <w:vAlign w:val="center"/>
          </w:tcPr>
          <w:p w14:paraId="2A45A5BD" w14:textId="77777777" w:rsidR="006B4107" w:rsidRDefault="004E70C7">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sz w:val="20"/>
                <w:szCs w:val="20"/>
                <w:lang w:eastAsia="zh-CN"/>
              </w:rPr>
            </w:pPr>
            <w:r>
              <w:rPr>
                <w:sz w:val="20"/>
                <w:szCs w:val="20"/>
                <w:lang w:eastAsia="zh-CN"/>
              </w:rPr>
              <w:t>7</w:t>
            </w:r>
          </w:p>
        </w:tc>
      </w:tr>
      <w:tr w:rsidR="006B4107" w14:paraId="57750E64" w14:textId="77777777" w:rsidTr="006B4107">
        <w:tc>
          <w:tcPr>
            <w:cnfStyle w:val="001000000000" w:firstRow="0" w:lastRow="0" w:firstColumn="1" w:lastColumn="0" w:oddVBand="0" w:evenVBand="0" w:oddHBand="0" w:evenHBand="0" w:firstRowFirstColumn="0" w:firstRowLastColumn="0" w:lastRowFirstColumn="0" w:lastRowLastColumn="0"/>
            <w:tcW w:w="988" w:type="dxa"/>
            <w:vMerge/>
            <w:shd w:val="clear" w:color="auto" w:fill="auto"/>
            <w:vAlign w:val="center"/>
          </w:tcPr>
          <w:p w14:paraId="473461B0" w14:textId="77777777" w:rsidR="006B4107" w:rsidRDefault="006B4107">
            <w:pPr>
              <w:pStyle w:val="F"/>
              <w:adjustRightInd w:val="0"/>
              <w:snapToGrid w:val="0"/>
              <w:spacing w:line="240" w:lineRule="auto"/>
              <w:ind w:firstLine="0"/>
              <w:rPr>
                <w:sz w:val="20"/>
                <w:szCs w:val="20"/>
                <w:lang w:eastAsia="zh-CN"/>
              </w:rPr>
            </w:pPr>
          </w:p>
        </w:tc>
        <w:tc>
          <w:tcPr>
            <w:tcW w:w="6095" w:type="dxa"/>
            <w:shd w:val="clear" w:color="auto" w:fill="auto"/>
            <w:vAlign w:val="center"/>
          </w:tcPr>
          <w:p w14:paraId="3F947428" w14:textId="77777777" w:rsidR="006B4107" w:rsidRDefault="004E70C7">
            <w:pPr>
              <w:pStyle w:val="F"/>
              <w:numPr>
                <w:ilvl w:val="0"/>
                <w:numId w:val="16"/>
              </w:numPr>
              <w:adjustRightInd w:val="0"/>
              <w:snapToGrid w:val="0"/>
              <w:spacing w:before="0" w:after="0" w:line="240" w:lineRule="auto"/>
              <w:ind w:left="496" w:hanging="270"/>
              <w:cnfStyle w:val="000000000000" w:firstRow="0" w:lastRow="0" w:firstColumn="0" w:lastColumn="0" w:oddVBand="0" w:evenVBand="0" w:oddHBand="0" w:evenHBand="0" w:firstRowFirstColumn="0" w:firstRowLastColumn="0" w:lastRowFirstColumn="0" w:lastRowLastColumn="0"/>
              <w:rPr>
                <w:rFonts w:cs="宋体"/>
                <w:color w:val="000000"/>
                <w:sz w:val="20"/>
                <w:szCs w:val="20"/>
                <w:lang w:eastAsia="zh-CN"/>
              </w:rPr>
            </w:pPr>
            <w:r>
              <w:rPr>
                <w:rFonts w:cs="宋体"/>
                <w:color w:val="000000"/>
                <w:sz w:val="20"/>
                <w:szCs w:val="20"/>
                <w:lang w:eastAsia="zh-CN"/>
              </w:rPr>
              <w:t>转让定价方法的选用及理由，无论选择何种转让定价方法，均须说明企业对集团整体利润或者剩余利润所做的贡献。</w:t>
            </w:r>
          </w:p>
        </w:tc>
        <w:tc>
          <w:tcPr>
            <w:tcW w:w="1134" w:type="dxa"/>
            <w:shd w:val="clear" w:color="auto" w:fill="auto"/>
            <w:vAlign w:val="center"/>
          </w:tcPr>
          <w:p w14:paraId="3D38E67E" w14:textId="77777777" w:rsidR="006B4107" w:rsidRDefault="004E70C7">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sz w:val="20"/>
                <w:szCs w:val="20"/>
                <w:lang w:eastAsia="zh-CN"/>
              </w:rPr>
            </w:pPr>
            <w:r>
              <w:rPr>
                <w:sz w:val="20"/>
                <w:szCs w:val="20"/>
                <w:lang w:eastAsia="zh-CN"/>
              </w:rPr>
              <w:t>7</w:t>
            </w:r>
          </w:p>
          <w:p w14:paraId="4AEF3FF2" w14:textId="77777777" w:rsidR="006B4107" w:rsidRDefault="004E70C7">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sz w:val="20"/>
                <w:szCs w:val="20"/>
                <w:lang w:eastAsia="zh-CN"/>
              </w:rPr>
            </w:pPr>
            <w:r>
              <w:rPr>
                <w:sz w:val="20"/>
                <w:szCs w:val="20"/>
                <w:lang w:eastAsia="zh-CN"/>
              </w:rPr>
              <w:t>附件</w:t>
            </w:r>
            <w:r>
              <w:rPr>
                <w:sz w:val="20"/>
                <w:szCs w:val="20"/>
                <w:lang w:eastAsia="zh-CN"/>
              </w:rPr>
              <w:t>1</w:t>
            </w:r>
          </w:p>
        </w:tc>
      </w:tr>
      <w:tr w:rsidR="006B4107" w14:paraId="6120B06B" w14:textId="77777777" w:rsidTr="006B4107">
        <w:tc>
          <w:tcPr>
            <w:cnfStyle w:val="001000000000" w:firstRow="0" w:lastRow="0" w:firstColumn="1" w:lastColumn="0" w:oddVBand="0" w:evenVBand="0" w:oddHBand="0" w:evenHBand="0" w:firstRowFirstColumn="0" w:firstRowLastColumn="0" w:lastRowFirstColumn="0" w:lastRowLastColumn="0"/>
            <w:tcW w:w="988" w:type="dxa"/>
            <w:vMerge/>
            <w:shd w:val="clear" w:color="auto" w:fill="auto"/>
            <w:vAlign w:val="center"/>
          </w:tcPr>
          <w:p w14:paraId="40B5E640" w14:textId="77777777" w:rsidR="006B4107" w:rsidRDefault="006B4107">
            <w:pPr>
              <w:pStyle w:val="F"/>
              <w:adjustRightInd w:val="0"/>
              <w:snapToGrid w:val="0"/>
              <w:spacing w:line="240" w:lineRule="auto"/>
              <w:ind w:firstLine="0"/>
              <w:rPr>
                <w:sz w:val="20"/>
                <w:szCs w:val="20"/>
                <w:lang w:eastAsia="zh-CN"/>
              </w:rPr>
            </w:pPr>
          </w:p>
        </w:tc>
        <w:tc>
          <w:tcPr>
            <w:tcW w:w="6095" w:type="dxa"/>
            <w:shd w:val="clear" w:color="auto" w:fill="DDEBF7"/>
            <w:vAlign w:val="center"/>
          </w:tcPr>
          <w:p w14:paraId="1D4EE983" w14:textId="77777777" w:rsidR="006B4107" w:rsidRDefault="004E70C7">
            <w:pPr>
              <w:pStyle w:val="F"/>
              <w:numPr>
                <w:ilvl w:val="0"/>
                <w:numId w:val="16"/>
              </w:numPr>
              <w:adjustRightInd w:val="0"/>
              <w:snapToGrid w:val="0"/>
              <w:spacing w:before="0" w:after="0" w:line="240" w:lineRule="auto"/>
              <w:ind w:left="496" w:hanging="270"/>
              <w:cnfStyle w:val="000000000000" w:firstRow="0" w:lastRow="0" w:firstColumn="0" w:lastColumn="0" w:oddVBand="0" w:evenVBand="0" w:oddHBand="0" w:evenHBand="0" w:firstRowFirstColumn="0" w:firstRowLastColumn="0" w:lastRowFirstColumn="0" w:lastRowLastColumn="0"/>
              <w:rPr>
                <w:rFonts w:cs="宋体"/>
                <w:color w:val="000000"/>
                <w:sz w:val="20"/>
                <w:szCs w:val="20"/>
                <w:lang w:eastAsia="zh-CN"/>
              </w:rPr>
            </w:pPr>
            <w:r>
              <w:rPr>
                <w:rFonts w:cs="宋体"/>
                <w:color w:val="000000"/>
                <w:sz w:val="20"/>
                <w:szCs w:val="20"/>
                <w:lang w:eastAsia="zh-CN"/>
              </w:rPr>
              <w:t>确定可比非关联交易价格或者利润的过程中所做的假设和判断。</w:t>
            </w:r>
          </w:p>
        </w:tc>
        <w:tc>
          <w:tcPr>
            <w:tcW w:w="1134" w:type="dxa"/>
            <w:shd w:val="clear" w:color="auto" w:fill="DDEBF7"/>
            <w:vAlign w:val="center"/>
          </w:tcPr>
          <w:p w14:paraId="77610C45" w14:textId="77777777" w:rsidR="006B4107" w:rsidRDefault="004E70C7">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sz w:val="20"/>
                <w:szCs w:val="20"/>
                <w:lang w:eastAsia="zh-CN"/>
              </w:rPr>
            </w:pPr>
            <w:r>
              <w:rPr>
                <w:sz w:val="20"/>
                <w:szCs w:val="20"/>
                <w:lang w:eastAsia="zh-CN"/>
              </w:rPr>
              <w:t>7</w:t>
            </w:r>
          </w:p>
        </w:tc>
      </w:tr>
      <w:tr w:rsidR="006B4107" w14:paraId="1EB3C54A" w14:textId="77777777" w:rsidTr="006B4107">
        <w:tc>
          <w:tcPr>
            <w:cnfStyle w:val="001000000000" w:firstRow="0" w:lastRow="0" w:firstColumn="1" w:lastColumn="0" w:oddVBand="0" w:evenVBand="0" w:oddHBand="0" w:evenHBand="0" w:firstRowFirstColumn="0" w:firstRowLastColumn="0" w:lastRowFirstColumn="0" w:lastRowLastColumn="0"/>
            <w:tcW w:w="988" w:type="dxa"/>
            <w:vMerge/>
            <w:shd w:val="clear" w:color="auto" w:fill="auto"/>
            <w:vAlign w:val="center"/>
          </w:tcPr>
          <w:p w14:paraId="3E1CF4BA" w14:textId="77777777" w:rsidR="006B4107" w:rsidRDefault="006B4107">
            <w:pPr>
              <w:pStyle w:val="F"/>
              <w:adjustRightInd w:val="0"/>
              <w:snapToGrid w:val="0"/>
              <w:spacing w:line="240" w:lineRule="auto"/>
              <w:ind w:firstLine="0"/>
              <w:rPr>
                <w:sz w:val="20"/>
                <w:szCs w:val="20"/>
                <w:lang w:eastAsia="zh-CN"/>
              </w:rPr>
            </w:pPr>
          </w:p>
        </w:tc>
        <w:tc>
          <w:tcPr>
            <w:tcW w:w="6095" w:type="dxa"/>
            <w:shd w:val="clear" w:color="auto" w:fill="auto"/>
            <w:vAlign w:val="center"/>
          </w:tcPr>
          <w:p w14:paraId="77E56712" w14:textId="77777777" w:rsidR="006B4107" w:rsidRDefault="004E70C7">
            <w:pPr>
              <w:pStyle w:val="F"/>
              <w:numPr>
                <w:ilvl w:val="0"/>
                <w:numId w:val="16"/>
              </w:numPr>
              <w:adjustRightInd w:val="0"/>
              <w:snapToGrid w:val="0"/>
              <w:spacing w:before="0" w:after="0" w:line="240" w:lineRule="auto"/>
              <w:ind w:left="496" w:hanging="270"/>
              <w:cnfStyle w:val="000000000000" w:firstRow="0" w:lastRow="0" w:firstColumn="0" w:lastColumn="0" w:oddVBand="0" w:evenVBand="0" w:oddHBand="0" w:evenHBand="0" w:firstRowFirstColumn="0" w:firstRowLastColumn="0" w:lastRowFirstColumn="0" w:lastRowLastColumn="0"/>
              <w:rPr>
                <w:rFonts w:cs="宋体"/>
                <w:color w:val="000000"/>
                <w:sz w:val="20"/>
                <w:szCs w:val="20"/>
                <w:lang w:eastAsia="zh-CN"/>
              </w:rPr>
            </w:pPr>
            <w:r>
              <w:rPr>
                <w:rFonts w:cs="宋体"/>
                <w:color w:val="000000"/>
                <w:sz w:val="20"/>
                <w:szCs w:val="20"/>
                <w:lang w:eastAsia="zh-CN"/>
              </w:rPr>
              <w:t>运用合理的转让定价方法和可比性分析结果，确定可比非关联交易价格或者利润。</w:t>
            </w:r>
          </w:p>
        </w:tc>
        <w:tc>
          <w:tcPr>
            <w:tcW w:w="1134" w:type="dxa"/>
            <w:shd w:val="clear" w:color="auto" w:fill="auto"/>
            <w:vAlign w:val="center"/>
          </w:tcPr>
          <w:p w14:paraId="36B02622" w14:textId="77777777" w:rsidR="006B4107" w:rsidRDefault="004E70C7">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sz w:val="20"/>
                <w:szCs w:val="20"/>
                <w:lang w:eastAsia="zh-CN"/>
              </w:rPr>
            </w:pPr>
            <w:r>
              <w:rPr>
                <w:sz w:val="20"/>
                <w:szCs w:val="20"/>
                <w:lang w:eastAsia="zh-CN"/>
              </w:rPr>
              <w:t>7.4</w:t>
            </w:r>
          </w:p>
        </w:tc>
      </w:tr>
      <w:tr w:rsidR="006B4107" w14:paraId="7CC402A9" w14:textId="77777777" w:rsidTr="006B4107">
        <w:tc>
          <w:tcPr>
            <w:cnfStyle w:val="001000000000" w:firstRow="0" w:lastRow="0" w:firstColumn="1" w:lastColumn="0" w:oddVBand="0" w:evenVBand="0" w:oddHBand="0" w:evenHBand="0" w:firstRowFirstColumn="0" w:firstRowLastColumn="0" w:lastRowFirstColumn="0" w:lastRowLastColumn="0"/>
            <w:tcW w:w="988" w:type="dxa"/>
            <w:vMerge/>
            <w:shd w:val="clear" w:color="auto" w:fill="auto"/>
            <w:vAlign w:val="center"/>
          </w:tcPr>
          <w:p w14:paraId="71A460AD" w14:textId="77777777" w:rsidR="006B4107" w:rsidRDefault="006B4107">
            <w:pPr>
              <w:pStyle w:val="F"/>
              <w:adjustRightInd w:val="0"/>
              <w:snapToGrid w:val="0"/>
              <w:spacing w:line="240" w:lineRule="auto"/>
              <w:ind w:firstLine="0"/>
              <w:rPr>
                <w:sz w:val="20"/>
                <w:szCs w:val="20"/>
                <w:lang w:eastAsia="zh-CN"/>
              </w:rPr>
            </w:pPr>
          </w:p>
        </w:tc>
        <w:tc>
          <w:tcPr>
            <w:tcW w:w="6095" w:type="dxa"/>
            <w:shd w:val="clear" w:color="auto" w:fill="DDEBF7"/>
            <w:vAlign w:val="center"/>
          </w:tcPr>
          <w:p w14:paraId="4A1DC0E9" w14:textId="77777777" w:rsidR="006B4107" w:rsidRDefault="004E70C7">
            <w:pPr>
              <w:pStyle w:val="F"/>
              <w:numPr>
                <w:ilvl w:val="0"/>
                <w:numId w:val="16"/>
              </w:numPr>
              <w:adjustRightInd w:val="0"/>
              <w:snapToGrid w:val="0"/>
              <w:spacing w:before="0" w:after="0" w:line="240" w:lineRule="auto"/>
              <w:ind w:left="496" w:hanging="270"/>
              <w:cnfStyle w:val="000000000000" w:firstRow="0" w:lastRow="0" w:firstColumn="0" w:lastColumn="0" w:oddVBand="0" w:evenVBand="0" w:oddHBand="0" w:evenHBand="0" w:firstRowFirstColumn="0" w:firstRowLastColumn="0" w:lastRowFirstColumn="0" w:lastRowLastColumn="0"/>
              <w:rPr>
                <w:rFonts w:cs="宋体"/>
                <w:color w:val="000000"/>
                <w:sz w:val="20"/>
                <w:szCs w:val="20"/>
                <w:lang w:eastAsia="zh-CN"/>
              </w:rPr>
            </w:pPr>
            <w:r>
              <w:rPr>
                <w:rFonts w:cs="宋体"/>
                <w:color w:val="000000"/>
                <w:sz w:val="20"/>
                <w:szCs w:val="20"/>
                <w:lang w:eastAsia="zh-CN"/>
              </w:rPr>
              <w:t>其他支持所选用转让定价方法的资料。</w:t>
            </w:r>
          </w:p>
        </w:tc>
        <w:tc>
          <w:tcPr>
            <w:tcW w:w="1134" w:type="dxa"/>
            <w:shd w:val="clear" w:color="auto" w:fill="DDEBF7"/>
            <w:vAlign w:val="center"/>
          </w:tcPr>
          <w:p w14:paraId="727E926B" w14:textId="77777777" w:rsidR="006B4107" w:rsidRDefault="004E70C7">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sz w:val="20"/>
                <w:szCs w:val="20"/>
                <w:lang w:eastAsia="zh-CN"/>
              </w:rPr>
            </w:pPr>
            <w:r>
              <w:rPr>
                <w:sz w:val="20"/>
                <w:szCs w:val="20"/>
                <w:lang w:eastAsia="zh-CN"/>
              </w:rPr>
              <w:t>不适用</w:t>
            </w:r>
          </w:p>
        </w:tc>
      </w:tr>
      <w:tr w:rsidR="006B4107" w14:paraId="56A2B24A" w14:textId="77777777" w:rsidTr="006B4107">
        <w:tc>
          <w:tcPr>
            <w:cnfStyle w:val="001000000000" w:firstRow="0" w:lastRow="0" w:firstColumn="1" w:lastColumn="0" w:oddVBand="0" w:evenVBand="0" w:oddHBand="0" w:evenHBand="0" w:firstRowFirstColumn="0" w:firstRowLastColumn="0" w:lastRowFirstColumn="0" w:lastRowLastColumn="0"/>
            <w:tcW w:w="988" w:type="dxa"/>
            <w:vMerge/>
            <w:shd w:val="clear" w:color="auto" w:fill="auto"/>
            <w:vAlign w:val="center"/>
          </w:tcPr>
          <w:p w14:paraId="06A70DE6" w14:textId="77777777" w:rsidR="006B4107" w:rsidRDefault="006B4107">
            <w:pPr>
              <w:pStyle w:val="F"/>
              <w:adjustRightInd w:val="0"/>
              <w:snapToGrid w:val="0"/>
              <w:spacing w:line="240" w:lineRule="auto"/>
              <w:ind w:firstLine="0"/>
              <w:rPr>
                <w:sz w:val="20"/>
                <w:szCs w:val="20"/>
                <w:lang w:eastAsia="zh-CN"/>
              </w:rPr>
            </w:pPr>
          </w:p>
        </w:tc>
        <w:tc>
          <w:tcPr>
            <w:tcW w:w="6095" w:type="dxa"/>
            <w:shd w:val="clear" w:color="auto" w:fill="auto"/>
            <w:vAlign w:val="center"/>
          </w:tcPr>
          <w:p w14:paraId="51CCF7D0" w14:textId="77777777" w:rsidR="006B4107" w:rsidRDefault="004E70C7">
            <w:pPr>
              <w:pStyle w:val="F"/>
              <w:numPr>
                <w:ilvl w:val="0"/>
                <w:numId w:val="16"/>
              </w:numPr>
              <w:adjustRightInd w:val="0"/>
              <w:snapToGrid w:val="0"/>
              <w:spacing w:before="0" w:after="0" w:line="240" w:lineRule="auto"/>
              <w:ind w:left="496" w:hanging="270"/>
              <w:cnfStyle w:val="000000000000" w:firstRow="0" w:lastRow="0" w:firstColumn="0" w:lastColumn="0" w:oddVBand="0" w:evenVBand="0" w:oddHBand="0" w:evenHBand="0" w:firstRowFirstColumn="0" w:firstRowLastColumn="0" w:lastRowFirstColumn="0" w:lastRowLastColumn="0"/>
              <w:rPr>
                <w:rFonts w:cs="宋体"/>
                <w:color w:val="000000"/>
                <w:sz w:val="20"/>
                <w:szCs w:val="20"/>
                <w:lang w:eastAsia="zh-CN"/>
              </w:rPr>
            </w:pPr>
            <w:r>
              <w:rPr>
                <w:rFonts w:cs="宋体"/>
                <w:color w:val="000000"/>
                <w:sz w:val="20"/>
                <w:szCs w:val="20"/>
                <w:lang w:eastAsia="zh-CN"/>
              </w:rPr>
              <w:t>关联交易定价是否符合独立交易原则的分析及结论。</w:t>
            </w:r>
          </w:p>
        </w:tc>
        <w:tc>
          <w:tcPr>
            <w:tcW w:w="1134" w:type="dxa"/>
            <w:shd w:val="clear" w:color="auto" w:fill="auto"/>
            <w:vAlign w:val="center"/>
          </w:tcPr>
          <w:p w14:paraId="3F4BB670" w14:textId="77777777" w:rsidR="006B4107" w:rsidRDefault="004E70C7">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sz w:val="20"/>
                <w:szCs w:val="20"/>
                <w:lang w:eastAsia="zh-CN"/>
              </w:rPr>
            </w:pPr>
            <w:r>
              <w:rPr>
                <w:sz w:val="20"/>
                <w:szCs w:val="20"/>
                <w:lang w:eastAsia="zh-CN"/>
              </w:rPr>
              <w:t>8</w:t>
            </w:r>
          </w:p>
        </w:tc>
      </w:tr>
    </w:tbl>
    <w:p w14:paraId="3A9EA54A" w14:textId="77777777" w:rsidR="006B4107" w:rsidRDefault="006B4107">
      <w:pPr>
        <w:adjustRightInd w:val="0"/>
        <w:snapToGrid w:val="0"/>
        <w:jc w:val="both"/>
      </w:pPr>
    </w:p>
    <w:p w14:paraId="7337CAA4" w14:textId="77777777" w:rsidR="006B4107" w:rsidRDefault="006B4107">
      <w:pPr>
        <w:adjustRightInd w:val="0"/>
        <w:snapToGrid w:val="0"/>
        <w:jc w:val="both"/>
      </w:pPr>
    </w:p>
    <w:p w14:paraId="3E65EFB6" w14:textId="77777777" w:rsidR="006B4107" w:rsidRDefault="006B4107">
      <w:pPr>
        <w:adjustRightInd w:val="0"/>
        <w:snapToGrid w:val="0"/>
        <w:jc w:val="both"/>
        <w:sectPr w:rsidR="006B4107">
          <w:headerReference w:type="even" r:id="rId19"/>
          <w:headerReference w:type="default" r:id="rId20"/>
          <w:footerReference w:type="default" r:id="rId21"/>
          <w:headerReference w:type="first" r:id="rId22"/>
          <w:pgSz w:w="11907" w:h="16839"/>
          <w:pgMar w:top="1440" w:right="1800" w:bottom="1440" w:left="1800" w:header="709" w:footer="709" w:gutter="0"/>
          <w:pgNumType w:fmt="lowerRoman" w:start="1"/>
          <w:cols w:space="720"/>
          <w:docGrid w:linePitch="360"/>
        </w:sectPr>
      </w:pPr>
    </w:p>
    <w:p w14:paraId="67A9F5F4" w14:textId="77777777" w:rsidR="006B4107" w:rsidRDefault="004E70C7">
      <w:pPr>
        <w:pStyle w:val="1"/>
        <w:numPr>
          <w:ilvl w:val="0"/>
          <w:numId w:val="0"/>
        </w:numPr>
        <w:ind w:left="360"/>
        <w:rPr>
          <w:rFonts w:ascii="仿宋" w:eastAsia="仿宋" w:hAnsi="仿宋"/>
          <w:color w:val="1E4517" w:themeColor="accent4" w:themeShade="80"/>
          <w:sz w:val="28"/>
          <w:szCs w:val="28"/>
        </w:rPr>
      </w:pPr>
      <w:bookmarkStart w:id="49" w:name="_Toc140761281"/>
      <w:bookmarkStart w:id="50" w:name="_Toc185598812"/>
      <w:r>
        <w:rPr>
          <w:rFonts w:ascii="仿宋" w:eastAsia="仿宋" w:hAnsi="仿宋"/>
          <w:color w:val="1E4517" w:themeColor="accent4" w:themeShade="80"/>
          <w:sz w:val="28"/>
          <w:szCs w:val="28"/>
        </w:rPr>
        <w:lastRenderedPageBreak/>
        <w:t>缩略语索引表</w:t>
      </w:r>
      <w:bookmarkEnd w:id="49"/>
      <w:bookmarkEnd w:id="50"/>
    </w:p>
    <w:tbl>
      <w:tblPr>
        <w:tblW w:w="8363"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83"/>
        <w:gridCol w:w="5380"/>
      </w:tblGrid>
      <w:tr w:rsidR="006B4107" w14:paraId="6229EA92" w14:textId="77777777">
        <w:trPr>
          <w:trHeight w:hRule="exact" w:val="567"/>
          <w:tblHeader/>
          <w:tblCellSpacing w:w="0" w:type="dxa"/>
          <w:jc w:val="center"/>
        </w:trPr>
        <w:tc>
          <w:tcPr>
            <w:tcW w:w="2983" w:type="dxa"/>
            <w:shd w:val="clear" w:color="auto" w:fill="002060"/>
            <w:vAlign w:val="center"/>
          </w:tcPr>
          <w:p w14:paraId="7E4D6D80" w14:textId="77777777" w:rsidR="006B4107" w:rsidRDefault="004E70C7">
            <w:pPr>
              <w:jc w:val="both"/>
              <w:rPr>
                <w:rFonts w:ascii="仿宋" w:eastAsia="仿宋" w:hAnsi="仿宋"/>
                <w:b/>
                <w:color w:val="FFFFFF"/>
              </w:rPr>
            </w:pPr>
            <w:r>
              <w:rPr>
                <w:rFonts w:ascii="仿宋" w:eastAsia="仿宋" w:hAnsi="仿宋"/>
                <w:b/>
                <w:color w:val="FFFFFF"/>
              </w:rPr>
              <w:t>缩略语</w:t>
            </w:r>
          </w:p>
        </w:tc>
        <w:tc>
          <w:tcPr>
            <w:tcW w:w="5380" w:type="dxa"/>
            <w:shd w:val="clear" w:color="auto" w:fill="002060"/>
            <w:vAlign w:val="center"/>
          </w:tcPr>
          <w:p w14:paraId="7B6EBBDC" w14:textId="77777777" w:rsidR="006B4107" w:rsidRDefault="004E70C7">
            <w:pPr>
              <w:jc w:val="both"/>
              <w:rPr>
                <w:rFonts w:ascii="仿宋" w:eastAsia="仿宋" w:hAnsi="仿宋"/>
                <w:b/>
                <w:color w:val="FFFFFF"/>
              </w:rPr>
            </w:pPr>
            <w:r>
              <w:rPr>
                <w:rFonts w:ascii="仿宋" w:eastAsia="仿宋" w:hAnsi="仿宋"/>
                <w:b/>
                <w:color w:val="FFFFFF"/>
              </w:rPr>
              <w:t>全称</w:t>
            </w:r>
          </w:p>
        </w:tc>
      </w:tr>
      <w:tr w:rsidR="006B4107" w14:paraId="02EC9272" w14:textId="77777777">
        <w:trPr>
          <w:trHeight w:hRule="exact" w:val="567"/>
          <w:tblCellSpacing w:w="0" w:type="dxa"/>
          <w:jc w:val="center"/>
        </w:trPr>
        <w:tc>
          <w:tcPr>
            <w:tcW w:w="2983" w:type="dxa"/>
            <w:shd w:val="clear" w:color="auto" w:fill="auto"/>
            <w:vAlign w:val="center"/>
          </w:tcPr>
          <w:p w14:paraId="7D18C26B" w14:textId="77777777" w:rsidR="006B4107" w:rsidRDefault="004E70C7">
            <w:pPr>
              <w:snapToGrid w:val="0"/>
              <w:jc w:val="both"/>
              <w:rPr>
                <w:rFonts w:cs="Arial Unicode MS"/>
              </w:rPr>
            </w:pPr>
            <w:r>
              <w:rPr>
                <w:rFonts w:cs="Arial Unicode MS" w:hint="eastAsia"/>
              </w:rPr>
              <w:t>立信</w:t>
            </w:r>
            <w:r>
              <w:rPr>
                <w:rFonts w:cs="Arial Unicode MS"/>
              </w:rPr>
              <w:t>或我们</w:t>
            </w:r>
          </w:p>
        </w:tc>
        <w:tc>
          <w:tcPr>
            <w:tcW w:w="5380" w:type="dxa"/>
            <w:shd w:val="clear" w:color="auto" w:fill="auto"/>
            <w:vAlign w:val="center"/>
          </w:tcPr>
          <w:p w14:paraId="39E78BD7" w14:textId="77777777" w:rsidR="006B4107" w:rsidRDefault="004E70C7">
            <w:pPr>
              <w:snapToGrid w:val="0"/>
              <w:jc w:val="both"/>
              <w:rPr>
                <w:rFonts w:cs="Arial Unicode MS"/>
              </w:rPr>
            </w:pPr>
            <w:r>
              <w:rPr>
                <w:rFonts w:cs="Arial Unicode MS" w:hint="eastAsia"/>
              </w:rPr>
              <w:t>立信税务师事务所有限公司</w:t>
            </w:r>
          </w:p>
        </w:tc>
      </w:tr>
      <w:tr w:rsidR="006B4107" w14:paraId="47757B63" w14:textId="77777777">
        <w:trPr>
          <w:trHeight w:hRule="exact" w:val="567"/>
          <w:tblCellSpacing w:w="0" w:type="dxa"/>
          <w:jc w:val="center"/>
        </w:trPr>
        <w:tc>
          <w:tcPr>
            <w:tcW w:w="2983" w:type="dxa"/>
            <w:shd w:val="clear" w:color="auto" w:fill="auto"/>
            <w:vAlign w:val="center"/>
          </w:tcPr>
          <w:p w14:paraId="48BAE300" w14:textId="77777777" w:rsidR="006B4107" w:rsidRDefault="004E70C7">
            <w:pPr>
              <w:snapToGrid w:val="0"/>
              <w:jc w:val="both"/>
              <w:rPr>
                <w:rFonts w:cs="Arial Unicode MS"/>
              </w:rPr>
            </w:pPr>
            <w:proofErr w:type="gramStart"/>
            <w:r>
              <w:rPr>
                <w:rFonts w:cs="Arial Unicode MS" w:hint="eastAsia"/>
              </w:rPr>
              <w:t>远化物流</w:t>
            </w:r>
            <w:proofErr w:type="gramEnd"/>
          </w:p>
        </w:tc>
        <w:tc>
          <w:tcPr>
            <w:tcW w:w="5380" w:type="dxa"/>
            <w:shd w:val="clear" w:color="auto" w:fill="auto"/>
            <w:vAlign w:val="center"/>
          </w:tcPr>
          <w:p w14:paraId="44A34AB3" w14:textId="77777777" w:rsidR="006B4107" w:rsidRDefault="004E70C7">
            <w:pPr>
              <w:snapToGrid w:val="0"/>
              <w:jc w:val="both"/>
              <w:rPr>
                <w:rFonts w:cs="Arial Unicode MS"/>
              </w:rPr>
            </w:pPr>
            <w:r>
              <w:rPr>
                <w:rFonts w:cs="Arial Unicode MS" w:hint="eastAsia"/>
              </w:rPr>
              <w:t>上海远化物流有限公司</w:t>
            </w:r>
          </w:p>
        </w:tc>
      </w:tr>
      <w:tr w:rsidR="006B4107" w14:paraId="628F0137" w14:textId="77777777">
        <w:trPr>
          <w:trHeight w:hRule="exact" w:val="567"/>
          <w:tblCellSpacing w:w="0" w:type="dxa"/>
          <w:jc w:val="center"/>
        </w:trPr>
        <w:tc>
          <w:tcPr>
            <w:tcW w:w="2983" w:type="dxa"/>
            <w:shd w:val="clear" w:color="auto" w:fill="auto"/>
            <w:vAlign w:val="center"/>
          </w:tcPr>
          <w:p w14:paraId="010B4DF3" w14:textId="77777777" w:rsidR="006B4107" w:rsidRDefault="004E70C7">
            <w:pPr>
              <w:snapToGrid w:val="0"/>
              <w:jc w:val="both"/>
              <w:rPr>
                <w:rFonts w:cs="Arial Unicode MS"/>
              </w:rPr>
            </w:pPr>
            <w:r>
              <w:rPr>
                <w:rFonts w:cs="Arial Unicode MS"/>
              </w:rPr>
              <w:t>评估期间或</w:t>
            </w:r>
            <w:r>
              <w:rPr>
                <w:rFonts w:cs="Arial Unicode MS"/>
              </w:rPr>
              <w:t>2023</w:t>
            </w:r>
            <w:r>
              <w:rPr>
                <w:rFonts w:cs="Arial Unicode MS"/>
              </w:rPr>
              <w:t>年度</w:t>
            </w:r>
          </w:p>
        </w:tc>
        <w:tc>
          <w:tcPr>
            <w:tcW w:w="5380" w:type="dxa"/>
            <w:shd w:val="clear" w:color="auto" w:fill="auto"/>
            <w:vAlign w:val="center"/>
          </w:tcPr>
          <w:p w14:paraId="29BA139C" w14:textId="77777777" w:rsidR="006B4107" w:rsidRDefault="004E70C7">
            <w:pPr>
              <w:snapToGrid w:val="0"/>
              <w:jc w:val="both"/>
              <w:rPr>
                <w:rFonts w:cs="Arial Unicode MS"/>
              </w:rPr>
            </w:pPr>
            <w:r>
              <w:rPr>
                <w:rFonts w:cs="Arial Unicode MS"/>
              </w:rPr>
              <w:t>2023</w:t>
            </w:r>
            <w:r>
              <w:rPr>
                <w:rFonts w:cs="Arial Unicode MS"/>
              </w:rPr>
              <w:t>年</w:t>
            </w:r>
            <w:r>
              <w:rPr>
                <w:rFonts w:cs="Arial Unicode MS"/>
              </w:rPr>
              <w:t>1</w:t>
            </w:r>
            <w:r>
              <w:rPr>
                <w:rFonts w:cs="Arial Unicode MS"/>
              </w:rPr>
              <w:t>月</w:t>
            </w:r>
            <w:r>
              <w:rPr>
                <w:rFonts w:cs="Arial Unicode MS"/>
              </w:rPr>
              <w:t>1</w:t>
            </w:r>
            <w:r>
              <w:rPr>
                <w:rFonts w:cs="Arial Unicode MS"/>
              </w:rPr>
              <w:t>日至</w:t>
            </w:r>
            <w:r>
              <w:rPr>
                <w:rFonts w:cs="Arial Unicode MS"/>
              </w:rPr>
              <w:t>2023</w:t>
            </w:r>
            <w:r>
              <w:rPr>
                <w:rFonts w:cs="Arial Unicode MS"/>
              </w:rPr>
              <w:t>年</w:t>
            </w:r>
            <w:r>
              <w:rPr>
                <w:rFonts w:cs="Arial Unicode MS"/>
              </w:rPr>
              <w:t>12</w:t>
            </w:r>
            <w:r>
              <w:rPr>
                <w:rFonts w:cs="Arial Unicode MS"/>
              </w:rPr>
              <w:t>月</w:t>
            </w:r>
            <w:r>
              <w:rPr>
                <w:rFonts w:cs="Arial Unicode MS"/>
              </w:rPr>
              <w:t>31</w:t>
            </w:r>
            <w:r>
              <w:rPr>
                <w:rFonts w:cs="Arial Unicode MS"/>
              </w:rPr>
              <w:t>日</w:t>
            </w:r>
          </w:p>
        </w:tc>
      </w:tr>
      <w:tr w:rsidR="006B4107" w14:paraId="69DF21EB" w14:textId="77777777">
        <w:trPr>
          <w:trHeight w:hRule="exact" w:val="567"/>
          <w:tblCellSpacing w:w="0" w:type="dxa"/>
          <w:jc w:val="center"/>
        </w:trPr>
        <w:tc>
          <w:tcPr>
            <w:tcW w:w="2983" w:type="dxa"/>
            <w:shd w:val="clear" w:color="auto" w:fill="auto"/>
            <w:vAlign w:val="center"/>
          </w:tcPr>
          <w:p w14:paraId="232E9381" w14:textId="77777777" w:rsidR="006B4107" w:rsidRDefault="004E70C7">
            <w:pPr>
              <w:snapToGrid w:val="0"/>
              <w:jc w:val="both"/>
              <w:rPr>
                <w:rFonts w:cs="Arial Unicode MS"/>
              </w:rPr>
            </w:pPr>
            <w:r>
              <w:rPr>
                <w:rFonts w:cs="Arial Unicode MS"/>
              </w:rPr>
              <w:t>国税总局</w:t>
            </w:r>
          </w:p>
        </w:tc>
        <w:tc>
          <w:tcPr>
            <w:tcW w:w="5380" w:type="dxa"/>
            <w:shd w:val="clear" w:color="auto" w:fill="auto"/>
            <w:vAlign w:val="center"/>
          </w:tcPr>
          <w:p w14:paraId="4CDD890A" w14:textId="77777777" w:rsidR="006B4107" w:rsidRDefault="004E70C7">
            <w:pPr>
              <w:snapToGrid w:val="0"/>
              <w:jc w:val="both"/>
              <w:rPr>
                <w:rFonts w:cs="Arial Unicode MS"/>
              </w:rPr>
            </w:pPr>
            <w:r>
              <w:rPr>
                <w:rFonts w:cs="Arial Unicode MS"/>
              </w:rPr>
              <w:t>中华人民共和国国家税务总局</w:t>
            </w:r>
          </w:p>
        </w:tc>
      </w:tr>
      <w:tr w:rsidR="006B4107" w14:paraId="18C8C54B" w14:textId="77777777">
        <w:trPr>
          <w:trHeight w:hRule="exact" w:val="696"/>
          <w:tblCellSpacing w:w="0" w:type="dxa"/>
          <w:jc w:val="center"/>
        </w:trPr>
        <w:tc>
          <w:tcPr>
            <w:tcW w:w="2983" w:type="dxa"/>
            <w:shd w:val="clear" w:color="auto" w:fill="auto"/>
            <w:vAlign w:val="center"/>
          </w:tcPr>
          <w:p w14:paraId="302513AE" w14:textId="77777777" w:rsidR="006B4107" w:rsidRDefault="004E70C7">
            <w:pPr>
              <w:snapToGrid w:val="0"/>
              <w:jc w:val="both"/>
              <w:rPr>
                <w:rFonts w:cs="Arial Unicode MS"/>
              </w:rPr>
            </w:pPr>
            <w:r>
              <w:rPr>
                <w:rFonts w:cs="Arial Unicode MS"/>
              </w:rPr>
              <w:t>企业所得税法</w:t>
            </w:r>
          </w:p>
        </w:tc>
        <w:tc>
          <w:tcPr>
            <w:tcW w:w="5380" w:type="dxa"/>
            <w:shd w:val="clear" w:color="auto" w:fill="auto"/>
            <w:vAlign w:val="center"/>
          </w:tcPr>
          <w:p w14:paraId="1970D5DA" w14:textId="77777777" w:rsidR="006B4107" w:rsidRDefault="004E70C7">
            <w:pPr>
              <w:snapToGrid w:val="0"/>
              <w:jc w:val="both"/>
              <w:rPr>
                <w:rFonts w:cs="Arial Unicode MS"/>
              </w:rPr>
            </w:pPr>
            <w:r>
              <w:rPr>
                <w:rFonts w:cs="Arial Unicode MS"/>
              </w:rPr>
              <w:t>《中华人民共和国企业所得税法》及其实施条例</w:t>
            </w:r>
          </w:p>
        </w:tc>
      </w:tr>
      <w:tr w:rsidR="006B4107" w14:paraId="29F6D92B" w14:textId="77777777">
        <w:trPr>
          <w:trHeight w:hRule="exact" w:val="567"/>
          <w:tblCellSpacing w:w="0" w:type="dxa"/>
          <w:jc w:val="center"/>
        </w:trPr>
        <w:tc>
          <w:tcPr>
            <w:tcW w:w="2983" w:type="dxa"/>
            <w:shd w:val="clear" w:color="auto" w:fill="auto"/>
            <w:vAlign w:val="center"/>
          </w:tcPr>
          <w:p w14:paraId="69459174" w14:textId="77777777" w:rsidR="006B4107" w:rsidRDefault="004E70C7">
            <w:pPr>
              <w:snapToGrid w:val="0"/>
              <w:jc w:val="both"/>
              <w:rPr>
                <w:rFonts w:cs="Arial Unicode MS"/>
              </w:rPr>
            </w:pPr>
            <w:r>
              <w:rPr>
                <w:rFonts w:cs="Arial Unicode MS"/>
              </w:rPr>
              <w:t>税收征管法</w:t>
            </w:r>
          </w:p>
        </w:tc>
        <w:tc>
          <w:tcPr>
            <w:tcW w:w="5380" w:type="dxa"/>
            <w:shd w:val="clear" w:color="auto" w:fill="auto"/>
            <w:vAlign w:val="center"/>
          </w:tcPr>
          <w:p w14:paraId="2CEA0CB9" w14:textId="77777777" w:rsidR="006B4107" w:rsidRDefault="004E70C7">
            <w:pPr>
              <w:snapToGrid w:val="0"/>
              <w:jc w:val="both"/>
              <w:rPr>
                <w:rFonts w:cs="Arial Unicode MS"/>
              </w:rPr>
            </w:pPr>
            <w:r>
              <w:rPr>
                <w:rFonts w:cs="Arial Unicode MS"/>
              </w:rPr>
              <w:t>《中华人民共和国税收征收管理法》及其实施细则</w:t>
            </w:r>
          </w:p>
        </w:tc>
      </w:tr>
      <w:tr w:rsidR="006B4107" w14:paraId="6699CBB3" w14:textId="77777777">
        <w:trPr>
          <w:trHeight w:hRule="exact" w:val="700"/>
          <w:tblCellSpacing w:w="0" w:type="dxa"/>
          <w:jc w:val="center"/>
        </w:trPr>
        <w:tc>
          <w:tcPr>
            <w:tcW w:w="2983" w:type="dxa"/>
            <w:shd w:val="clear" w:color="auto" w:fill="auto"/>
            <w:vAlign w:val="center"/>
          </w:tcPr>
          <w:p w14:paraId="7DF616CA" w14:textId="77777777" w:rsidR="006B4107" w:rsidRDefault="004E70C7">
            <w:pPr>
              <w:snapToGrid w:val="0"/>
              <w:jc w:val="both"/>
              <w:rPr>
                <w:rFonts w:cs="Arial Unicode MS"/>
              </w:rPr>
            </w:pPr>
            <w:r>
              <w:rPr>
                <w:rFonts w:cs="Arial Unicode MS"/>
              </w:rPr>
              <w:t>[2016]42</w:t>
            </w:r>
            <w:r>
              <w:rPr>
                <w:rFonts w:cs="Arial Unicode MS"/>
              </w:rPr>
              <w:t>号公告</w:t>
            </w:r>
          </w:p>
        </w:tc>
        <w:tc>
          <w:tcPr>
            <w:tcW w:w="5380" w:type="dxa"/>
            <w:shd w:val="clear" w:color="auto" w:fill="auto"/>
            <w:vAlign w:val="center"/>
          </w:tcPr>
          <w:p w14:paraId="64D55138" w14:textId="77777777" w:rsidR="006B4107" w:rsidRDefault="004E70C7">
            <w:pPr>
              <w:snapToGrid w:val="0"/>
              <w:jc w:val="both"/>
              <w:rPr>
                <w:rFonts w:cs="Arial Unicode MS"/>
              </w:rPr>
            </w:pPr>
            <w:r>
              <w:rPr>
                <w:rFonts w:cs="Arial Unicode MS"/>
              </w:rPr>
              <w:t>国家税务总局公告</w:t>
            </w:r>
            <w:r>
              <w:rPr>
                <w:rFonts w:cs="Arial Unicode MS"/>
              </w:rPr>
              <w:t>2016</w:t>
            </w:r>
            <w:r>
              <w:rPr>
                <w:rFonts w:cs="Arial Unicode MS"/>
              </w:rPr>
              <w:t>年第</w:t>
            </w:r>
            <w:r>
              <w:rPr>
                <w:rFonts w:cs="Arial Unicode MS"/>
              </w:rPr>
              <w:t>42</w:t>
            </w:r>
            <w:r>
              <w:rPr>
                <w:rFonts w:cs="Arial Unicode MS"/>
              </w:rPr>
              <w:t>号《关于完善关联申报和同期资料管理有关事项的公告》</w:t>
            </w:r>
          </w:p>
        </w:tc>
      </w:tr>
      <w:tr w:rsidR="006B4107" w14:paraId="48074385" w14:textId="77777777">
        <w:trPr>
          <w:trHeight w:hRule="exact" w:val="852"/>
          <w:tblCellSpacing w:w="0" w:type="dxa"/>
          <w:jc w:val="center"/>
        </w:trPr>
        <w:tc>
          <w:tcPr>
            <w:tcW w:w="2983" w:type="dxa"/>
            <w:shd w:val="clear" w:color="auto" w:fill="auto"/>
            <w:vAlign w:val="center"/>
          </w:tcPr>
          <w:p w14:paraId="3528839F" w14:textId="77777777" w:rsidR="006B4107" w:rsidRDefault="004E70C7">
            <w:pPr>
              <w:snapToGrid w:val="0"/>
              <w:jc w:val="both"/>
              <w:rPr>
                <w:rFonts w:cs="Arial Unicode MS"/>
              </w:rPr>
            </w:pPr>
            <w:r>
              <w:rPr>
                <w:rFonts w:cs="Arial Unicode MS"/>
              </w:rPr>
              <w:t>[2017]6</w:t>
            </w:r>
            <w:r>
              <w:rPr>
                <w:rFonts w:cs="Arial Unicode MS"/>
              </w:rPr>
              <w:t>号公告</w:t>
            </w:r>
          </w:p>
        </w:tc>
        <w:tc>
          <w:tcPr>
            <w:tcW w:w="5380" w:type="dxa"/>
            <w:shd w:val="clear" w:color="auto" w:fill="auto"/>
            <w:vAlign w:val="center"/>
          </w:tcPr>
          <w:p w14:paraId="6E4E2C52" w14:textId="77777777" w:rsidR="006B4107" w:rsidRDefault="004E70C7">
            <w:pPr>
              <w:snapToGrid w:val="0"/>
              <w:jc w:val="both"/>
              <w:rPr>
                <w:rFonts w:cs="Arial Unicode MS"/>
              </w:rPr>
            </w:pPr>
            <w:r>
              <w:rPr>
                <w:rFonts w:cs="Arial Unicode MS"/>
              </w:rPr>
              <w:t>国家税务总局公告</w:t>
            </w:r>
            <w:r>
              <w:rPr>
                <w:rFonts w:cs="Arial Unicode MS"/>
              </w:rPr>
              <w:t>2017</w:t>
            </w:r>
            <w:r>
              <w:rPr>
                <w:rFonts w:cs="Arial Unicode MS"/>
              </w:rPr>
              <w:t>年第</w:t>
            </w:r>
            <w:r>
              <w:rPr>
                <w:rFonts w:cs="Arial Unicode MS"/>
              </w:rPr>
              <w:t>6</w:t>
            </w:r>
            <w:r>
              <w:rPr>
                <w:rFonts w:cs="Arial Unicode MS"/>
              </w:rPr>
              <w:t>号关于发布《特别纳税调查调整及相互协商程序管理办法》的公告</w:t>
            </w:r>
          </w:p>
        </w:tc>
      </w:tr>
      <w:tr w:rsidR="006B4107" w14:paraId="751086A6" w14:textId="77777777">
        <w:trPr>
          <w:trHeight w:hRule="exact" w:val="631"/>
          <w:tblCellSpacing w:w="0" w:type="dxa"/>
          <w:jc w:val="center"/>
        </w:trPr>
        <w:tc>
          <w:tcPr>
            <w:tcW w:w="2983" w:type="dxa"/>
            <w:shd w:val="clear" w:color="auto" w:fill="auto"/>
            <w:vAlign w:val="center"/>
          </w:tcPr>
          <w:p w14:paraId="59B6175D" w14:textId="77777777" w:rsidR="006B4107" w:rsidRDefault="004E70C7">
            <w:pPr>
              <w:snapToGrid w:val="0"/>
              <w:jc w:val="both"/>
              <w:rPr>
                <w:rFonts w:cs="Arial Unicode MS"/>
              </w:rPr>
            </w:pPr>
            <w:r>
              <w:rPr>
                <w:rFonts w:cs="Arial Unicode MS"/>
              </w:rPr>
              <w:t>OECD</w:t>
            </w:r>
            <w:r>
              <w:rPr>
                <w:rFonts w:cs="Arial Unicode MS"/>
              </w:rPr>
              <w:t>或经合组织</w:t>
            </w:r>
          </w:p>
        </w:tc>
        <w:tc>
          <w:tcPr>
            <w:tcW w:w="5380" w:type="dxa"/>
            <w:shd w:val="clear" w:color="auto" w:fill="auto"/>
            <w:vAlign w:val="center"/>
          </w:tcPr>
          <w:p w14:paraId="39AB20A7" w14:textId="77777777" w:rsidR="006B4107" w:rsidRDefault="004E70C7">
            <w:pPr>
              <w:snapToGrid w:val="0"/>
              <w:jc w:val="both"/>
              <w:rPr>
                <w:rFonts w:cs="Arial Unicode MS"/>
              </w:rPr>
            </w:pPr>
            <w:r>
              <w:rPr>
                <w:rFonts w:cs="Arial Unicode MS"/>
              </w:rPr>
              <w:t>经济合作与发展组织</w:t>
            </w:r>
          </w:p>
        </w:tc>
      </w:tr>
      <w:tr w:rsidR="006B4107" w14:paraId="157CFEC5" w14:textId="77777777">
        <w:trPr>
          <w:trHeight w:hRule="exact" w:val="739"/>
          <w:tblCellSpacing w:w="0" w:type="dxa"/>
          <w:jc w:val="center"/>
        </w:trPr>
        <w:tc>
          <w:tcPr>
            <w:tcW w:w="2983" w:type="dxa"/>
            <w:shd w:val="clear" w:color="auto" w:fill="auto"/>
            <w:vAlign w:val="center"/>
          </w:tcPr>
          <w:p w14:paraId="160A824C" w14:textId="77777777" w:rsidR="006B4107" w:rsidRDefault="004E70C7">
            <w:pPr>
              <w:snapToGrid w:val="0"/>
              <w:jc w:val="both"/>
              <w:rPr>
                <w:rFonts w:cs="Arial Unicode MS"/>
              </w:rPr>
            </w:pPr>
            <w:r>
              <w:rPr>
                <w:rFonts w:cs="Arial Unicode MS"/>
              </w:rPr>
              <w:t>OECD</w:t>
            </w:r>
            <w:r>
              <w:rPr>
                <w:rFonts w:cs="Arial Unicode MS"/>
              </w:rPr>
              <w:t>指南</w:t>
            </w:r>
          </w:p>
        </w:tc>
        <w:tc>
          <w:tcPr>
            <w:tcW w:w="5380" w:type="dxa"/>
            <w:shd w:val="clear" w:color="auto" w:fill="auto"/>
            <w:vAlign w:val="center"/>
          </w:tcPr>
          <w:p w14:paraId="2C3557FB" w14:textId="77777777" w:rsidR="006B4107" w:rsidRDefault="004E70C7">
            <w:pPr>
              <w:snapToGrid w:val="0"/>
              <w:jc w:val="both"/>
              <w:rPr>
                <w:rFonts w:cs="Arial Unicode MS"/>
              </w:rPr>
            </w:pPr>
            <w:r>
              <w:rPr>
                <w:rFonts w:cs="Arial Unicode MS"/>
              </w:rPr>
              <w:t>《</w:t>
            </w:r>
            <w:r>
              <w:rPr>
                <w:rFonts w:cs="Arial Unicode MS"/>
              </w:rPr>
              <w:t>OECD</w:t>
            </w:r>
            <w:r>
              <w:rPr>
                <w:rFonts w:cs="Arial Unicode MS"/>
              </w:rPr>
              <w:t>跨国企业与税务机关转让定价指南》</w:t>
            </w:r>
          </w:p>
        </w:tc>
      </w:tr>
      <w:tr w:rsidR="006B4107" w14:paraId="4B08C19B" w14:textId="77777777">
        <w:trPr>
          <w:trHeight w:hRule="exact" w:val="1712"/>
          <w:tblCellSpacing w:w="0" w:type="dxa"/>
          <w:jc w:val="center"/>
        </w:trPr>
        <w:tc>
          <w:tcPr>
            <w:tcW w:w="2983" w:type="dxa"/>
            <w:shd w:val="clear" w:color="auto" w:fill="auto"/>
            <w:vAlign w:val="center"/>
          </w:tcPr>
          <w:p w14:paraId="77468316" w14:textId="77777777" w:rsidR="006B4107" w:rsidRDefault="004E70C7">
            <w:pPr>
              <w:snapToGrid w:val="0"/>
              <w:jc w:val="both"/>
              <w:rPr>
                <w:rFonts w:cs="Arial Unicode MS"/>
              </w:rPr>
            </w:pPr>
            <w:r>
              <w:rPr>
                <w:rFonts w:cs="Arial Unicode MS"/>
              </w:rPr>
              <w:t>中国转让定价法律、法规</w:t>
            </w:r>
          </w:p>
        </w:tc>
        <w:tc>
          <w:tcPr>
            <w:tcW w:w="5380" w:type="dxa"/>
            <w:shd w:val="clear" w:color="auto" w:fill="auto"/>
            <w:vAlign w:val="center"/>
          </w:tcPr>
          <w:p w14:paraId="671FD3AF" w14:textId="77777777" w:rsidR="006B4107" w:rsidRDefault="004E70C7">
            <w:pPr>
              <w:snapToGrid w:val="0"/>
              <w:jc w:val="both"/>
              <w:rPr>
                <w:rFonts w:cs="Arial Unicode MS"/>
              </w:rPr>
            </w:pPr>
            <w:r>
              <w:rPr>
                <w:rFonts w:cs="Arial Unicode MS"/>
              </w:rPr>
              <w:t>《中华人民共和国企业所得税法》及其实施条例第六章</w:t>
            </w:r>
            <w:r>
              <w:rPr>
                <w:rFonts w:cs="Arial Unicode MS"/>
              </w:rPr>
              <w:t>“</w:t>
            </w:r>
            <w:r>
              <w:rPr>
                <w:rFonts w:cs="Arial Unicode MS"/>
              </w:rPr>
              <w:t>特别纳税调整</w:t>
            </w:r>
            <w:r>
              <w:rPr>
                <w:rFonts w:cs="Arial Unicode MS"/>
              </w:rPr>
              <w:t>”</w:t>
            </w:r>
            <w:r>
              <w:rPr>
                <w:rFonts w:cs="Arial Unicode MS"/>
              </w:rPr>
              <w:t>，《中华人民共和国税收征收管理法》第三十六条，国税总局颁布</w:t>
            </w:r>
            <w:r>
              <w:rPr>
                <w:rFonts w:cs="Arial Unicode MS"/>
              </w:rPr>
              <w:t>[2016]42</w:t>
            </w:r>
            <w:r>
              <w:rPr>
                <w:rFonts w:cs="Arial Unicode MS"/>
              </w:rPr>
              <w:t>号公告、</w:t>
            </w:r>
            <w:r>
              <w:rPr>
                <w:rFonts w:cs="Arial Unicode MS"/>
              </w:rPr>
              <w:t>[2017]6</w:t>
            </w:r>
            <w:r>
              <w:rPr>
                <w:rFonts w:cs="Arial Unicode MS"/>
              </w:rPr>
              <w:t>号公告及其他有关转让定价管理的规章和规范性文件</w:t>
            </w:r>
          </w:p>
        </w:tc>
      </w:tr>
      <w:tr w:rsidR="006B4107" w14:paraId="78F7C322" w14:textId="77777777">
        <w:trPr>
          <w:trHeight w:hRule="exact" w:val="496"/>
          <w:tblCellSpacing w:w="0" w:type="dxa"/>
          <w:jc w:val="center"/>
        </w:trPr>
        <w:tc>
          <w:tcPr>
            <w:tcW w:w="2983" w:type="dxa"/>
            <w:shd w:val="clear" w:color="auto" w:fill="auto"/>
            <w:vAlign w:val="center"/>
          </w:tcPr>
          <w:p w14:paraId="29F839C4" w14:textId="77777777" w:rsidR="006B4107" w:rsidRDefault="004E70C7">
            <w:pPr>
              <w:snapToGrid w:val="0"/>
              <w:jc w:val="both"/>
              <w:rPr>
                <w:rFonts w:cs="Arial Unicode MS"/>
              </w:rPr>
            </w:pPr>
            <w:r>
              <w:rPr>
                <w:rFonts w:cs="Arial Unicode MS"/>
              </w:rPr>
              <w:t>SIC</w:t>
            </w:r>
            <w:r>
              <w:rPr>
                <w:rFonts w:cs="Arial Unicode MS"/>
              </w:rPr>
              <w:t>代码</w:t>
            </w:r>
          </w:p>
        </w:tc>
        <w:tc>
          <w:tcPr>
            <w:tcW w:w="5380" w:type="dxa"/>
            <w:shd w:val="clear" w:color="auto" w:fill="auto"/>
            <w:vAlign w:val="center"/>
          </w:tcPr>
          <w:p w14:paraId="32CCE19B" w14:textId="77777777" w:rsidR="006B4107" w:rsidRDefault="004E70C7">
            <w:pPr>
              <w:snapToGrid w:val="0"/>
              <w:jc w:val="both"/>
              <w:rPr>
                <w:rFonts w:cs="Arial Unicode MS"/>
              </w:rPr>
            </w:pPr>
            <w:r>
              <w:rPr>
                <w:rFonts w:cs="Arial Unicode MS"/>
              </w:rPr>
              <w:t>美国标准行业分类代码</w:t>
            </w:r>
          </w:p>
        </w:tc>
      </w:tr>
    </w:tbl>
    <w:p w14:paraId="5405E8A9" w14:textId="77777777" w:rsidR="006B4107" w:rsidRDefault="006B4107">
      <w:pPr>
        <w:tabs>
          <w:tab w:val="left" w:pos="900"/>
        </w:tabs>
        <w:adjustRightInd w:val="0"/>
        <w:snapToGrid w:val="0"/>
        <w:spacing w:before="240"/>
        <w:jc w:val="both"/>
        <w:rPr>
          <w:iCs/>
          <w:kern w:val="24"/>
        </w:rPr>
      </w:pPr>
    </w:p>
    <w:p w14:paraId="01BB783C" w14:textId="77777777" w:rsidR="006B4107" w:rsidRDefault="006B4107">
      <w:pPr>
        <w:tabs>
          <w:tab w:val="left" w:pos="900"/>
        </w:tabs>
        <w:adjustRightInd w:val="0"/>
        <w:snapToGrid w:val="0"/>
        <w:spacing w:before="240"/>
        <w:jc w:val="both"/>
        <w:rPr>
          <w:iCs/>
          <w:kern w:val="24"/>
        </w:rPr>
        <w:sectPr w:rsidR="006B4107">
          <w:pgSz w:w="11907" w:h="16839"/>
          <w:pgMar w:top="1440" w:right="1800" w:bottom="1440" w:left="1800" w:header="709" w:footer="709" w:gutter="0"/>
          <w:pgNumType w:fmt="lowerRoman"/>
          <w:cols w:space="720"/>
          <w:docGrid w:linePitch="360"/>
        </w:sectPr>
      </w:pPr>
    </w:p>
    <w:p w14:paraId="10004B4D" w14:textId="77777777" w:rsidR="006B4107" w:rsidRDefault="004E70C7">
      <w:pPr>
        <w:pStyle w:val="1"/>
        <w:rPr>
          <w:rFonts w:ascii="Arial Narrow" w:eastAsia="仿宋_GB2312" w:hAnsi="Arial Narrow"/>
          <w:b w:val="0"/>
          <w:bCs/>
          <w:color w:val="1E4517" w:themeColor="accent4" w:themeShade="80"/>
          <w:sz w:val="28"/>
          <w:szCs w:val="28"/>
        </w:rPr>
      </w:pPr>
      <w:bookmarkStart w:id="51" w:name="_Toc185598813"/>
      <w:bookmarkStart w:id="52" w:name="_Toc140761282"/>
      <w:bookmarkStart w:id="53" w:name="_Toc245032302"/>
      <w:bookmarkStart w:id="54" w:name="_Toc62016489"/>
      <w:bookmarkStart w:id="55" w:name="_Toc129167478"/>
      <w:bookmarkStart w:id="56" w:name="_Toc63759077"/>
      <w:bookmarkStart w:id="57" w:name="_Toc129167483"/>
      <w:bookmarkStart w:id="58" w:name="_Toc63759081"/>
      <w:bookmarkStart w:id="59" w:name="_Toc62016493"/>
      <w:bookmarkStart w:id="60" w:name="_Toc441821680"/>
      <w:bookmarkStart w:id="61" w:name="_Toc127024140"/>
      <w:bookmarkStart w:id="62" w:name="_Toc527388043"/>
      <w:bookmarkStart w:id="63" w:name="_Toc517684893"/>
      <w:bookmarkStart w:id="64" w:name="_Toc494184194"/>
      <w:r>
        <w:rPr>
          <w:rFonts w:ascii="Arial Narrow" w:eastAsia="仿宋_GB2312" w:hAnsi="Arial Narrow"/>
          <w:b w:val="0"/>
          <w:bCs/>
          <w:color w:val="1E4517" w:themeColor="accent4" w:themeShade="80"/>
          <w:sz w:val="28"/>
          <w:szCs w:val="28"/>
        </w:rPr>
        <w:lastRenderedPageBreak/>
        <w:t>报告摘要</w:t>
      </w:r>
      <w:bookmarkEnd w:id="51"/>
      <w:bookmarkEnd w:id="52"/>
    </w:p>
    <w:p w14:paraId="7655709C" w14:textId="77777777" w:rsidR="006B4107" w:rsidRDefault="004E70C7">
      <w:pPr>
        <w:pStyle w:val="2"/>
        <w:rPr>
          <w:rFonts w:ascii="Arial Narrow" w:eastAsia="仿宋_GB2312" w:hAnsi="Arial Narrow"/>
          <w:b w:val="0"/>
          <w:bCs w:val="0"/>
          <w:color w:val="002060"/>
          <w:sz w:val="22"/>
          <w:szCs w:val="22"/>
        </w:rPr>
      </w:pPr>
      <w:bookmarkStart w:id="65" w:name="_Toc140761283"/>
      <w:bookmarkStart w:id="66" w:name="_Toc185598814"/>
      <w:bookmarkEnd w:id="53"/>
      <w:r>
        <w:rPr>
          <w:rFonts w:ascii="Arial Narrow" w:eastAsia="仿宋_GB2312" w:hAnsi="Arial Narrow"/>
          <w:b w:val="0"/>
          <w:bCs w:val="0"/>
          <w:color w:val="002060"/>
          <w:sz w:val="22"/>
          <w:szCs w:val="22"/>
        </w:rPr>
        <w:t>范围和目的</w:t>
      </w:r>
      <w:bookmarkEnd w:id="65"/>
      <w:bookmarkEnd w:id="66"/>
    </w:p>
    <w:p w14:paraId="46CE04E3" w14:textId="77777777" w:rsidR="006B4107" w:rsidRDefault="004E70C7">
      <w:pPr>
        <w:spacing w:beforeLines="50" w:before="180" w:afterLines="50" w:after="180" w:line="360" w:lineRule="auto"/>
        <w:ind w:firstLineChars="200" w:firstLine="440"/>
        <w:jc w:val="both"/>
      </w:pPr>
      <w:r>
        <w:t>立信税务师事务所有限公司（以下简称</w:t>
      </w:r>
      <w:r>
        <w:t>“</w:t>
      </w:r>
      <w:r>
        <w:t>立信</w:t>
      </w:r>
      <w:r>
        <w:t>”</w:t>
      </w:r>
      <w:r>
        <w:t>或</w:t>
      </w:r>
      <w:r>
        <w:t>“</w:t>
      </w:r>
      <w:r>
        <w:t>我们</w:t>
      </w:r>
      <w:r>
        <w:t>”</w:t>
      </w:r>
      <w:r>
        <w:t>）受</w:t>
      </w:r>
      <w:r>
        <w:rPr>
          <w:rFonts w:hint="eastAsia"/>
        </w:rPr>
        <w:t>上海远化物流有限公司</w:t>
      </w:r>
      <w:r>
        <w:t>（以下简称</w:t>
      </w:r>
      <w:r>
        <w:t>“</w:t>
      </w:r>
      <w:r>
        <w:rPr>
          <w:rFonts w:hint="eastAsia"/>
        </w:rPr>
        <w:t>远化物流</w:t>
      </w:r>
      <w:r>
        <w:t>”</w:t>
      </w:r>
      <w:r>
        <w:t>或</w:t>
      </w:r>
      <w:r>
        <w:t>“</w:t>
      </w:r>
      <w:r>
        <w:t>贵公司</w:t>
      </w:r>
      <w:r>
        <w:t>”</w:t>
      </w:r>
      <w:r>
        <w:t>）的委托，协助准备</w:t>
      </w:r>
      <w:r>
        <w:t>2023</w:t>
      </w:r>
      <w:r>
        <w:t>财务年度（以下简称</w:t>
      </w:r>
      <w:r>
        <w:t>“</w:t>
      </w:r>
      <w:r>
        <w:t>评估期间</w:t>
      </w:r>
      <w:r>
        <w:t>”</w:t>
      </w:r>
      <w:r>
        <w:t>或</w:t>
      </w:r>
      <w:r>
        <w:t>“2023</w:t>
      </w:r>
      <w:r>
        <w:t>年度</w:t>
      </w:r>
      <w:r>
        <w:t>”</w:t>
      </w:r>
      <w:r>
        <w:t>）的关联交易同期资料的本地文档报告（以下简称</w:t>
      </w:r>
      <w:r>
        <w:t>“</w:t>
      </w:r>
      <w:r>
        <w:t>本报告</w:t>
      </w:r>
      <w:r>
        <w:t>”</w:t>
      </w:r>
      <w:r>
        <w:t>）。</w:t>
      </w:r>
    </w:p>
    <w:p w14:paraId="689E47D0" w14:textId="77777777" w:rsidR="006B4107" w:rsidRDefault="004E70C7">
      <w:pPr>
        <w:spacing w:beforeLines="50" w:before="180" w:afterLines="50" w:after="180" w:line="360" w:lineRule="auto"/>
        <w:ind w:firstLineChars="200" w:firstLine="440"/>
        <w:jc w:val="both"/>
      </w:pPr>
      <w:r>
        <w:rPr>
          <w:rFonts w:hint="eastAsia"/>
        </w:rPr>
        <w:t>评估期间</w:t>
      </w:r>
      <w:r>
        <w:t>，</w:t>
      </w:r>
      <w:proofErr w:type="gramStart"/>
      <w:r>
        <w:rPr>
          <w:rFonts w:hint="eastAsia"/>
        </w:rPr>
        <w:t>远化物流</w:t>
      </w:r>
      <w:proofErr w:type="gramEnd"/>
      <w:r>
        <w:t>和其境内外关联方（以下合称</w:t>
      </w:r>
      <w:r>
        <w:t>“</w:t>
      </w:r>
      <w:r>
        <w:t>关联企业</w:t>
      </w:r>
      <w:r>
        <w:t>”</w:t>
      </w:r>
      <w:r>
        <w:t>）进行了一系列关联交易，交易内容主要包括关联劳务</w:t>
      </w:r>
      <w:r>
        <w:rPr>
          <w:rFonts w:hint="eastAsia"/>
        </w:rPr>
        <w:t>及关联租赁</w:t>
      </w:r>
      <w:r>
        <w:t>。</w:t>
      </w:r>
      <w:proofErr w:type="gramStart"/>
      <w:r>
        <w:t>由于</w:t>
      </w:r>
      <w:r>
        <w:rPr>
          <w:rFonts w:hint="eastAsia"/>
        </w:rPr>
        <w:t>远化物流</w:t>
      </w:r>
      <w:proofErr w:type="gramEnd"/>
      <w:r>
        <w:t>与关联方之间的关联劳务交易合计金额为人民币</w:t>
      </w:r>
      <w:r>
        <w:t>48,026,170.87</w:t>
      </w:r>
      <w:r>
        <w:t>元</w:t>
      </w:r>
      <w:r>
        <w:rPr>
          <w:rFonts w:hint="eastAsia"/>
        </w:rPr>
        <w:t>，向关联方支付租赁费用</w:t>
      </w:r>
      <w:r>
        <w:t>合计金额为人民币</w:t>
      </w:r>
      <w:r>
        <w:t>432,000.00</w:t>
      </w:r>
      <w:r>
        <w:rPr>
          <w:rFonts w:hint="eastAsia"/>
        </w:rPr>
        <w:t>元。</w:t>
      </w:r>
      <w:r>
        <w:t>因此</w:t>
      </w:r>
      <w:proofErr w:type="gramStart"/>
      <w:r>
        <w:rPr>
          <w:rFonts w:hint="eastAsia"/>
        </w:rPr>
        <w:t>远化物流</w:t>
      </w:r>
      <w:r>
        <w:t>除</w:t>
      </w:r>
      <w:proofErr w:type="gramEnd"/>
      <w:r>
        <w:t>应按规定遵守中国转让定价相关的所得税法规，包括须遵循国务院令</w:t>
      </w:r>
      <w:r>
        <w:t>[2007]512</w:t>
      </w:r>
      <w:r>
        <w:t>号文（即《企</w:t>
      </w:r>
      <w:r>
        <w:t>业所得税法实施条例》）第</w:t>
      </w:r>
      <w:r>
        <w:t>110</w:t>
      </w:r>
      <w:r>
        <w:t>条所规定的独立交易原则，还须按</w:t>
      </w:r>
      <w:r>
        <w:t>[2016]42</w:t>
      </w:r>
      <w:r>
        <w:t>号公告第</w:t>
      </w:r>
      <w:r>
        <w:t>14</w:t>
      </w:r>
      <w:r>
        <w:t>条及第</w:t>
      </w:r>
      <w:r>
        <w:t>19</w:t>
      </w:r>
      <w:r>
        <w:t>条所列明的详细要求以及有关规定准备同期资料及其他相关材料。</w:t>
      </w:r>
    </w:p>
    <w:p w14:paraId="1B35DE1E" w14:textId="77777777" w:rsidR="006B4107" w:rsidRDefault="004E70C7">
      <w:pPr>
        <w:spacing w:beforeLines="50" w:before="180" w:afterLines="50" w:after="180" w:line="360" w:lineRule="auto"/>
        <w:ind w:firstLineChars="200" w:firstLine="440"/>
        <w:jc w:val="both"/>
      </w:pPr>
      <w:r>
        <w:t>依照</w:t>
      </w:r>
      <w:r>
        <w:t>[2016]42</w:t>
      </w:r>
      <w:r>
        <w:t>号公告第</w:t>
      </w:r>
      <w:r>
        <w:t>14</w:t>
      </w:r>
      <w:r>
        <w:t>条的相关规定，本报告将</w:t>
      </w:r>
      <w:proofErr w:type="gramStart"/>
      <w:r>
        <w:t>作为</w:t>
      </w:r>
      <w:r>
        <w:rPr>
          <w:rFonts w:hint="eastAsia"/>
        </w:rPr>
        <w:t>远化物流</w:t>
      </w:r>
      <w:proofErr w:type="gramEnd"/>
      <w:r>
        <w:t>2023</w:t>
      </w:r>
      <w:r>
        <w:t>年度的同期资料，旨在对其与其关联方在评估期间发生的受测关联交易进行分析和说明。</w:t>
      </w:r>
    </w:p>
    <w:p w14:paraId="7C96D96B" w14:textId="77777777" w:rsidR="006B4107" w:rsidRDefault="004E70C7">
      <w:pPr>
        <w:spacing w:beforeLines="50" w:before="180" w:afterLines="50" w:after="180" w:line="360" w:lineRule="auto"/>
        <w:ind w:firstLineChars="200" w:firstLine="440"/>
        <w:jc w:val="both"/>
      </w:pPr>
      <w:r>
        <w:t>本报告仅旨在</w:t>
      </w:r>
      <w:proofErr w:type="gramStart"/>
      <w:r>
        <w:t>说明</w:t>
      </w:r>
      <w:r>
        <w:rPr>
          <w:rFonts w:hint="eastAsia"/>
        </w:rPr>
        <w:t>远化物流</w:t>
      </w:r>
      <w:proofErr w:type="gramEnd"/>
      <w:r>
        <w:t>受测关联交易的转让定价安排是否符合独立交易原则且</w:t>
      </w:r>
      <w:r>
        <w:t>/</w:t>
      </w:r>
      <w:r>
        <w:t>或没有造成其应纳税收入或应纳税所得额的不合理的减少等相关税务问题。其他任何税务事宜（例如消费税、增值税，或是由受测关联交易所引</w:t>
      </w:r>
      <w:r>
        <w:t>起的其他单个或多重纳税义务）不在本报告的分析范围内。</w:t>
      </w:r>
    </w:p>
    <w:p w14:paraId="421FEABD" w14:textId="77777777" w:rsidR="006B4107" w:rsidRDefault="004E70C7">
      <w:pPr>
        <w:pStyle w:val="2"/>
        <w:rPr>
          <w:rFonts w:ascii="Arial Narrow" w:eastAsia="仿宋_GB2312" w:hAnsi="Arial Narrow"/>
          <w:b w:val="0"/>
          <w:bCs w:val="0"/>
          <w:color w:val="002060"/>
          <w:sz w:val="22"/>
          <w:szCs w:val="22"/>
        </w:rPr>
      </w:pPr>
      <w:bookmarkStart w:id="67" w:name="_Toc185598815"/>
      <w:bookmarkStart w:id="68" w:name="_Toc140761284"/>
      <w:r>
        <w:rPr>
          <w:rFonts w:ascii="Arial Narrow" w:eastAsia="仿宋_GB2312" w:hAnsi="Arial Narrow"/>
          <w:b w:val="0"/>
          <w:bCs w:val="0"/>
          <w:color w:val="002060"/>
          <w:sz w:val="22"/>
          <w:szCs w:val="22"/>
        </w:rPr>
        <w:t>受测关联交易</w:t>
      </w:r>
      <w:bookmarkEnd w:id="67"/>
      <w:bookmarkEnd w:id="68"/>
    </w:p>
    <w:p w14:paraId="5D7D1AB7" w14:textId="77777777" w:rsidR="006B4107" w:rsidRDefault="004E70C7">
      <w:pPr>
        <w:spacing w:beforeLines="50" w:before="180" w:afterLines="50" w:after="180" w:line="360" w:lineRule="auto"/>
        <w:ind w:firstLineChars="200" w:firstLine="440"/>
        <w:jc w:val="both"/>
        <w:rPr>
          <w:rFonts w:cs="Arial Unicode MS"/>
        </w:rPr>
      </w:pPr>
      <w:r>
        <w:rPr>
          <w:rFonts w:cs="Arial Unicode MS"/>
        </w:rPr>
        <w:t>评估期间，</w:t>
      </w:r>
      <w:proofErr w:type="gramStart"/>
      <w:r>
        <w:rPr>
          <w:rFonts w:cs="Arial Unicode MS" w:hint="eastAsia"/>
        </w:rPr>
        <w:t>远化物流</w:t>
      </w:r>
      <w:proofErr w:type="gramEnd"/>
      <w:r>
        <w:rPr>
          <w:rFonts w:cs="Arial Unicode MS"/>
        </w:rPr>
        <w:t>的主要关联交易为：</w:t>
      </w:r>
    </w:p>
    <w:p w14:paraId="2376D851" w14:textId="77777777" w:rsidR="006B4107" w:rsidRDefault="004E70C7">
      <w:pPr>
        <w:pStyle w:val="affd"/>
        <w:numPr>
          <w:ilvl w:val="0"/>
          <w:numId w:val="17"/>
        </w:numPr>
        <w:spacing w:after="0" w:line="360" w:lineRule="auto"/>
        <w:ind w:left="981" w:right="113"/>
        <w:contextualSpacing w:val="0"/>
        <w:jc w:val="both"/>
        <w:rPr>
          <w:rFonts w:ascii="Arial Narrow" w:hAnsi="Arial Narrow" w:cs="Arial Unicode MS"/>
        </w:rPr>
      </w:pPr>
      <w:proofErr w:type="gramStart"/>
      <w:r>
        <w:rPr>
          <w:rFonts w:ascii="Arial Narrow" w:hAnsi="Arial Narrow" w:cs="Arial Unicode MS" w:hint="eastAsia"/>
          <w:lang w:val="en-US"/>
        </w:rPr>
        <w:t>远化物流</w:t>
      </w:r>
      <w:proofErr w:type="gramEnd"/>
      <w:r>
        <w:rPr>
          <w:rFonts w:ascii="Arial Narrow" w:hAnsi="Arial Narrow" w:cs="Arial Unicode MS" w:hint="eastAsia"/>
        </w:rPr>
        <w:t>与</w:t>
      </w:r>
      <w:r>
        <w:rPr>
          <w:rFonts w:ascii="Arial Narrow" w:hAnsi="Arial Narrow" w:cs="Arial Unicode MS"/>
        </w:rPr>
        <w:t>关联方</w:t>
      </w:r>
      <w:r>
        <w:rPr>
          <w:rFonts w:ascii="Arial Narrow" w:hAnsi="Arial Narrow" w:cs="Arial Unicode MS" w:hint="eastAsia"/>
        </w:rPr>
        <w:t>的关联劳务</w:t>
      </w:r>
      <w:r>
        <w:rPr>
          <w:rFonts w:ascii="Arial Narrow" w:hAnsi="Arial Narrow" w:cs="Arial Unicode MS"/>
        </w:rPr>
        <w:t>；</w:t>
      </w:r>
      <w:r>
        <w:rPr>
          <w:rFonts w:ascii="Arial Narrow" w:hAnsi="Arial Narrow" w:cs="Arial Unicode MS"/>
        </w:rPr>
        <w:t xml:space="preserve"> </w:t>
      </w:r>
    </w:p>
    <w:p w14:paraId="21555C3E" w14:textId="77777777" w:rsidR="006B4107" w:rsidRDefault="004E70C7">
      <w:pPr>
        <w:pStyle w:val="affd"/>
        <w:numPr>
          <w:ilvl w:val="0"/>
          <w:numId w:val="17"/>
        </w:numPr>
        <w:spacing w:afterLines="50" w:after="180" w:line="360" w:lineRule="auto"/>
        <w:ind w:left="981" w:right="113"/>
        <w:contextualSpacing w:val="0"/>
        <w:jc w:val="both"/>
        <w:rPr>
          <w:rFonts w:ascii="Arial Narrow" w:hAnsi="Arial Narrow" w:cs="Arial Unicode MS"/>
        </w:rPr>
      </w:pPr>
      <w:proofErr w:type="gramStart"/>
      <w:r>
        <w:rPr>
          <w:rFonts w:ascii="Arial Narrow" w:hAnsi="Arial Narrow" w:cs="Arial Unicode MS" w:hint="eastAsia"/>
          <w:lang w:val="en-US"/>
        </w:rPr>
        <w:t>远化物流</w:t>
      </w:r>
      <w:proofErr w:type="gramEnd"/>
      <w:r>
        <w:rPr>
          <w:rFonts w:ascii="Arial Narrow" w:hAnsi="Arial Narrow" w:cs="Arial Unicode MS" w:hint="eastAsia"/>
        </w:rPr>
        <w:t>与关联方的关联租赁</w:t>
      </w:r>
      <w:r>
        <w:rPr>
          <w:rFonts w:ascii="Arial Narrow" w:hAnsi="Arial Narrow" w:cs="Arial Unicode MS"/>
        </w:rPr>
        <w:t>。</w:t>
      </w:r>
    </w:p>
    <w:p w14:paraId="62C06E91" w14:textId="77777777" w:rsidR="006B4107" w:rsidRDefault="004E70C7">
      <w:pPr>
        <w:spacing w:beforeLines="50" w:before="180" w:afterLines="50" w:after="180" w:line="360" w:lineRule="auto"/>
        <w:ind w:firstLineChars="200" w:firstLine="440"/>
        <w:jc w:val="both"/>
        <w:rPr>
          <w:rFonts w:cs="Arial Unicode MS"/>
        </w:rPr>
      </w:pPr>
      <w:r>
        <w:rPr>
          <w:rFonts w:cs="Arial Unicode MS"/>
        </w:rPr>
        <w:lastRenderedPageBreak/>
        <w:t>上述关联交易，以下简称</w:t>
      </w:r>
      <w:r>
        <w:rPr>
          <w:rFonts w:cs="Arial Unicode MS"/>
        </w:rPr>
        <w:t>“</w:t>
      </w:r>
      <w:r>
        <w:rPr>
          <w:rFonts w:cs="Arial Unicode MS"/>
        </w:rPr>
        <w:t>受测关联交易</w:t>
      </w:r>
      <w:r>
        <w:rPr>
          <w:rFonts w:cs="Arial Unicode MS"/>
        </w:rPr>
        <w:t>”</w:t>
      </w:r>
      <w:r>
        <w:rPr>
          <w:rFonts w:cs="Arial Unicode MS"/>
        </w:rPr>
        <w:t>。其他任何</w:t>
      </w:r>
      <w:proofErr w:type="gramStart"/>
      <w:r>
        <w:rPr>
          <w:rFonts w:cs="Arial Unicode MS"/>
        </w:rPr>
        <w:t>涉及</w:t>
      </w:r>
      <w:r>
        <w:rPr>
          <w:rFonts w:cs="Arial Unicode MS" w:hint="eastAsia"/>
        </w:rPr>
        <w:t>远化物流</w:t>
      </w:r>
      <w:proofErr w:type="gramEnd"/>
      <w:r>
        <w:rPr>
          <w:rFonts w:cs="Arial Unicode MS"/>
        </w:rPr>
        <w:t>和其他关联公司或分支机构的关联交易不在本报告的分析范围内。</w:t>
      </w:r>
    </w:p>
    <w:p w14:paraId="0B5EABC9" w14:textId="77777777" w:rsidR="006B4107" w:rsidRDefault="004E70C7">
      <w:pPr>
        <w:pStyle w:val="2"/>
        <w:rPr>
          <w:rFonts w:ascii="Arial Narrow" w:eastAsia="仿宋_GB2312" w:hAnsi="Arial Narrow"/>
          <w:b w:val="0"/>
          <w:bCs w:val="0"/>
          <w:color w:val="002060"/>
          <w:sz w:val="22"/>
          <w:szCs w:val="22"/>
        </w:rPr>
      </w:pPr>
      <w:bookmarkStart w:id="69" w:name="_Toc48317092"/>
      <w:bookmarkStart w:id="70" w:name="_Toc48317195"/>
      <w:bookmarkStart w:id="71" w:name="_Toc489951794"/>
      <w:bookmarkStart w:id="72" w:name="_Toc48317379"/>
      <w:bookmarkStart w:id="73" w:name="_Toc48582501"/>
      <w:bookmarkStart w:id="74" w:name="_Toc48582912"/>
      <w:bookmarkStart w:id="75" w:name="_Toc48399517"/>
      <w:bookmarkStart w:id="76" w:name="_Toc48317193"/>
      <w:bookmarkStart w:id="77" w:name="_Toc48317380"/>
      <w:bookmarkStart w:id="78" w:name="_Toc48399516"/>
      <w:bookmarkStart w:id="79" w:name="_Toc48582499"/>
      <w:bookmarkStart w:id="80" w:name="_Toc48582500"/>
      <w:bookmarkStart w:id="81" w:name="_Toc48399518"/>
      <w:bookmarkStart w:id="82" w:name="_Toc48317378"/>
      <w:bookmarkStart w:id="83" w:name="_Toc48582914"/>
      <w:bookmarkStart w:id="84" w:name="_Toc48582913"/>
      <w:bookmarkStart w:id="85" w:name="_Toc48317194"/>
      <w:bookmarkStart w:id="86" w:name="_Toc48317091"/>
      <w:bookmarkStart w:id="87" w:name="_Toc48317093"/>
      <w:bookmarkStart w:id="88" w:name="_Toc140761285"/>
      <w:bookmarkStart w:id="89" w:name="_Toc185598816"/>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r>
        <w:rPr>
          <w:rFonts w:ascii="Arial Narrow" w:eastAsia="仿宋_GB2312" w:hAnsi="Arial Narrow"/>
          <w:b w:val="0"/>
          <w:bCs w:val="0"/>
          <w:color w:val="002060"/>
          <w:sz w:val="22"/>
          <w:szCs w:val="22"/>
        </w:rPr>
        <w:t>功能和风险分析及价值链分析总结</w:t>
      </w:r>
      <w:bookmarkEnd w:id="88"/>
      <w:bookmarkEnd w:id="89"/>
    </w:p>
    <w:p w14:paraId="49F10234" w14:textId="3B71C704" w:rsidR="006B4107" w:rsidRDefault="004E70C7">
      <w:pPr>
        <w:spacing w:beforeLines="50" w:before="180" w:afterLines="50" w:after="180" w:line="360" w:lineRule="auto"/>
        <w:ind w:leftChars="21" w:left="46" w:rightChars="20" w:right="44" w:firstLineChars="200" w:firstLine="440"/>
        <w:jc w:val="both"/>
        <w:rPr>
          <w:rFonts w:cs="Arial Unicode MS"/>
        </w:rPr>
      </w:pPr>
      <w:bookmarkStart w:id="90" w:name="_Toc48317095"/>
      <w:bookmarkStart w:id="91" w:name="_Toc48582917"/>
      <w:bookmarkStart w:id="92" w:name="_Toc48582504"/>
      <w:bookmarkStart w:id="93" w:name="_Toc274480737"/>
      <w:bookmarkStart w:id="94" w:name="_Toc274409623"/>
      <w:bookmarkStart w:id="95" w:name="_Toc48317201"/>
      <w:bookmarkStart w:id="96" w:name="_Toc48399521"/>
      <w:bookmarkStart w:id="97" w:name="_Toc48317197"/>
      <w:bookmarkStart w:id="98" w:name="_Toc48317198"/>
      <w:bookmarkStart w:id="99" w:name="_Toc48399520"/>
      <w:bookmarkStart w:id="100" w:name="_Toc274409730"/>
      <w:bookmarkStart w:id="101" w:name="_Toc48582921"/>
      <w:bookmarkStart w:id="102" w:name="_Toc274409413"/>
      <w:bookmarkStart w:id="103" w:name="_Toc48317099"/>
      <w:bookmarkStart w:id="104" w:name="_Toc274409089"/>
      <w:bookmarkStart w:id="105" w:name="_Toc48582920"/>
      <w:bookmarkStart w:id="106" w:name="_Toc48582508"/>
      <w:bookmarkStart w:id="107" w:name="_Toc48399525"/>
      <w:bookmarkStart w:id="108" w:name="_Toc48399524"/>
      <w:bookmarkStart w:id="109" w:name="_Toc48317096"/>
      <w:bookmarkStart w:id="110" w:name="_Toc48317386"/>
      <w:bookmarkStart w:id="111" w:name="_Toc48317385"/>
      <w:bookmarkStart w:id="112" w:name="_Toc274409087"/>
      <w:bookmarkStart w:id="113" w:name="_Toc48399522"/>
      <w:bookmarkStart w:id="114" w:name="_Toc48317387"/>
      <w:bookmarkStart w:id="115" w:name="_Toc274409625"/>
      <w:bookmarkStart w:id="116" w:name="_Toc48317202"/>
      <w:bookmarkStart w:id="117" w:name="_Toc48317098"/>
      <w:bookmarkStart w:id="118" w:name="_Toc48317383"/>
      <w:bookmarkStart w:id="119" w:name="_Toc48582919"/>
      <w:bookmarkStart w:id="120" w:name="_Toc48317100"/>
      <w:bookmarkStart w:id="121" w:name="_Toc274409306"/>
      <w:bookmarkStart w:id="122" w:name="_Toc48317382"/>
      <w:bookmarkStart w:id="123" w:name="_Toc274480738"/>
      <w:bookmarkStart w:id="124" w:name="_Toc274409307"/>
      <w:bookmarkStart w:id="125" w:name="_Toc274409624"/>
      <w:bookmarkStart w:id="126" w:name="_Toc274409088"/>
      <w:bookmarkStart w:id="127" w:name="_Toc274409731"/>
      <w:bookmarkStart w:id="128" w:name="_Toc274409412"/>
      <w:bookmarkStart w:id="129" w:name="_Toc274409732"/>
      <w:bookmarkStart w:id="130" w:name="_Toc48582506"/>
      <w:bookmarkStart w:id="131" w:name="_Toc48317097"/>
      <w:bookmarkStart w:id="132" w:name="_Toc48399523"/>
      <w:bookmarkStart w:id="133" w:name="_Toc48317384"/>
      <w:bookmarkStart w:id="134" w:name="_Toc48582916"/>
      <w:bookmarkStart w:id="135" w:name="_Toc274480740"/>
      <w:bookmarkStart w:id="136" w:name="_Toc274409305"/>
      <w:bookmarkStart w:id="137" w:name="_Toc48317199"/>
      <w:bookmarkStart w:id="138" w:name="_Toc48582503"/>
      <w:bookmarkStart w:id="139" w:name="_Toc48582505"/>
      <w:bookmarkStart w:id="140" w:name="_Toc274409411"/>
      <w:bookmarkStart w:id="141" w:name="_Toc274409304"/>
      <w:bookmarkStart w:id="142" w:name="_Toc274409622"/>
      <w:bookmarkStart w:id="143" w:name="_Toc48582507"/>
      <w:bookmarkStart w:id="144" w:name="_Toc48317200"/>
      <w:bookmarkStart w:id="145" w:name="_Toc274409086"/>
      <w:bookmarkStart w:id="146" w:name="_Toc48582918"/>
      <w:bookmarkStart w:id="147" w:name="_Toc274480739"/>
      <w:bookmarkStart w:id="148" w:name="_Toc274409410"/>
      <w:bookmarkStart w:id="149" w:name="_Toc274409733"/>
      <w:bookmarkStart w:id="150" w:name="OLE_LINK8"/>
      <w:bookmarkStart w:id="151" w:name="_Toc48317101"/>
      <w:bookmarkStart w:id="152" w:name="_Toc48317388"/>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r>
        <w:rPr>
          <w:rFonts w:cs="Arial Unicode MS"/>
        </w:rPr>
        <w:t>从功能和风险角度判断，我们</w:t>
      </w:r>
      <w:proofErr w:type="gramStart"/>
      <w:r>
        <w:rPr>
          <w:rFonts w:cs="Arial Unicode MS"/>
        </w:rPr>
        <w:t>认为</w:t>
      </w:r>
      <w:r>
        <w:rPr>
          <w:rFonts w:cs="Arial Unicode MS" w:hint="eastAsia"/>
        </w:rPr>
        <w:t>远化物流</w:t>
      </w:r>
      <w:proofErr w:type="gramEnd"/>
      <w:r>
        <w:rPr>
          <w:rFonts w:cs="Arial Unicode MS"/>
        </w:rPr>
        <w:t>可以被定义为一家承担</w:t>
      </w:r>
      <w:r>
        <w:rPr>
          <w:rFonts w:cs="Arial Unicode MS" w:hint="eastAsia"/>
        </w:rPr>
        <w:t>功能风险</w:t>
      </w:r>
      <w:r>
        <w:rPr>
          <w:rFonts w:cs="Arial Unicode MS"/>
        </w:rPr>
        <w:t>的</w:t>
      </w:r>
      <w:r>
        <w:rPr>
          <w:rFonts w:cs="Arial Unicode MS" w:hint="eastAsia"/>
        </w:rPr>
        <w:t>服务</w:t>
      </w:r>
      <w:r>
        <w:rPr>
          <w:rFonts w:cs="Arial Unicode MS"/>
        </w:rPr>
        <w:t>企业。</w:t>
      </w:r>
      <w:proofErr w:type="gramStart"/>
      <w:r>
        <w:rPr>
          <w:rFonts w:cs="Arial Unicode MS" w:hint="eastAsia"/>
        </w:rPr>
        <w:t>远化物流</w:t>
      </w:r>
      <w:proofErr w:type="gramEnd"/>
      <w:r>
        <w:rPr>
          <w:rFonts w:cs="Arial Unicode MS" w:hint="eastAsia"/>
        </w:rPr>
        <w:t>主要承担物流运输功能及有限的</w:t>
      </w:r>
      <w:r w:rsidR="00383E81">
        <w:rPr>
          <w:rFonts w:cs="Arial Unicode MS" w:hint="eastAsia"/>
        </w:rPr>
        <w:t>市场营销和</w:t>
      </w:r>
      <w:r>
        <w:rPr>
          <w:rFonts w:cs="Arial Unicode MS" w:hint="eastAsia"/>
        </w:rPr>
        <w:t>一般行政管理的功能</w:t>
      </w:r>
      <w:r>
        <w:rPr>
          <w:rFonts w:cs="Arial Unicode MS"/>
        </w:rPr>
        <w:t>。</w:t>
      </w:r>
      <w:proofErr w:type="gramStart"/>
      <w:r>
        <w:rPr>
          <w:rFonts w:cs="Arial Unicode MS" w:hint="eastAsia"/>
        </w:rPr>
        <w:t>远化物流</w:t>
      </w:r>
      <w:proofErr w:type="gramEnd"/>
      <w:r>
        <w:rPr>
          <w:rFonts w:cs="Arial Unicode MS" w:hint="eastAsia"/>
        </w:rPr>
        <w:t>同时承担间接的市场风险、有限的信用风险、有限的责任风险。</w:t>
      </w:r>
    </w:p>
    <w:bookmarkEnd w:id="150"/>
    <w:p w14:paraId="3DEE69F8" w14:textId="77777777" w:rsidR="006B4107" w:rsidRDefault="004E70C7">
      <w:pPr>
        <w:spacing w:beforeLines="50" w:before="180" w:afterLines="50" w:after="180" w:line="360" w:lineRule="auto"/>
        <w:ind w:leftChars="21" w:left="46" w:rightChars="20" w:right="44" w:firstLineChars="200" w:firstLine="440"/>
        <w:jc w:val="both"/>
        <w:rPr>
          <w:rFonts w:cs="Arial Unicode MS"/>
        </w:rPr>
      </w:pPr>
      <w:r>
        <w:rPr>
          <w:rFonts w:cs="Arial Unicode MS"/>
        </w:rPr>
        <w:t>在整个集团经营活动中，</w:t>
      </w:r>
      <w:proofErr w:type="gramStart"/>
      <w:r>
        <w:rPr>
          <w:rFonts w:cs="Arial Unicode MS" w:hint="eastAsia"/>
        </w:rPr>
        <w:t>远化物流</w:t>
      </w:r>
      <w:proofErr w:type="gramEnd"/>
      <w:r>
        <w:rPr>
          <w:rFonts w:cs="Arial Unicode MS"/>
        </w:rPr>
        <w:t>作为履行上述功能并且承担上述风险的</w:t>
      </w:r>
      <w:r>
        <w:rPr>
          <w:rFonts w:cs="Arial Unicode MS" w:hint="eastAsia"/>
        </w:rPr>
        <w:t>道路运输商</w:t>
      </w:r>
      <w:r>
        <w:rPr>
          <w:rFonts w:cs="Arial Unicode MS"/>
        </w:rPr>
        <w:t>，利润水平和其承担的功能风险相匹配。</w:t>
      </w:r>
    </w:p>
    <w:p w14:paraId="7E642A34" w14:textId="77777777" w:rsidR="006B4107" w:rsidRDefault="004E70C7">
      <w:pPr>
        <w:pStyle w:val="2"/>
        <w:rPr>
          <w:rFonts w:ascii="Arial Narrow" w:eastAsia="仿宋_GB2312" w:hAnsi="Arial Narrow"/>
          <w:iCs w:val="0"/>
          <w:color w:val="002060"/>
        </w:rPr>
      </w:pPr>
      <w:bookmarkStart w:id="153" w:name="_Toc140761286"/>
      <w:bookmarkStart w:id="154" w:name="_Toc185598817"/>
      <w:bookmarkEnd w:id="151"/>
      <w:bookmarkEnd w:id="152"/>
      <w:r>
        <w:rPr>
          <w:rFonts w:ascii="Arial Narrow" w:eastAsia="仿宋_GB2312" w:hAnsi="Arial Narrow" w:cs="楷体"/>
          <w:b w:val="0"/>
          <w:bCs w:val="0"/>
          <w:iCs w:val="0"/>
          <w:color w:val="002060"/>
          <w:sz w:val="22"/>
          <w:szCs w:val="22"/>
        </w:rPr>
        <w:t>经济分析总结</w:t>
      </w:r>
      <w:r>
        <w:rPr>
          <w:rFonts w:ascii="Arial Narrow" w:eastAsia="仿宋_GB2312" w:hAnsi="Arial Narrow" w:cs="楷体"/>
          <w:b w:val="0"/>
          <w:bCs w:val="0"/>
          <w:iCs w:val="0"/>
          <w:color w:val="002060"/>
          <w:sz w:val="22"/>
          <w:szCs w:val="22"/>
        </w:rPr>
        <w:t xml:space="preserve"> —— </w:t>
      </w:r>
      <w:bookmarkStart w:id="155" w:name="_Toc15689"/>
      <w:bookmarkStart w:id="156" w:name="_Toc447817171"/>
      <w:bookmarkStart w:id="157" w:name="_Toc435807829"/>
      <w:r>
        <w:rPr>
          <w:rFonts w:ascii="Arial Narrow" w:eastAsia="仿宋_GB2312" w:hAnsi="Arial Narrow" w:cs="楷体"/>
          <w:b w:val="0"/>
          <w:bCs w:val="0"/>
          <w:iCs w:val="0"/>
          <w:color w:val="002060"/>
          <w:sz w:val="22"/>
          <w:szCs w:val="22"/>
        </w:rPr>
        <w:t>对受测关联交易的分析</w:t>
      </w:r>
      <w:bookmarkEnd w:id="153"/>
      <w:bookmarkEnd w:id="154"/>
      <w:bookmarkEnd w:id="155"/>
      <w:bookmarkEnd w:id="156"/>
      <w:bookmarkEnd w:id="157"/>
    </w:p>
    <w:p w14:paraId="63B4084C" w14:textId="77777777" w:rsidR="006B4107" w:rsidRDefault="004E70C7">
      <w:pPr>
        <w:spacing w:beforeLines="50" w:before="180" w:afterLines="50" w:after="180" w:line="360" w:lineRule="auto"/>
        <w:ind w:leftChars="21" w:left="46" w:rightChars="20" w:right="44" w:firstLineChars="200" w:firstLine="440"/>
        <w:jc w:val="both"/>
        <w:rPr>
          <w:rFonts w:cs="Arial Unicode MS"/>
        </w:rPr>
      </w:pPr>
      <w:r>
        <w:rPr>
          <w:rFonts w:cs="Arial Unicode MS"/>
        </w:rPr>
        <w:t>我们</w:t>
      </w:r>
      <w:proofErr w:type="gramStart"/>
      <w:r>
        <w:rPr>
          <w:rFonts w:cs="Arial Unicode MS"/>
        </w:rPr>
        <w:t>基于</w:t>
      </w:r>
      <w:r>
        <w:rPr>
          <w:rFonts w:cs="Arial Unicode MS" w:hint="eastAsia"/>
        </w:rPr>
        <w:t>远化物流</w:t>
      </w:r>
      <w:proofErr w:type="gramEnd"/>
      <w:r>
        <w:rPr>
          <w:rFonts w:cs="Arial Unicode MS"/>
        </w:rPr>
        <w:t>对集团整体利润或者剩余利润所做的贡献，以及其所承担的功能风险，对中国转让定价法规以及</w:t>
      </w:r>
      <w:bookmarkStart w:id="158" w:name="OLE_LINK1"/>
      <w:r>
        <w:rPr>
          <w:rFonts w:cs="Arial Unicode MS"/>
        </w:rPr>
        <w:t>《</w:t>
      </w:r>
      <w:r>
        <w:rPr>
          <w:rFonts w:cs="Arial Unicode MS"/>
        </w:rPr>
        <w:t>OECD</w:t>
      </w:r>
      <w:r>
        <w:rPr>
          <w:rFonts w:cs="Arial Unicode MS"/>
        </w:rPr>
        <w:t>转让定价指南》</w:t>
      </w:r>
      <w:bookmarkEnd w:id="158"/>
      <w:r>
        <w:rPr>
          <w:rFonts w:cs="Arial Unicode MS"/>
        </w:rPr>
        <w:t>中列明的常用转让定价评估方法进行了比较和研究。我们最终</w:t>
      </w:r>
      <w:proofErr w:type="gramStart"/>
      <w:r>
        <w:rPr>
          <w:rFonts w:cs="Arial Unicode MS"/>
        </w:rPr>
        <w:t>选择</w:t>
      </w:r>
      <w:r>
        <w:rPr>
          <w:rFonts w:cs="Arial Unicode MS" w:hint="eastAsia"/>
        </w:rPr>
        <w:t>远化物流</w:t>
      </w:r>
      <w:proofErr w:type="gramEnd"/>
      <w:r>
        <w:rPr>
          <w:rFonts w:cs="Arial Unicode MS"/>
        </w:rPr>
        <w:t>作为验证对象，选用交易净利润法作为分析方法，以完全成本加成率作为利润水平指标</w:t>
      </w:r>
      <w:proofErr w:type="gramStart"/>
      <w:r>
        <w:rPr>
          <w:rFonts w:cs="Arial Unicode MS"/>
        </w:rPr>
        <w:t>对</w:t>
      </w:r>
      <w:r>
        <w:rPr>
          <w:rFonts w:cs="Arial Unicode MS" w:hint="eastAsia"/>
        </w:rPr>
        <w:t>远化物流</w:t>
      </w:r>
      <w:proofErr w:type="gramEnd"/>
      <w:r>
        <w:rPr>
          <w:rFonts w:cs="Arial Unicode MS"/>
        </w:rPr>
        <w:t>的受测关联交易和</w:t>
      </w:r>
      <w:r>
        <w:rPr>
          <w:rFonts w:cs="Arial Unicode MS"/>
        </w:rPr>
        <w:t>转让定价进行了评估。</w:t>
      </w:r>
    </w:p>
    <w:p w14:paraId="0CAF2BBF" w14:textId="77777777" w:rsidR="006B4107" w:rsidRDefault="004E70C7">
      <w:pPr>
        <w:spacing w:beforeLines="50" w:before="180" w:afterLines="50" w:after="180" w:line="360" w:lineRule="auto"/>
        <w:ind w:leftChars="21" w:left="46" w:rightChars="20" w:right="44" w:firstLineChars="200" w:firstLine="440"/>
        <w:jc w:val="both"/>
        <w:rPr>
          <w:rFonts w:cs="Arial Unicode MS"/>
        </w:rPr>
      </w:pPr>
      <w:r>
        <w:rPr>
          <w:rFonts w:cs="Arial Unicode MS"/>
        </w:rPr>
        <w:t>我们</w:t>
      </w:r>
      <w:proofErr w:type="gramStart"/>
      <w:r>
        <w:rPr>
          <w:rFonts w:cs="Arial Unicode MS"/>
        </w:rPr>
        <w:t>选择</w:t>
      </w:r>
      <w:r>
        <w:rPr>
          <w:rFonts w:cs="Arial Unicode MS" w:hint="eastAsia"/>
        </w:rPr>
        <w:t>远化物流</w:t>
      </w:r>
      <w:proofErr w:type="gramEnd"/>
      <w:r>
        <w:rPr>
          <w:rFonts w:cs="Arial Unicode MS"/>
        </w:rPr>
        <w:t>作为本报告的被验证对象从而分析其完全成本加成率。原因如下：</w:t>
      </w:r>
      <w:r>
        <w:rPr>
          <w:rFonts w:cs="Arial Unicode MS"/>
        </w:rPr>
        <w:t>1</w:t>
      </w:r>
      <w:r>
        <w:rPr>
          <w:rFonts w:cs="Arial Unicode MS"/>
        </w:rPr>
        <w:t>）</w:t>
      </w:r>
      <w:proofErr w:type="gramStart"/>
      <w:r>
        <w:rPr>
          <w:rFonts w:cs="Arial Unicode MS" w:hint="eastAsia"/>
        </w:rPr>
        <w:t>远化物流</w:t>
      </w:r>
      <w:proofErr w:type="gramEnd"/>
      <w:r>
        <w:rPr>
          <w:rFonts w:cs="Arial Unicode MS"/>
        </w:rPr>
        <w:t>相对于关联方承担相对简单的</w:t>
      </w:r>
      <w:r>
        <w:rPr>
          <w:rFonts w:cs="Arial Unicode MS" w:hint="eastAsia"/>
        </w:rPr>
        <w:t>公路运输</w:t>
      </w:r>
      <w:proofErr w:type="gramStart"/>
      <w:r>
        <w:rPr>
          <w:rFonts w:cs="Arial Unicode MS" w:hint="eastAsia"/>
        </w:rPr>
        <w:t>商</w:t>
      </w:r>
      <w:r>
        <w:rPr>
          <w:rFonts w:cs="Arial Unicode MS"/>
        </w:rPr>
        <w:t>相关</w:t>
      </w:r>
      <w:proofErr w:type="gramEnd"/>
      <w:r>
        <w:rPr>
          <w:rFonts w:cs="Arial Unicode MS"/>
        </w:rPr>
        <w:t>的功能和风险</w:t>
      </w:r>
      <w:r>
        <w:rPr>
          <w:rFonts w:cs="Arial Unicode MS" w:hint="eastAsia"/>
        </w:rPr>
        <w:t>且不拥有显著的非常规无形资产</w:t>
      </w:r>
      <w:r>
        <w:rPr>
          <w:rFonts w:cs="Arial Unicode MS"/>
        </w:rPr>
        <w:t>；</w:t>
      </w:r>
      <w:r>
        <w:rPr>
          <w:rFonts w:cs="Arial Unicode MS"/>
        </w:rPr>
        <w:t>2</w:t>
      </w:r>
      <w:r>
        <w:rPr>
          <w:rFonts w:cs="Arial Unicode MS"/>
        </w:rPr>
        <w:t>）在关联交易中，相对于关联方，</w:t>
      </w:r>
      <w:proofErr w:type="gramStart"/>
      <w:r>
        <w:rPr>
          <w:rFonts w:cs="Arial Unicode MS" w:hint="eastAsia"/>
        </w:rPr>
        <w:t>远化物流</w:t>
      </w:r>
      <w:proofErr w:type="gramEnd"/>
      <w:r>
        <w:rPr>
          <w:rFonts w:cs="Arial Unicode MS"/>
        </w:rPr>
        <w:t>的利润水平可以被更为有效地确定。因此，我们</w:t>
      </w:r>
      <w:proofErr w:type="gramStart"/>
      <w:r>
        <w:rPr>
          <w:rFonts w:cs="Arial Unicode MS"/>
        </w:rPr>
        <w:t>选择</w:t>
      </w:r>
      <w:r>
        <w:rPr>
          <w:rFonts w:cs="Arial Unicode MS" w:hint="eastAsia"/>
        </w:rPr>
        <w:t>远化物流</w:t>
      </w:r>
      <w:proofErr w:type="gramEnd"/>
      <w:r>
        <w:rPr>
          <w:rFonts w:cs="Arial Unicode MS"/>
        </w:rPr>
        <w:t>作为本报告的被验证对象。我们通过选取</w:t>
      </w:r>
      <w:proofErr w:type="gramStart"/>
      <w:r>
        <w:rPr>
          <w:rFonts w:cs="Arial Unicode MS"/>
        </w:rPr>
        <w:t>与</w:t>
      </w:r>
      <w:r>
        <w:rPr>
          <w:rFonts w:cs="Arial Unicode MS" w:hint="eastAsia"/>
        </w:rPr>
        <w:t>远化物流</w:t>
      </w:r>
      <w:proofErr w:type="gramEnd"/>
      <w:r>
        <w:rPr>
          <w:rFonts w:cs="Arial Unicode MS"/>
        </w:rPr>
        <w:t>在受测关联交易中从事</w:t>
      </w:r>
      <w:proofErr w:type="gramStart"/>
      <w:r>
        <w:rPr>
          <w:rFonts w:cs="Arial Unicode MS"/>
        </w:rPr>
        <w:t>相似业务</w:t>
      </w:r>
      <w:proofErr w:type="gramEnd"/>
      <w:r>
        <w:rPr>
          <w:rFonts w:cs="Arial Unicode MS"/>
        </w:rPr>
        <w:t>的非受控公司，分析其财务数据，建立了一组符合独立交易原则的利润率区间。</w:t>
      </w:r>
    </w:p>
    <w:p w14:paraId="372DF396" w14:textId="77777777" w:rsidR="006B4107" w:rsidRDefault="004E70C7">
      <w:pPr>
        <w:spacing w:beforeLines="50" w:before="180" w:afterLines="50" w:after="180" w:line="360" w:lineRule="auto"/>
        <w:ind w:leftChars="21" w:left="46" w:rightChars="20" w:right="44" w:firstLineChars="200" w:firstLine="440"/>
        <w:jc w:val="both"/>
        <w:rPr>
          <w:rFonts w:cs="Arial Unicode MS"/>
        </w:rPr>
      </w:pPr>
      <w:r>
        <w:rPr>
          <w:rFonts w:cs="Arial Unicode MS"/>
        </w:rPr>
        <w:t>选取的可比非受控公司样本在</w:t>
      </w:r>
      <w:r>
        <w:rPr>
          <w:rFonts w:cs="Arial Unicode MS"/>
        </w:rPr>
        <w:t>2020</w:t>
      </w:r>
      <w:r>
        <w:rPr>
          <w:rFonts w:cs="Arial Unicode MS"/>
        </w:rPr>
        <w:t>到</w:t>
      </w:r>
      <w:r>
        <w:rPr>
          <w:rFonts w:cs="Arial Unicode MS"/>
        </w:rPr>
        <w:t>2022</w:t>
      </w:r>
      <w:r>
        <w:rPr>
          <w:rFonts w:cs="Arial Unicode MS"/>
        </w:rPr>
        <w:t>财务年度（</w:t>
      </w:r>
      <w:r>
        <w:rPr>
          <w:rFonts w:cs="Arial Unicode MS"/>
        </w:rPr>
        <w:t>“</w:t>
      </w:r>
      <w:r>
        <w:rPr>
          <w:rFonts w:cs="Arial Unicode MS"/>
        </w:rPr>
        <w:t>财年</w:t>
      </w:r>
      <w:r>
        <w:rPr>
          <w:rFonts w:cs="Arial Unicode MS"/>
        </w:rPr>
        <w:t>”</w:t>
      </w:r>
      <w:r>
        <w:rPr>
          <w:rFonts w:cs="Arial Unicode MS"/>
        </w:rPr>
        <w:t>）实现的加权平均完全成本加成率水平总结如下：</w:t>
      </w:r>
    </w:p>
    <w:p w14:paraId="78E699FB" w14:textId="77777777" w:rsidR="006B4107" w:rsidRDefault="006B4107">
      <w:pPr>
        <w:spacing w:beforeLines="50" w:before="180" w:afterLines="50" w:after="180" w:line="360" w:lineRule="auto"/>
        <w:ind w:leftChars="21" w:left="46" w:rightChars="20" w:right="44" w:firstLineChars="200" w:firstLine="440"/>
        <w:jc w:val="both"/>
        <w:rPr>
          <w:rFonts w:cs="Arial Unicode MS"/>
        </w:rPr>
      </w:pPr>
    </w:p>
    <w:p w14:paraId="41AE1FE1" w14:textId="7C6B6C9C" w:rsidR="006B4107" w:rsidRDefault="004E70C7">
      <w:pPr>
        <w:pStyle w:val="a6"/>
        <w:keepNext/>
        <w:jc w:val="center"/>
        <w:rPr>
          <w:rFonts w:ascii="仿宋" w:eastAsia="仿宋" w:hAnsi="仿宋"/>
        </w:rPr>
      </w:pPr>
      <w:r>
        <w:rPr>
          <w:rFonts w:ascii="仿宋" w:eastAsia="仿宋" w:hAnsi="仿宋"/>
        </w:rPr>
        <w:lastRenderedPageBreak/>
        <w:t>图表</w:t>
      </w:r>
      <w:r>
        <w:rPr>
          <w:rFonts w:eastAsia="仿宋" w:cs="Arial Narrow"/>
        </w:rPr>
        <w:fldChar w:fldCharType="begin"/>
      </w:r>
      <w:r>
        <w:rPr>
          <w:rFonts w:eastAsia="仿宋" w:cs="Arial Narrow"/>
        </w:rPr>
        <w:instrText xml:space="preserve"> SEQ </w:instrText>
      </w:r>
      <w:r>
        <w:rPr>
          <w:rFonts w:eastAsia="仿宋" w:cs="Arial Narrow"/>
        </w:rPr>
        <w:instrText>图表</w:instrText>
      </w:r>
      <w:r>
        <w:rPr>
          <w:rFonts w:eastAsia="仿宋" w:cs="Arial Narrow"/>
        </w:rPr>
        <w:instrText xml:space="preserve"> \* ARABIC </w:instrText>
      </w:r>
      <w:r>
        <w:rPr>
          <w:rFonts w:eastAsia="仿宋" w:cs="Arial Narrow"/>
        </w:rPr>
        <w:fldChar w:fldCharType="separate"/>
      </w:r>
      <w:r w:rsidR="005D7C90">
        <w:rPr>
          <w:rFonts w:eastAsia="仿宋" w:cs="Arial Narrow"/>
          <w:noProof/>
        </w:rPr>
        <w:t>1</w:t>
      </w:r>
      <w:r>
        <w:rPr>
          <w:rFonts w:eastAsia="仿宋" w:cs="Arial Narrow"/>
        </w:rPr>
        <w:fldChar w:fldCharType="end"/>
      </w:r>
      <w:r>
        <w:rPr>
          <w:rFonts w:ascii="仿宋" w:eastAsia="仿宋" w:hAnsi="仿宋"/>
        </w:rPr>
        <w:t>：完全成本加成率的独立交易区间（</w:t>
      </w:r>
      <w:r>
        <w:rPr>
          <w:rFonts w:ascii="仿宋" w:eastAsia="仿宋" w:hAnsi="仿宋"/>
        </w:rPr>
        <w:t>2020</w:t>
      </w:r>
      <w:r>
        <w:rPr>
          <w:rFonts w:ascii="仿宋" w:eastAsia="仿宋" w:hAnsi="仿宋"/>
        </w:rPr>
        <w:t>财年到</w:t>
      </w:r>
      <w:r>
        <w:rPr>
          <w:rFonts w:ascii="仿宋" w:eastAsia="仿宋" w:hAnsi="仿宋"/>
        </w:rPr>
        <w:t>2022</w:t>
      </w:r>
      <w:r>
        <w:rPr>
          <w:rFonts w:ascii="仿宋" w:eastAsia="仿宋" w:hAnsi="仿宋"/>
        </w:rPr>
        <w:t>财年）</w:t>
      </w:r>
    </w:p>
    <w:tbl>
      <w:tblPr>
        <w:tblW w:w="6379" w:type="dxa"/>
        <w:jc w:val="center"/>
        <w:tblLayout w:type="fixed"/>
        <w:tblLook w:val="04A0" w:firstRow="1" w:lastRow="0" w:firstColumn="1" w:lastColumn="0" w:noHBand="0" w:noVBand="1"/>
      </w:tblPr>
      <w:tblGrid>
        <w:gridCol w:w="2863"/>
        <w:gridCol w:w="3516"/>
      </w:tblGrid>
      <w:tr w:rsidR="006B4107" w14:paraId="32E92D74" w14:textId="77777777">
        <w:trPr>
          <w:trHeight w:val="340"/>
          <w:jc w:val="center"/>
        </w:trPr>
        <w:tc>
          <w:tcPr>
            <w:tcW w:w="2863" w:type="dxa"/>
            <w:tcBorders>
              <w:top w:val="single" w:sz="8" w:space="0" w:color="auto"/>
              <w:left w:val="single" w:sz="8" w:space="0" w:color="auto"/>
              <w:bottom w:val="single" w:sz="8" w:space="0" w:color="auto"/>
              <w:right w:val="single" w:sz="8" w:space="0" w:color="auto"/>
            </w:tcBorders>
            <w:shd w:val="clear" w:color="auto" w:fill="002060"/>
            <w:vAlign w:val="center"/>
          </w:tcPr>
          <w:bookmarkEnd w:id="54"/>
          <w:bookmarkEnd w:id="55"/>
          <w:bookmarkEnd w:id="56"/>
          <w:p w14:paraId="5009D194" w14:textId="77777777" w:rsidR="006B4107" w:rsidRDefault="004E70C7">
            <w:pPr>
              <w:pStyle w:val="aff0"/>
              <w:widowControl w:val="0"/>
              <w:autoSpaceDE w:val="0"/>
              <w:autoSpaceDN w:val="0"/>
              <w:spacing w:before="0" w:beforeAutospacing="0" w:after="0" w:afterAutospacing="0"/>
              <w:jc w:val="center"/>
              <w:rPr>
                <w:rFonts w:ascii="仿宋" w:eastAsia="仿宋" w:hAnsi="仿宋" w:cs="Arial Unicode MS"/>
                <w:b/>
                <w:color w:val="FFFFFF"/>
                <w:w w:val="95"/>
                <w:sz w:val="22"/>
                <w:szCs w:val="22"/>
                <w:lang w:bidi="ar"/>
              </w:rPr>
            </w:pPr>
            <w:r>
              <w:rPr>
                <w:rFonts w:ascii="仿宋" w:eastAsia="仿宋" w:hAnsi="仿宋" w:cs="Arial Unicode MS"/>
                <w:b/>
                <w:color w:val="FFFFFF"/>
                <w:w w:val="95"/>
                <w:sz w:val="22"/>
                <w:szCs w:val="22"/>
                <w:lang w:bidi="ar"/>
              </w:rPr>
              <w:t>四分位区间</w:t>
            </w:r>
          </w:p>
        </w:tc>
        <w:tc>
          <w:tcPr>
            <w:tcW w:w="3516" w:type="dxa"/>
            <w:tcBorders>
              <w:top w:val="single" w:sz="8" w:space="0" w:color="auto"/>
              <w:left w:val="nil"/>
              <w:bottom w:val="single" w:sz="8" w:space="0" w:color="auto"/>
              <w:right w:val="single" w:sz="8" w:space="0" w:color="auto"/>
            </w:tcBorders>
            <w:shd w:val="clear" w:color="auto" w:fill="002060"/>
            <w:vAlign w:val="center"/>
          </w:tcPr>
          <w:p w14:paraId="23BA089D" w14:textId="77777777" w:rsidR="006B4107" w:rsidRDefault="004E70C7">
            <w:pPr>
              <w:pStyle w:val="aff0"/>
              <w:widowControl w:val="0"/>
              <w:autoSpaceDE w:val="0"/>
              <w:autoSpaceDN w:val="0"/>
              <w:spacing w:before="0" w:beforeAutospacing="0" w:after="0" w:afterAutospacing="0"/>
              <w:jc w:val="center"/>
              <w:rPr>
                <w:rFonts w:ascii="仿宋" w:eastAsia="仿宋" w:hAnsi="仿宋" w:cs="Arial Unicode MS"/>
                <w:b/>
                <w:color w:val="FFFFFF"/>
                <w:w w:val="95"/>
                <w:sz w:val="22"/>
                <w:szCs w:val="22"/>
                <w:lang w:bidi="ar"/>
              </w:rPr>
            </w:pPr>
            <w:r>
              <w:rPr>
                <w:rFonts w:ascii="仿宋" w:eastAsia="仿宋" w:hAnsi="仿宋" w:cs="Arial Unicode MS"/>
                <w:b/>
                <w:color w:val="FFFFFF"/>
                <w:w w:val="95"/>
                <w:sz w:val="22"/>
                <w:szCs w:val="22"/>
                <w:lang w:bidi="ar"/>
              </w:rPr>
              <w:t>加权平均完全成本加成率</w:t>
            </w:r>
          </w:p>
        </w:tc>
      </w:tr>
      <w:tr w:rsidR="006B4107" w14:paraId="6F2FFDC3" w14:textId="77777777">
        <w:trPr>
          <w:trHeight w:val="315"/>
          <w:jc w:val="center"/>
        </w:trPr>
        <w:tc>
          <w:tcPr>
            <w:tcW w:w="2863" w:type="dxa"/>
            <w:tcBorders>
              <w:top w:val="nil"/>
              <w:left w:val="single" w:sz="8" w:space="0" w:color="auto"/>
              <w:bottom w:val="single" w:sz="8" w:space="0" w:color="auto"/>
              <w:right w:val="single" w:sz="8" w:space="0" w:color="auto"/>
            </w:tcBorders>
            <w:vAlign w:val="center"/>
          </w:tcPr>
          <w:p w14:paraId="36817A62" w14:textId="77777777" w:rsidR="006B4107" w:rsidRDefault="004E70C7">
            <w:pPr>
              <w:jc w:val="center"/>
              <w:rPr>
                <w:rFonts w:cs="楷体"/>
                <w:color w:val="000000"/>
              </w:rPr>
            </w:pPr>
            <w:r>
              <w:rPr>
                <w:rFonts w:cs="楷体"/>
                <w:color w:val="000000"/>
              </w:rPr>
              <w:t>可比公司数量</w:t>
            </w:r>
          </w:p>
        </w:tc>
        <w:tc>
          <w:tcPr>
            <w:tcW w:w="3516" w:type="dxa"/>
            <w:tcBorders>
              <w:top w:val="nil"/>
              <w:left w:val="nil"/>
              <w:bottom w:val="single" w:sz="8" w:space="0" w:color="auto"/>
              <w:right w:val="single" w:sz="8" w:space="0" w:color="auto"/>
            </w:tcBorders>
            <w:vAlign w:val="center"/>
          </w:tcPr>
          <w:p w14:paraId="2040C0C5" w14:textId="77777777" w:rsidR="006B4107" w:rsidRDefault="004E70C7">
            <w:pPr>
              <w:jc w:val="center"/>
              <w:rPr>
                <w:rFonts w:cs="楷体"/>
                <w:color w:val="000000"/>
              </w:rPr>
            </w:pPr>
            <w:r>
              <w:rPr>
                <w:rFonts w:cs="楷体"/>
                <w:color w:val="000000"/>
              </w:rPr>
              <w:t>11</w:t>
            </w:r>
          </w:p>
        </w:tc>
      </w:tr>
      <w:tr w:rsidR="006B4107" w14:paraId="14894D77" w14:textId="77777777">
        <w:trPr>
          <w:trHeight w:val="315"/>
          <w:jc w:val="center"/>
        </w:trPr>
        <w:tc>
          <w:tcPr>
            <w:tcW w:w="2863" w:type="dxa"/>
            <w:tcBorders>
              <w:top w:val="nil"/>
              <w:left w:val="single" w:sz="8" w:space="0" w:color="auto"/>
              <w:bottom w:val="single" w:sz="8" w:space="0" w:color="auto"/>
              <w:right w:val="single" w:sz="8" w:space="0" w:color="auto"/>
            </w:tcBorders>
            <w:vAlign w:val="center"/>
          </w:tcPr>
          <w:p w14:paraId="1F270486" w14:textId="77777777" w:rsidR="006B4107" w:rsidRDefault="004E70C7">
            <w:pPr>
              <w:jc w:val="center"/>
              <w:rPr>
                <w:rFonts w:cs="楷体"/>
                <w:color w:val="000000"/>
              </w:rPr>
            </w:pPr>
            <w:r>
              <w:rPr>
                <w:rFonts w:cs="楷体" w:hint="eastAsia"/>
                <w:color w:val="000000"/>
              </w:rPr>
              <w:t>下</w:t>
            </w:r>
            <w:r>
              <w:rPr>
                <w:rFonts w:cs="楷体"/>
                <w:color w:val="000000"/>
              </w:rPr>
              <w:t>四分位数</w:t>
            </w:r>
          </w:p>
        </w:tc>
        <w:tc>
          <w:tcPr>
            <w:tcW w:w="3516" w:type="dxa"/>
            <w:tcBorders>
              <w:top w:val="nil"/>
              <w:left w:val="nil"/>
              <w:bottom w:val="single" w:sz="8" w:space="0" w:color="auto"/>
              <w:right w:val="single" w:sz="8" w:space="0" w:color="auto"/>
            </w:tcBorders>
            <w:vAlign w:val="center"/>
          </w:tcPr>
          <w:p w14:paraId="36E544B3" w14:textId="77777777" w:rsidR="006B4107" w:rsidRDefault="004E70C7">
            <w:pPr>
              <w:jc w:val="center"/>
              <w:rPr>
                <w:rFonts w:cs="楷体"/>
                <w:color w:val="000000"/>
              </w:rPr>
            </w:pPr>
            <w:r>
              <w:rPr>
                <w:rFonts w:cs="楷体"/>
                <w:color w:val="000000"/>
              </w:rPr>
              <w:t>2.36%</w:t>
            </w:r>
          </w:p>
        </w:tc>
      </w:tr>
      <w:tr w:rsidR="006B4107" w14:paraId="794E6B91" w14:textId="77777777">
        <w:trPr>
          <w:trHeight w:val="315"/>
          <w:jc w:val="center"/>
        </w:trPr>
        <w:tc>
          <w:tcPr>
            <w:tcW w:w="2863" w:type="dxa"/>
            <w:tcBorders>
              <w:top w:val="nil"/>
              <w:left w:val="single" w:sz="8" w:space="0" w:color="auto"/>
              <w:bottom w:val="single" w:sz="8" w:space="0" w:color="auto"/>
              <w:right w:val="single" w:sz="8" w:space="0" w:color="auto"/>
            </w:tcBorders>
            <w:vAlign w:val="center"/>
          </w:tcPr>
          <w:p w14:paraId="726D77D0" w14:textId="77777777" w:rsidR="006B4107" w:rsidRDefault="004E70C7">
            <w:pPr>
              <w:jc w:val="center"/>
              <w:rPr>
                <w:rFonts w:cs="楷体"/>
                <w:color w:val="000000"/>
              </w:rPr>
            </w:pPr>
            <w:r>
              <w:rPr>
                <w:rFonts w:cs="楷体"/>
                <w:color w:val="000000"/>
              </w:rPr>
              <w:t>中位值</w:t>
            </w:r>
          </w:p>
        </w:tc>
        <w:tc>
          <w:tcPr>
            <w:tcW w:w="3516" w:type="dxa"/>
            <w:tcBorders>
              <w:top w:val="nil"/>
              <w:left w:val="nil"/>
              <w:bottom w:val="single" w:sz="8" w:space="0" w:color="auto"/>
              <w:right w:val="single" w:sz="8" w:space="0" w:color="auto"/>
            </w:tcBorders>
            <w:vAlign w:val="center"/>
          </w:tcPr>
          <w:p w14:paraId="6C9A5F7F" w14:textId="77777777" w:rsidR="006B4107" w:rsidRDefault="004E70C7">
            <w:pPr>
              <w:jc w:val="center"/>
              <w:rPr>
                <w:rFonts w:cs="楷体"/>
                <w:color w:val="000000"/>
              </w:rPr>
            </w:pPr>
            <w:r>
              <w:rPr>
                <w:rFonts w:cs="楷体"/>
                <w:color w:val="000000"/>
              </w:rPr>
              <w:t>3.20%</w:t>
            </w:r>
          </w:p>
        </w:tc>
      </w:tr>
      <w:tr w:rsidR="006B4107" w14:paraId="762B6016" w14:textId="77777777">
        <w:trPr>
          <w:trHeight w:val="315"/>
          <w:jc w:val="center"/>
        </w:trPr>
        <w:tc>
          <w:tcPr>
            <w:tcW w:w="2863" w:type="dxa"/>
            <w:tcBorders>
              <w:top w:val="nil"/>
              <w:left w:val="single" w:sz="8" w:space="0" w:color="auto"/>
              <w:bottom w:val="single" w:sz="8" w:space="0" w:color="auto"/>
              <w:right w:val="single" w:sz="8" w:space="0" w:color="auto"/>
            </w:tcBorders>
            <w:vAlign w:val="center"/>
          </w:tcPr>
          <w:p w14:paraId="50819130" w14:textId="77777777" w:rsidR="006B4107" w:rsidRDefault="004E70C7">
            <w:pPr>
              <w:jc w:val="center"/>
              <w:rPr>
                <w:rFonts w:cs="楷体"/>
                <w:color w:val="000000"/>
              </w:rPr>
            </w:pPr>
            <w:r>
              <w:rPr>
                <w:rFonts w:cs="楷体" w:hint="eastAsia"/>
                <w:color w:val="000000"/>
              </w:rPr>
              <w:t>上</w:t>
            </w:r>
            <w:r>
              <w:rPr>
                <w:rFonts w:cs="楷体"/>
                <w:color w:val="000000"/>
              </w:rPr>
              <w:t>四分位数</w:t>
            </w:r>
          </w:p>
        </w:tc>
        <w:tc>
          <w:tcPr>
            <w:tcW w:w="3516" w:type="dxa"/>
            <w:tcBorders>
              <w:top w:val="nil"/>
              <w:left w:val="nil"/>
              <w:bottom w:val="single" w:sz="8" w:space="0" w:color="auto"/>
              <w:right w:val="single" w:sz="8" w:space="0" w:color="auto"/>
            </w:tcBorders>
            <w:vAlign w:val="center"/>
          </w:tcPr>
          <w:p w14:paraId="15ABAD7D" w14:textId="77777777" w:rsidR="006B4107" w:rsidRDefault="004E70C7">
            <w:pPr>
              <w:jc w:val="center"/>
              <w:rPr>
                <w:rFonts w:cs="楷体"/>
                <w:color w:val="000000"/>
              </w:rPr>
            </w:pPr>
            <w:r>
              <w:rPr>
                <w:rFonts w:cs="楷体"/>
                <w:color w:val="000000"/>
              </w:rPr>
              <w:t>6.64%</w:t>
            </w:r>
          </w:p>
        </w:tc>
      </w:tr>
    </w:tbl>
    <w:p w14:paraId="7912175C" w14:textId="77777777" w:rsidR="006B4107" w:rsidRDefault="004E70C7">
      <w:pPr>
        <w:spacing w:beforeLines="50" w:before="180" w:afterLines="50" w:after="180" w:line="360" w:lineRule="auto"/>
        <w:ind w:rightChars="20" w:right="44" w:firstLineChars="200" w:firstLine="440"/>
        <w:jc w:val="both"/>
        <w:rPr>
          <w:rFonts w:cs="Arial Unicode MS"/>
        </w:rPr>
      </w:pPr>
      <w:r>
        <w:rPr>
          <w:rFonts w:cs="Arial Unicode MS"/>
        </w:rPr>
        <w:t>如上图表所示，</w:t>
      </w:r>
      <w:r>
        <w:rPr>
          <w:rFonts w:cs="Arial Unicode MS"/>
        </w:rPr>
        <w:t>2020</w:t>
      </w:r>
      <w:r>
        <w:rPr>
          <w:rFonts w:cs="Arial Unicode MS"/>
        </w:rPr>
        <w:t>到</w:t>
      </w:r>
      <w:r>
        <w:rPr>
          <w:rFonts w:cs="Arial Unicode MS"/>
        </w:rPr>
        <w:t>2022</w:t>
      </w:r>
      <w:r>
        <w:rPr>
          <w:rFonts w:cs="Arial Unicode MS"/>
        </w:rPr>
        <w:t>财年加权平均完全成本加成率独立交易四分位区间为</w:t>
      </w:r>
      <w:r>
        <w:rPr>
          <w:rFonts w:cs="楷体"/>
          <w:color w:val="000000"/>
        </w:rPr>
        <w:t>2.36%</w:t>
      </w:r>
      <w:r>
        <w:rPr>
          <w:rFonts w:cs="Arial Unicode MS"/>
        </w:rPr>
        <w:t>到</w:t>
      </w:r>
      <w:r>
        <w:rPr>
          <w:rFonts w:cs="Arial Unicode MS"/>
        </w:rPr>
        <w:t>6.64%</w:t>
      </w:r>
      <w:r>
        <w:rPr>
          <w:rFonts w:cs="Arial Unicode MS"/>
        </w:rPr>
        <w:t>，中位值为</w:t>
      </w:r>
      <w:r>
        <w:rPr>
          <w:rFonts w:cs="Arial Unicode MS"/>
        </w:rPr>
        <w:t>3.20%</w:t>
      </w:r>
      <w:r>
        <w:rPr>
          <w:rFonts w:cs="Arial Unicode MS" w:hint="eastAsia"/>
        </w:rPr>
        <w:t>。</w:t>
      </w:r>
      <w:proofErr w:type="gramStart"/>
      <w:r>
        <w:rPr>
          <w:rFonts w:cs="Arial Unicode MS" w:hint="eastAsia"/>
        </w:rPr>
        <w:t>远化物流</w:t>
      </w:r>
      <w:proofErr w:type="gramEnd"/>
      <w:r>
        <w:rPr>
          <w:rFonts w:cs="Arial Unicode MS" w:hint="eastAsia"/>
        </w:rPr>
        <w:t>202</w:t>
      </w:r>
      <w:r>
        <w:rPr>
          <w:rFonts w:cs="Arial Unicode MS"/>
        </w:rPr>
        <w:t>3</w:t>
      </w:r>
      <w:r>
        <w:rPr>
          <w:rFonts w:cs="Arial Unicode MS" w:hint="eastAsia"/>
        </w:rPr>
        <w:t>年度在受测关联交易中取得的完全成本加成率为</w:t>
      </w:r>
      <w:r>
        <w:rPr>
          <w:rFonts w:cs="Arial Unicode MS"/>
        </w:rPr>
        <w:t>3.60%</w:t>
      </w:r>
      <w:r>
        <w:rPr>
          <w:rFonts w:cs="Arial Unicode MS" w:hint="eastAsia"/>
        </w:rPr>
        <w:t>，位于可比非受控公司在</w:t>
      </w:r>
      <w:r>
        <w:rPr>
          <w:rFonts w:cs="Arial Unicode MS" w:hint="eastAsia"/>
        </w:rPr>
        <w:t>20</w:t>
      </w:r>
      <w:r>
        <w:rPr>
          <w:rFonts w:cs="Arial Unicode MS"/>
        </w:rPr>
        <w:t>20</w:t>
      </w:r>
      <w:r>
        <w:rPr>
          <w:rFonts w:cs="Arial Unicode MS" w:hint="eastAsia"/>
        </w:rPr>
        <w:t>到</w:t>
      </w:r>
      <w:r>
        <w:rPr>
          <w:rFonts w:cs="Arial Unicode MS" w:hint="eastAsia"/>
        </w:rPr>
        <w:t>202</w:t>
      </w:r>
      <w:r>
        <w:rPr>
          <w:rFonts w:cs="Arial Unicode MS"/>
        </w:rPr>
        <w:t>2</w:t>
      </w:r>
      <w:r>
        <w:rPr>
          <w:rFonts w:cs="Arial Unicode MS" w:hint="eastAsia"/>
        </w:rPr>
        <w:t>财年三年加权平均完全成本加成率的四分位区间之内，且高于中位值。</w:t>
      </w:r>
    </w:p>
    <w:p w14:paraId="46172FDD" w14:textId="77777777" w:rsidR="006B4107" w:rsidRDefault="004E70C7">
      <w:pPr>
        <w:spacing w:beforeLines="50" w:before="180" w:afterLines="50" w:after="180" w:line="360" w:lineRule="auto"/>
        <w:ind w:rightChars="20" w:right="44" w:firstLineChars="200" w:firstLine="440"/>
        <w:jc w:val="both"/>
        <w:rPr>
          <w:rFonts w:cs="Arial Unicode MS"/>
        </w:rPr>
      </w:pPr>
      <w:r>
        <w:rPr>
          <w:rFonts w:cs="Arial Unicode MS"/>
        </w:rPr>
        <w:t>因此，从中国转让定价角度，</w:t>
      </w:r>
      <w:proofErr w:type="gramStart"/>
      <w:r>
        <w:rPr>
          <w:rFonts w:cs="Arial Unicode MS" w:hint="eastAsia"/>
        </w:rPr>
        <w:t>远化物流</w:t>
      </w:r>
      <w:proofErr w:type="gramEnd"/>
      <w:r>
        <w:rPr>
          <w:rFonts w:cs="Arial Unicode MS"/>
        </w:rPr>
        <w:t>在</w:t>
      </w:r>
      <w:r>
        <w:rPr>
          <w:rFonts w:cs="Arial Unicode MS"/>
        </w:rPr>
        <w:t>2023</w:t>
      </w:r>
      <w:r>
        <w:rPr>
          <w:rFonts w:cs="Arial Unicode MS"/>
        </w:rPr>
        <w:t>年受测关联交易中的转让定价安排不违背独立交易原则。</w:t>
      </w:r>
    </w:p>
    <w:p w14:paraId="02940C7A" w14:textId="77777777" w:rsidR="006B4107" w:rsidRDefault="004E70C7">
      <w:pPr>
        <w:pStyle w:val="2"/>
        <w:rPr>
          <w:rFonts w:ascii="Arial Narrow" w:eastAsia="仿宋_GB2312" w:hAnsi="Arial Narrow" w:cs="楷体"/>
          <w:b w:val="0"/>
          <w:bCs w:val="0"/>
          <w:iCs w:val="0"/>
          <w:color w:val="002060"/>
          <w:sz w:val="22"/>
          <w:szCs w:val="22"/>
        </w:rPr>
      </w:pPr>
      <w:bookmarkStart w:id="159" w:name="_Toc185598818"/>
      <w:bookmarkStart w:id="160" w:name="_Toc140761287"/>
      <w:r>
        <w:rPr>
          <w:rFonts w:ascii="Arial Narrow" w:eastAsia="仿宋_GB2312" w:hAnsi="Arial Narrow" w:cs="楷体"/>
          <w:b w:val="0"/>
          <w:bCs w:val="0"/>
          <w:iCs w:val="0"/>
          <w:color w:val="002060"/>
          <w:sz w:val="22"/>
          <w:szCs w:val="22"/>
        </w:rPr>
        <w:t>局限性</w:t>
      </w:r>
      <w:bookmarkEnd w:id="159"/>
      <w:bookmarkEnd w:id="160"/>
    </w:p>
    <w:p w14:paraId="04AF59F9" w14:textId="77777777" w:rsidR="006B4107" w:rsidRDefault="004E70C7">
      <w:pPr>
        <w:adjustRightInd w:val="0"/>
        <w:snapToGrid w:val="0"/>
        <w:spacing w:before="240" w:after="240" w:line="360" w:lineRule="auto"/>
        <w:ind w:firstLine="363"/>
        <w:jc w:val="both"/>
        <w:rPr>
          <w:rFonts w:cs="Arial Unicode MS"/>
        </w:rPr>
      </w:pPr>
      <w:r>
        <w:rPr>
          <w:rFonts w:cs="Arial Unicode MS" w:hint="eastAsia"/>
        </w:rPr>
        <w:t>本报告旨在</w:t>
      </w:r>
      <w:proofErr w:type="gramStart"/>
      <w:r>
        <w:rPr>
          <w:rFonts w:cs="Arial Unicode MS" w:hint="eastAsia"/>
        </w:rPr>
        <w:t>协助</w:t>
      </w:r>
      <w:r>
        <w:rPr>
          <w:rFonts w:cs="Arial Unicode MS" w:hint="eastAsia"/>
        </w:rPr>
        <w:t>远化物流</w:t>
      </w:r>
      <w:proofErr w:type="gramEnd"/>
      <w:r>
        <w:rPr>
          <w:rFonts w:cs="Arial Unicode MS" w:hint="eastAsia"/>
        </w:rPr>
        <w:t>分析其采用了合适的转让定价方法及对这些方法的运用，如同在此报告中陈述的，这些方法是最恰当的用于衡量关联交易是否符合独立交易原则的方法。其他任何税务事宜并不在本报告分析范围内。本报告并不考虑其他可能存在的影响受测交易税务处理的事项，也不对其做出任何评论。对于超出本报告分析范围的任何重大税务事项，本报告将不被视为协助公司辩护其涉税立场或用于规避可能的税收性罚款的支持性文件。本报告不可应用于其他纳税年度或用于已更正的以前年度纳税申报表。</w:t>
      </w:r>
    </w:p>
    <w:p w14:paraId="561B5B08" w14:textId="77777777" w:rsidR="006B4107" w:rsidRDefault="004E70C7">
      <w:pPr>
        <w:adjustRightInd w:val="0"/>
        <w:snapToGrid w:val="0"/>
        <w:spacing w:before="240" w:after="240" w:line="360" w:lineRule="auto"/>
        <w:ind w:firstLine="363"/>
        <w:jc w:val="both"/>
        <w:rPr>
          <w:rFonts w:cs="Arial Unicode MS"/>
        </w:rPr>
      </w:pPr>
      <w:r>
        <w:rPr>
          <w:rFonts w:cs="Arial Unicode MS" w:hint="eastAsia"/>
        </w:rPr>
        <w:t>这份报告的分析和总结适用于以下一般情况：</w:t>
      </w:r>
    </w:p>
    <w:p w14:paraId="72802DDE" w14:textId="77777777" w:rsidR="006B4107" w:rsidRDefault="004E70C7">
      <w:pPr>
        <w:adjustRightInd w:val="0"/>
        <w:snapToGrid w:val="0"/>
        <w:spacing w:before="240" w:after="240" w:line="360" w:lineRule="auto"/>
        <w:ind w:firstLine="363"/>
        <w:jc w:val="both"/>
        <w:rPr>
          <w:rFonts w:cs="Arial Unicode MS"/>
        </w:rPr>
      </w:pPr>
      <w:r>
        <w:rPr>
          <w:rFonts w:cs="Arial Unicode MS" w:hint="eastAsia"/>
        </w:rPr>
        <w:t>-</w:t>
      </w:r>
      <w:r>
        <w:rPr>
          <w:rFonts w:cs="Arial Unicode MS" w:hint="eastAsia"/>
        </w:rPr>
        <w:t>适用法规。本报告是依照</w:t>
      </w:r>
      <w:r>
        <w:rPr>
          <w:rFonts w:cs="Arial Unicode MS" w:hint="eastAsia"/>
        </w:rPr>
        <w:t>42</w:t>
      </w:r>
      <w:r>
        <w:rPr>
          <w:rFonts w:cs="Arial Unicode MS" w:hint="eastAsia"/>
        </w:rPr>
        <w:t>号公告第</w:t>
      </w:r>
      <w:r>
        <w:rPr>
          <w:rFonts w:cs="Arial Unicode MS" w:hint="eastAsia"/>
        </w:rPr>
        <w:t>14</w:t>
      </w:r>
      <w:r>
        <w:rPr>
          <w:rFonts w:cs="Arial Unicode MS" w:hint="eastAsia"/>
        </w:rPr>
        <w:t>条对同期资料的相关规定而准备，</w:t>
      </w:r>
      <w:proofErr w:type="gramStart"/>
      <w:r>
        <w:rPr>
          <w:rFonts w:cs="Arial Unicode MS" w:hint="eastAsia"/>
        </w:rPr>
        <w:t>远化物流</w:t>
      </w:r>
      <w:proofErr w:type="gramEnd"/>
      <w:r>
        <w:rPr>
          <w:rFonts w:cs="Arial Unicode MS" w:hint="eastAsia"/>
        </w:rPr>
        <w:t>可以在中国税务机关要求的情况下将本报告提交给中国税务机关。</w:t>
      </w:r>
    </w:p>
    <w:p w14:paraId="3A6C84C0" w14:textId="77777777" w:rsidR="006B4107" w:rsidRDefault="004E70C7">
      <w:pPr>
        <w:adjustRightInd w:val="0"/>
        <w:snapToGrid w:val="0"/>
        <w:spacing w:before="240" w:after="240" w:line="360" w:lineRule="auto"/>
        <w:ind w:firstLine="363"/>
        <w:jc w:val="both"/>
        <w:rPr>
          <w:rFonts w:cs="Arial Unicode MS"/>
        </w:rPr>
      </w:pPr>
      <w:r>
        <w:rPr>
          <w:rFonts w:cs="Arial Unicode MS" w:hint="eastAsia"/>
        </w:rPr>
        <w:t>-</w:t>
      </w:r>
      <w:r>
        <w:rPr>
          <w:rFonts w:cs="Arial Unicode MS" w:hint="eastAsia"/>
        </w:rPr>
        <w:t>无担保。我们的分析与总结并不对任何当地或国外税务局，或法院有约束力。我们的分析与总结是基于我们专业的判断，不能保证最终的税务影响与这份报告中的描述一致。</w:t>
      </w:r>
    </w:p>
    <w:p w14:paraId="702D9130" w14:textId="77777777" w:rsidR="006B4107" w:rsidRDefault="004E70C7">
      <w:pPr>
        <w:adjustRightInd w:val="0"/>
        <w:snapToGrid w:val="0"/>
        <w:spacing w:before="240" w:after="240" w:line="360" w:lineRule="auto"/>
        <w:ind w:firstLine="363"/>
        <w:jc w:val="both"/>
        <w:rPr>
          <w:rFonts w:cs="Arial Unicode MS"/>
        </w:rPr>
      </w:pPr>
      <w:r>
        <w:rPr>
          <w:rFonts w:cs="Arial Unicode MS" w:hint="eastAsia"/>
        </w:rPr>
        <w:lastRenderedPageBreak/>
        <w:t>-</w:t>
      </w:r>
      <w:r>
        <w:rPr>
          <w:rFonts w:cs="Arial Unicode MS" w:hint="eastAsia"/>
        </w:rPr>
        <w:t>法律与投资建议的免责声明。这份报告代表我们的关于税务问题的总结与分析。它并不构成法律或投资建议。我们建议贵公司请有能力的法律与投资顾问协助解决法律与投资问题。</w:t>
      </w:r>
    </w:p>
    <w:p w14:paraId="1F27DDAB" w14:textId="77777777" w:rsidR="006B4107" w:rsidRDefault="004E70C7">
      <w:pPr>
        <w:adjustRightInd w:val="0"/>
        <w:snapToGrid w:val="0"/>
        <w:spacing w:before="240" w:after="240" w:line="360" w:lineRule="auto"/>
        <w:ind w:firstLine="363"/>
        <w:jc w:val="both"/>
        <w:rPr>
          <w:rFonts w:cs="Arial Unicode MS"/>
        </w:rPr>
      </w:pPr>
      <w:r>
        <w:rPr>
          <w:rFonts w:cs="Arial Unicode MS" w:hint="eastAsia"/>
        </w:rPr>
        <w:t>-</w:t>
      </w:r>
      <w:r>
        <w:rPr>
          <w:rFonts w:cs="Arial Unicode MS" w:hint="eastAsia"/>
        </w:rPr>
        <w:t>任何包括在我</w:t>
      </w:r>
      <w:r>
        <w:rPr>
          <w:rFonts w:cs="Arial Unicode MS" w:hint="eastAsia"/>
        </w:rPr>
        <w:t>们的服务合同中的限制性条款将同样适用于本报告。</w:t>
      </w:r>
    </w:p>
    <w:p w14:paraId="576FAD14" w14:textId="77777777" w:rsidR="006B4107" w:rsidRDefault="006B4107">
      <w:pPr>
        <w:adjustRightInd w:val="0"/>
        <w:snapToGrid w:val="0"/>
        <w:spacing w:before="240" w:after="240"/>
        <w:jc w:val="both"/>
        <w:rPr>
          <w:kern w:val="0"/>
        </w:rPr>
      </w:pPr>
    </w:p>
    <w:p w14:paraId="724FCECD" w14:textId="77777777" w:rsidR="006B4107" w:rsidRDefault="006B4107">
      <w:pPr>
        <w:adjustRightInd w:val="0"/>
        <w:snapToGrid w:val="0"/>
        <w:spacing w:before="240" w:after="240"/>
        <w:jc w:val="both"/>
        <w:rPr>
          <w:kern w:val="0"/>
        </w:rPr>
        <w:sectPr w:rsidR="006B4107">
          <w:headerReference w:type="even" r:id="rId23"/>
          <w:headerReference w:type="default" r:id="rId24"/>
          <w:footerReference w:type="default" r:id="rId25"/>
          <w:headerReference w:type="first" r:id="rId26"/>
          <w:pgSz w:w="11907" w:h="16839"/>
          <w:pgMar w:top="1440" w:right="1800" w:bottom="1440" w:left="1800" w:header="720" w:footer="720" w:gutter="0"/>
          <w:pgNumType w:start="1"/>
          <w:cols w:space="720"/>
          <w:docGrid w:type="lines" w:linePitch="360"/>
        </w:sectPr>
      </w:pPr>
    </w:p>
    <w:p w14:paraId="7ABD75F2" w14:textId="77777777" w:rsidR="006B4107" w:rsidRDefault="004E70C7">
      <w:pPr>
        <w:pStyle w:val="1"/>
        <w:rPr>
          <w:rFonts w:ascii="Arial Narrow" w:eastAsia="仿宋_GB2312" w:hAnsi="Arial Narrow"/>
          <w:b w:val="0"/>
          <w:bCs/>
          <w:color w:val="1E4517" w:themeColor="accent4" w:themeShade="80"/>
          <w:sz w:val="28"/>
          <w:szCs w:val="28"/>
        </w:rPr>
      </w:pPr>
      <w:bookmarkStart w:id="161" w:name="_Toc185598819"/>
      <w:bookmarkStart w:id="162" w:name="_Toc140761288"/>
      <w:bookmarkStart w:id="163" w:name="_Toc274825217"/>
      <w:r>
        <w:rPr>
          <w:rFonts w:ascii="Arial Narrow" w:eastAsia="仿宋_GB2312" w:hAnsi="Arial Narrow"/>
          <w:b w:val="0"/>
          <w:bCs/>
          <w:color w:val="1E4517" w:themeColor="accent4" w:themeShade="80"/>
          <w:sz w:val="28"/>
          <w:szCs w:val="28"/>
        </w:rPr>
        <w:lastRenderedPageBreak/>
        <w:t>企业概况</w:t>
      </w:r>
      <w:bookmarkEnd w:id="161"/>
      <w:bookmarkEnd w:id="162"/>
    </w:p>
    <w:p w14:paraId="5162BF45" w14:textId="77777777" w:rsidR="006B4107" w:rsidRDefault="004E70C7">
      <w:pPr>
        <w:pStyle w:val="2"/>
        <w:rPr>
          <w:rFonts w:ascii="Arial Narrow" w:eastAsia="仿宋_GB2312" w:hAnsi="Arial Narrow"/>
          <w:b w:val="0"/>
          <w:bCs w:val="0"/>
          <w:color w:val="002060"/>
          <w:sz w:val="22"/>
          <w:szCs w:val="22"/>
        </w:rPr>
      </w:pPr>
      <w:bookmarkStart w:id="164" w:name="_Toc185598820"/>
      <w:bookmarkStart w:id="165" w:name="_Toc140761289"/>
      <w:bookmarkEnd w:id="163"/>
      <w:r>
        <w:rPr>
          <w:rFonts w:ascii="Arial Narrow" w:eastAsia="仿宋_GB2312" w:hAnsi="Arial Narrow"/>
          <w:b w:val="0"/>
          <w:bCs w:val="0"/>
          <w:color w:val="002060"/>
          <w:sz w:val="22"/>
          <w:szCs w:val="22"/>
        </w:rPr>
        <w:t>集团概况</w:t>
      </w:r>
      <w:r>
        <w:rPr>
          <w:rStyle w:val="affc"/>
          <w:rFonts w:ascii="Arial Narrow" w:eastAsia="仿宋_GB2312" w:hAnsi="Arial Narrow"/>
          <w:b w:val="0"/>
          <w:bCs w:val="0"/>
          <w:color w:val="002060"/>
          <w:sz w:val="22"/>
          <w:szCs w:val="22"/>
        </w:rPr>
        <w:footnoteReference w:id="1"/>
      </w:r>
      <w:bookmarkEnd w:id="164"/>
      <w:bookmarkEnd w:id="165"/>
    </w:p>
    <w:p w14:paraId="5450ABBB" w14:textId="77777777" w:rsidR="006B4107" w:rsidRDefault="004E70C7">
      <w:pPr>
        <w:spacing w:beforeLines="50" w:before="180" w:afterLines="50" w:after="180" w:line="360" w:lineRule="auto"/>
        <w:ind w:firstLineChars="200" w:firstLine="440"/>
        <w:jc w:val="both"/>
        <w:rPr>
          <w:rFonts w:cs="Arial Unicode MS"/>
        </w:rPr>
      </w:pPr>
      <w:bookmarkStart w:id="166" w:name="_Toc48317392"/>
      <w:bookmarkStart w:id="167" w:name="_Toc48317105"/>
      <w:r>
        <w:rPr>
          <w:rFonts w:cs="Arial Unicode MS" w:hint="eastAsia"/>
        </w:rPr>
        <w:t>台湾远东集团于</w:t>
      </w:r>
      <w:r>
        <w:rPr>
          <w:rFonts w:cs="Arial Unicode MS" w:hint="eastAsia"/>
        </w:rPr>
        <w:t>1945</w:t>
      </w:r>
      <w:r>
        <w:rPr>
          <w:rFonts w:cs="Arial Unicode MS" w:hint="eastAsia"/>
        </w:rPr>
        <w:t>年在上海由纺织业起家，后于</w:t>
      </w:r>
      <w:r>
        <w:rPr>
          <w:rFonts w:cs="Arial Unicode MS" w:hint="eastAsia"/>
        </w:rPr>
        <w:t>1949</w:t>
      </w:r>
      <w:r>
        <w:rPr>
          <w:rFonts w:cs="Arial Unicode MS" w:hint="eastAsia"/>
        </w:rPr>
        <w:t>年在台复业，历经半个多世纪的发展已建构成涵盖电子产品、食品、汽车、医疗、石化能源、纺织化纤、水泥建材、零售百货、海陆运输、营造建筑、观光旅馆、金融服务、通讯网络及社会公益等数十个主要事业体系。</w:t>
      </w:r>
    </w:p>
    <w:p w14:paraId="35D913D4" w14:textId="77777777" w:rsidR="006B4107" w:rsidRDefault="004E70C7">
      <w:pPr>
        <w:widowControl w:val="0"/>
        <w:snapToGrid w:val="0"/>
        <w:jc w:val="center"/>
        <w:rPr>
          <w:rFonts w:ascii="仿宋" w:eastAsia="仿宋" w:hAnsi="仿宋"/>
          <w:b/>
          <w:bCs/>
        </w:rPr>
      </w:pPr>
      <w:r>
        <w:rPr>
          <w:rFonts w:ascii="仿宋" w:eastAsia="仿宋" w:hAnsi="仿宋" w:hint="eastAsia"/>
          <w:b/>
          <w:bCs/>
        </w:rPr>
        <w:t>图表</w:t>
      </w:r>
      <w:r>
        <w:rPr>
          <w:rFonts w:eastAsia="仿宋" w:cs="Arial Narrow"/>
          <w:b/>
          <w:bCs/>
        </w:rPr>
        <w:t>2</w:t>
      </w:r>
      <w:r>
        <w:rPr>
          <w:rFonts w:ascii="仿宋" w:eastAsia="仿宋" w:hAnsi="仿宋" w:hint="eastAsia"/>
          <w:b/>
          <w:bCs/>
        </w:rPr>
        <w:t>：</w:t>
      </w:r>
      <w:r>
        <w:rPr>
          <w:rFonts w:ascii="仿宋" w:eastAsia="仿宋" w:hAnsi="仿宋" w:hint="eastAsia"/>
          <w:b/>
          <w:bCs/>
        </w:rPr>
        <w:t>2023</w:t>
      </w:r>
      <w:r>
        <w:rPr>
          <w:rFonts w:ascii="仿宋" w:eastAsia="仿宋" w:hAnsi="仿宋" w:hint="eastAsia"/>
          <w:b/>
          <w:bCs/>
        </w:rPr>
        <w:t>年度台湾远东集团纺织化纤事业部主要股权架构</w:t>
      </w:r>
    </w:p>
    <w:p w14:paraId="63DA7F42" w14:textId="77777777" w:rsidR="006B4107" w:rsidRDefault="004E70C7">
      <w:pPr>
        <w:spacing w:beforeLines="50" w:before="180" w:afterLines="50" w:after="180" w:line="360" w:lineRule="auto"/>
        <w:ind w:firstLineChars="200" w:firstLine="440"/>
        <w:jc w:val="both"/>
        <w:rPr>
          <w:rFonts w:cs="Arial Unicode MS"/>
        </w:rPr>
      </w:pPr>
      <w:r>
        <w:rPr>
          <w:rFonts w:cs="Arial Unicode MS"/>
          <w:noProof/>
        </w:rPr>
        <w:drawing>
          <wp:inline distT="0" distB="0" distL="0" distR="0" wp14:anchorId="6544DF35" wp14:editId="1E33E207">
            <wp:extent cx="5422265" cy="2476500"/>
            <wp:effectExtent l="0" t="0" r="698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5426056" cy="2478206"/>
                    </a:xfrm>
                    <a:prstGeom prst="rect">
                      <a:avLst/>
                    </a:prstGeom>
                    <a:noFill/>
                    <a:ln>
                      <a:noFill/>
                    </a:ln>
                  </pic:spPr>
                </pic:pic>
              </a:graphicData>
            </a:graphic>
          </wp:inline>
        </w:drawing>
      </w:r>
    </w:p>
    <w:p w14:paraId="5050FF9C" w14:textId="77777777" w:rsidR="006B4107" w:rsidRDefault="004E70C7">
      <w:pPr>
        <w:pStyle w:val="2"/>
        <w:rPr>
          <w:rFonts w:ascii="Arial Narrow" w:eastAsia="仿宋_GB2312" w:hAnsi="Arial Narrow"/>
          <w:b w:val="0"/>
          <w:bCs w:val="0"/>
          <w:color w:val="002060"/>
          <w:sz w:val="22"/>
          <w:szCs w:val="22"/>
        </w:rPr>
      </w:pPr>
      <w:bookmarkStart w:id="168" w:name="_Toc140761290"/>
      <w:bookmarkStart w:id="169" w:name="_Toc185598822"/>
      <w:bookmarkEnd w:id="166"/>
      <w:bookmarkEnd w:id="167"/>
      <w:r>
        <w:rPr>
          <w:rFonts w:ascii="Arial Narrow" w:eastAsia="仿宋_GB2312" w:hAnsi="Arial Narrow"/>
          <w:b w:val="0"/>
          <w:bCs w:val="0"/>
          <w:color w:val="002060"/>
          <w:sz w:val="22"/>
          <w:szCs w:val="22"/>
        </w:rPr>
        <w:t>公司概况</w:t>
      </w:r>
      <w:bookmarkEnd w:id="168"/>
      <w:bookmarkEnd w:id="169"/>
    </w:p>
    <w:p w14:paraId="4E6AEE72" w14:textId="77777777" w:rsidR="006B4107" w:rsidRDefault="004E70C7">
      <w:pPr>
        <w:pStyle w:val="3"/>
        <w:rPr>
          <w:rFonts w:ascii="Arial Narrow" w:eastAsia="仿宋_GB2312" w:hAnsi="Arial Narrow"/>
          <w:b w:val="0"/>
          <w:bCs w:val="0"/>
          <w:color w:val="002060"/>
          <w:sz w:val="22"/>
          <w:szCs w:val="22"/>
        </w:rPr>
      </w:pPr>
      <w:bookmarkStart w:id="170" w:name="_Toc185598823"/>
      <w:bookmarkStart w:id="171" w:name="_Toc140761291"/>
      <w:r>
        <w:rPr>
          <w:rFonts w:ascii="Arial Narrow" w:eastAsia="仿宋_GB2312" w:hAnsi="Arial Narrow"/>
          <w:b w:val="0"/>
          <w:bCs w:val="0"/>
          <w:color w:val="002060"/>
          <w:sz w:val="22"/>
          <w:szCs w:val="22"/>
        </w:rPr>
        <w:t>公司基本信息</w:t>
      </w:r>
      <w:bookmarkEnd w:id="170"/>
      <w:bookmarkEnd w:id="171"/>
    </w:p>
    <w:p w14:paraId="774A5F08" w14:textId="77777777" w:rsidR="006B4107" w:rsidRDefault="004E70C7">
      <w:pPr>
        <w:spacing w:beforeLines="50" w:before="180" w:afterLines="50" w:after="180" w:line="360" w:lineRule="auto"/>
        <w:ind w:firstLineChars="200" w:firstLine="440"/>
        <w:jc w:val="both"/>
        <w:rPr>
          <w:rFonts w:cs="Arial Unicode MS"/>
        </w:rPr>
      </w:pPr>
      <w:proofErr w:type="gramStart"/>
      <w:r>
        <w:rPr>
          <w:rFonts w:cs="Arial Unicode MS" w:hint="eastAsia"/>
        </w:rPr>
        <w:t>远化物流</w:t>
      </w:r>
      <w:proofErr w:type="gramEnd"/>
      <w:r>
        <w:rPr>
          <w:rFonts w:cs="Arial Unicode MS"/>
        </w:rPr>
        <w:t>的基本信息详见下表。</w:t>
      </w:r>
    </w:p>
    <w:p w14:paraId="7B2CAB04" w14:textId="77777777" w:rsidR="006B4107" w:rsidRDefault="004E70C7">
      <w:pPr>
        <w:pStyle w:val="a6"/>
        <w:keepNext/>
        <w:jc w:val="center"/>
        <w:rPr>
          <w:rFonts w:ascii="仿宋" w:eastAsia="仿宋" w:hAnsi="仿宋"/>
        </w:rPr>
      </w:pPr>
      <w:bookmarkStart w:id="172" w:name="_Toc48317210"/>
      <w:bookmarkStart w:id="173" w:name="_Toc48582931"/>
      <w:bookmarkStart w:id="174" w:name="_Toc48582929"/>
      <w:bookmarkStart w:id="175" w:name="_Toc48317212"/>
      <w:bookmarkStart w:id="176" w:name="_Toc48582516"/>
      <w:bookmarkStart w:id="177" w:name="_Toc48317397"/>
      <w:bookmarkStart w:id="178" w:name="_Toc48399532"/>
      <w:bookmarkStart w:id="179" w:name="_Toc48399533"/>
      <w:bookmarkStart w:id="180" w:name="_Toc48399534"/>
      <w:bookmarkStart w:id="181" w:name="_Toc48317209"/>
      <w:bookmarkStart w:id="182" w:name="_Toc48317396"/>
      <w:bookmarkStart w:id="183" w:name="_Toc48399535"/>
      <w:bookmarkStart w:id="184" w:name="_Toc48317394"/>
      <w:bookmarkStart w:id="185" w:name="_Toc48317395"/>
      <w:bookmarkStart w:id="186" w:name="_Toc48582515"/>
      <w:bookmarkStart w:id="187" w:name="_Toc48582518"/>
      <w:bookmarkStart w:id="188" w:name="_Toc48582930"/>
      <w:bookmarkStart w:id="189" w:name="_Toc48317211"/>
      <w:bookmarkStart w:id="190" w:name="_Toc48582517"/>
      <w:bookmarkStart w:id="191" w:name="_Toc48582928"/>
      <w:bookmarkStart w:id="192" w:name="_Hlk50481429"/>
      <w:bookmarkStart w:id="193" w:name="_Toc48317398"/>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r>
        <w:rPr>
          <w:rFonts w:ascii="仿宋" w:eastAsia="仿宋" w:hAnsi="仿宋"/>
        </w:rPr>
        <w:t>图表</w:t>
      </w:r>
      <w:bookmarkEnd w:id="192"/>
      <w:r>
        <w:rPr>
          <w:rFonts w:eastAsia="仿宋" w:cs="Arial Narrow"/>
        </w:rPr>
        <w:t>3</w:t>
      </w:r>
      <w:r>
        <w:rPr>
          <w:rFonts w:ascii="仿宋" w:eastAsia="仿宋" w:hAnsi="仿宋"/>
        </w:rPr>
        <w:t>：</w:t>
      </w:r>
      <w:proofErr w:type="gramStart"/>
      <w:r>
        <w:rPr>
          <w:rFonts w:ascii="仿宋" w:eastAsia="仿宋" w:hAnsi="仿宋" w:hint="eastAsia"/>
        </w:rPr>
        <w:t>远化物流</w:t>
      </w:r>
      <w:proofErr w:type="gramEnd"/>
      <w:r>
        <w:rPr>
          <w:rFonts w:ascii="仿宋" w:eastAsia="仿宋" w:hAnsi="仿宋"/>
        </w:rPr>
        <w:t>基本信息</w:t>
      </w:r>
    </w:p>
    <w:tbl>
      <w:tblPr>
        <w:tblW w:w="818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6312"/>
      </w:tblGrid>
      <w:tr w:rsidR="006B4107" w14:paraId="1B9195FA" w14:textId="77777777">
        <w:trPr>
          <w:trHeight w:hRule="exact" w:val="454"/>
        </w:trPr>
        <w:tc>
          <w:tcPr>
            <w:tcW w:w="1872" w:type="dxa"/>
            <w:shd w:val="clear" w:color="auto" w:fill="002060"/>
            <w:vAlign w:val="center"/>
          </w:tcPr>
          <w:p w14:paraId="7BA9B50E" w14:textId="77777777" w:rsidR="006B4107" w:rsidRDefault="004E70C7">
            <w:pPr>
              <w:widowControl w:val="0"/>
              <w:snapToGrid w:val="0"/>
              <w:jc w:val="both"/>
              <w:rPr>
                <w:rFonts w:ascii="仿宋" w:eastAsia="仿宋" w:hAnsi="仿宋"/>
                <w:b/>
                <w:color w:val="FFFFFF" w:themeColor="background1"/>
              </w:rPr>
            </w:pPr>
            <w:r>
              <w:rPr>
                <w:rFonts w:ascii="仿宋" w:eastAsia="仿宋" w:hAnsi="仿宋"/>
                <w:b/>
                <w:color w:val="FFFFFF" w:themeColor="background1"/>
              </w:rPr>
              <w:t>公司名称</w:t>
            </w:r>
          </w:p>
        </w:tc>
        <w:tc>
          <w:tcPr>
            <w:tcW w:w="6312" w:type="dxa"/>
            <w:vAlign w:val="center"/>
          </w:tcPr>
          <w:p w14:paraId="3893DCFD" w14:textId="77777777" w:rsidR="006B4107" w:rsidRDefault="004E70C7">
            <w:pPr>
              <w:jc w:val="both"/>
              <w:rPr>
                <w:rFonts w:cs="楷体"/>
                <w:color w:val="000000"/>
              </w:rPr>
            </w:pPr>
            <w:r>
              <w:rPr>
                <w:rFonts w:cs="楷体" w:hint="eastAsia"/>
                <w:color w:val="000000"/>
              </w:rPr>
              <w:t>上海远化物流</w:t>
            </w:r>
            <w:r>
              <w:rPr>
                <w:rFonts w:cs="楷体"/>
                <w:color w:val="000000"/>
              </w:rPr>
              <w:t>有限公司</w:t>
            </w:r>
          </w:p>
        </w:tc>
      </w:tr>
      <w:tr w:rsidR="006B4107" w14:paraId="1E07E49A" w14:textId="77777777">
        <w:trPr>
          <w:trHeight w:hRule="exact" w:val="507"/>
        </w:trPr>
        <w:tc>
          <w:tcPr>
            <w:tcW w:w="1872" w:type="dxa"/>
            <w:shd w:val="clear" w:color="auto" w:fill="002060"/>
            <w:vAlign w:val="center"/>
          </w:tcPr>
          <w:p w14:paraId="3B3356E9" w14:textId="77777777" w:rsidR="006B4107" w:rsidRDefault="004E70C7">
            <w:pPr>
              <w:widowControl w:val="0"/>
              <w:snapToGrid w:val="0"/>
              <w:jc w:val="both"/>
              <w:rPr>
                <w:rFonts w:ascii="仿宋" w:eastAsia="仿宋" w:hAnsi="仿宋"/>
                <w:b/>
                <w:color w:val="FFFFFF" w:themeColor="background1"/>
              </w:rPr>
            </w:pPr>
            <w:r>
              <w:rPr>
                <w:rFonts w:ascii="仿宋" w:eastAsia="仿宋" w:hAnsi="仿宋"/>
                <w:b/>
                <w:color w:val="FFFFFF" w:themeColor="background1"/>
              </w:rPr>
              <w:t>经营地址</w:t>
            </w:r>
          </w:p>
        </w:tc>
        <w:tc>
          <w:tcPr>
            <w:tcW w:w="6312" w:type="dxa"/>
            <w:vAlign w:val="center"/>
          </w:tcPr>
          <w:p w14:paraId="3B9A003C" w14:textId="77777777" w:rsidR="006B4107" w:rsidRDefault="004E70C7">
            <w:pPr>
              <w:jc w:val="both"/>
              <w:rPr>
                <w:rFonts w:cs="楷体"/>
                <w:color w:val="000000"/>
              </w:rPr>
            </w:pPr>
            <w:r>
              <w:rPr>
                <w:rFonts w:cs="楷体" w:hint="eastAsia"/>
                <w:color w:val="000000"/>
              </w:rPr>
              <w:t>上海市奉贤区星火开发区白沙路</w:t>
            </w:r>
            <w:r>
              <w:rPr>
                <w:rFonts w:cs="楷体" w:hint="eastAsia"/>
                <w:color w:val="000000"/>
              </w:rPr>
              <w:t>198</w:t>
            </w:r>
            <w:r>
              <w:rPr>
                <w:rFonts w:cs="楷体" w:hint="eastAsia"/>
                <w:color w:val="000000"/>
              </w:rPr>
              <w:t>号</w:t>
            </w:r>
          </w:p>
        </w:tc>
      </w:tr>
      <w:tr w:rsidR="006B4107" w14:paraId="26B6FCDD" w14:textId="77777777">
        <w:trPr>
          <w:trHeight w:hRule="exact" w:val="454"/>
        </w:trPr>
        <w:tc>
          <w:tcPr>
            <w:tcW w:w="1872" w:type="dxa"/>
            <w:shd w:val="clear" w:color="auto" w:fill="002060"/>
            <w:vAlign w:val="center"/>
          </w:tcPr>
          <w:p w14:paraId="2FD9A384" w14:textId="77777777" w:rsidR="006B4107" w:rsidRDefault="004E70C7">
            <w:pPr>
              <w:widowControl w:val="0"/>
              <w:snapToGrid w:val="0"/>
              <w:jc w:val="both"/>
              <w:rPr>
                <w:rFonts w:ascii="仿宋" w:eastAsia="仿宋" w:hAnsi="仿宋"/>
                <w:b/>
                <w:color w:val="FFFFFF" w:themeColor="background1"/>
              </w:rPr>
            </w:pPr>
            <w:r>
              <w:rPr>
                <w:rFonts w:ascii="仿宋" w:eastAsia="仿宋" w:hAnsi="仿宋"/>
                <w:b/>
                <w:color w:val="FFFFFF" w:themeColor="background1"/>
              </w:rPr>
              <w:t>成立日期</w:t>
            </w:r>
          </w:p>
        </w:tc>
        <w:tc>
          <w:tcPr>
            <w:tcW w:w="6312" w:type="dxa"/>
            <w:vAlign w:val="center"/>
          </w:tcPr>
          <w:p w14:paraId="4B62C1F0" w14:textId="77777777" w:rsidR="006B4107" w:rsidRDefault="004E70C7">
            <w:pPr>
              <w:jc w:val="both"/>
              <w:rPr>
                <w:rFonts w:cs="楷体"/>
                <w:color w:val="000000"/>
              </w:rPr>
            </w:pPr>
            <w:r>
              <w:rPr>
                <w:rFonts w:cs="楷体"/>
                <w:color w:val="000000"/>
              </w:rPr>
              <w:t>20</w:t>
            </w:r>
            <w:r>
              <w:rPr>
                <w:rFonts w:cs="楷体" w:hint="eastAsia"/>
                <w:color w:val="000000"/>
              </w:rPr>
              <w:t>06</w:t>
            </w:r>
            <w:r>
              <w:rPr>
                <w:rFonts w:cs="楷体"/>
                <w:color w:val="000000"/>
              </w:rPr>
              <w:t>年</w:t>
            </w:r>
            <w:r>
              <w:rPr>
                <w:rFonts w:cs="楷体"/>
                <w:color w:val="000000"/>
              </w:rPr>
              <w:t>0</w:t>
            </w:r>
            <w:r>
              <w:rPr>
                <w:rFonts w:cs="楷体" w:hint="eastAsia"/>
                <w:color w:val="000000"/>
              </w:rPr>
              <w:t>3</w:t>
            </w:r>
            <w:r>
              <w:rPr>
                <w:rFonts w:cs="楷体"/>
                <w:color w:val="000000"/>
              </w:rPr>
              <w:t>月</w:t>
            </w:r>
            <w:r>
              <w:rPr>
                <w:rFonts w:cs="楷体"/>
                <w:color w:val="000000"/>
              </w:rPr>
              <w:t>0</w:t>
            </w:r>
            <w:r>
              <w:rPr>
                <w:rFonts w:cs="楷体" w:hint="eastAsia"/>
                <w:color w:val="000000"/>
              </w:rPr>
              <w:t>2</w:t>
            </w:r>
            <w:r>
              <w:rPr>
                <w:rFonts w:cs="楷体"/>
                <w:color w:val="000000"/>
              </w:rPr>
              <w:t>日</w:t>
            </w:r>
          </w:p>
        </w:tc>
      </w:tr>
      <w:tr w:rsidR="006B4107" w14:paraId="128061E3" w14:textId="77777777">
        <w:trPr>
          <w:trHeight w:hRule="exact" w:val="454"/>
        </w:trPr>
        <w:tc>
          <w:tcPr>
            <w:tcW w:w="1872" w:type="dxa"/>
            <w:tcBorders>
              <w:bottom w:val="single" w:sz="4" w:space="0" w:color="FFFFFF" w:themeColor="background1"/>
            </w:tcBorders>
            <w:shd w:val="clear" w:color="auto" w:fill="002060"/>
            <w:vAlign w:val="center"/>
          </w:tcPr>
          <w:p w14:paraId="550F7A9B" w14:textId="77777777" w:rsidR="006B4107" w:rsidRDefault="004E70C7">
            <w:pPr>
              <w:widowControl w:val="0"/>
              <w:snapToGrid w:val="0"/>
              <w:jc w:val="both"/>
              <w:rPr>
                <w:rFonts w:ascii="仿宋" w:eastAsia="仿宋" w:hAnsi="仿宋"/>
                <w:b/>
                <w:color w:val="FFFFFF" w:themeColor="background1"/>
              </w:rPr>
            </w:pPr>
            <w:r>
              <w:rPr>
                <w:rFonts w:ascii="仿宋" w:eastAsia="仿宋" w:hAnsi="仿宋"/>
                <w:b/>
                <w:color w:val="FFFFFF" w:themeColor="background1"/>
              </w:rPr>
              <w:t>公司类型</w:t>
            </w:r>
          </w:p>
        </w:tc>
        <w:tc>
          <w:tcPr>
            <w:tcW w:w="6312" w:type="dxa"/>
            <w:vAlign w:val="center"/>
          </w:tcPr>
          <w:p w14:paraId="4DDF81B9" w14:textId="77777777" w:rsidR="006B4107" w:rsidRDefault="004E70C7">
            <w:pPr>
              <w:jc w:val="both"/>
              <w:rPr>
                <w:rFonts w:cs="楷体"/>
                <w:color w:val="000000"/>
              </w:rPr>
            </w:pPr>
            <w:r>
              <w:rPr>
                <w:rFonts w:cs="楷体"/>
                <w:color w:val="000000"/>
              </w:rPr>
              <w:t>有限责任公司</w:t>
            </w:r>
          </w:p>
        </w:tc>
      </w:tr>
      <w:tr w:rsidR="006B4107" w14:paraId="04C59584" w14:textId="77777777">
        <w:trPr>
          <w:trHeight w:hRule="exact" w:val="454"/>
        </w:trPr>
        <w:tc>
          <w:tcPr>
            <w:tcW w:w="1872" w:type="dxa"/>
            <w:tcBorders>
              <w:top w:val="single" w:sz="4" w:space="0" w:color="FFFFFF" w:themeColor="background1"/>
            </w:tcBorders>
            <w:shd w:val="clear" w:color="auto" w:fill="002060"/>
            <w:vAlign w:val="center"/>
          </w:tcPr>
          <w:p w14:paraId="62380679" w14:textId="77777777" w:rsidR="006B4107" w:rsidRDefault="004E70C7">
            <w:pPr>
              <w:widowControl w:val="0"/>
              <w:snapToGrid w:val="0"/>
              <w:jc w:val="both"/>
              <w:rPr>
                <w:rFonts w:ascii="仿宋" w:eastAsia="仿宋" w:hAnsi="仿宋"/>
                <w:b/>
                <w:color w:val="FFFFFF" w:themeColor="background1"/>
              </w:rPr>
            </w:pPr>
            <w:r>
              <w:rPr>
                <w:rFonts w:ascii="仿宋" w:eastAsia="仿宋" w:hAnsi="仿宋"/>
                <w:b/>
                <w:color w:val="FFFFFF" w:themeColor="background1"/>
              </w:rPr>
              <w:t>投资方</w:t>
            </w:r>
          </w:p>
        </w:tc>
        <w:tc>
          <w:tcPr>
            <w:tcW w:w="6312" w:type="dxa"/>
            <w:vAlign w:val="center"/>
          </w:tcPr>
          <w:p w14:paraId="1A5D34F7" w14:textId="77777777" w:rsidR="006B4107" w:rsidRDefault="004E70C7">
            <w:pPr>
              <w:jc w:val="both"/>
              <w:rPr>
                <w:rFonts w:cs="楷体"/>
                <w:color w:val="000000"/>
              </w:rPr>
            </w:pPr>
            <w:r>
              <w:rPr>
                <w:rFonts w:cs="楷体" w:hint="eastAsia"/>
                <w:color w:val="000000"/>
              </w:rPr>
              <w:t>远纺工业（上海）有限公司</w:t>
            </w:r>
          </w:p>
        </w:tc>
      </w:tr>
      <w:tr w:rsidR="006B4107" w14:paraId="3D51DC3A" w14:textId="77777777">
        <w:trPr>
          <w:trHeight w:hRule="exact" w:val="454"/>
        </w:trPr>
        <w:tc>
          <w:tcPr>
            <w:tcW w:w="1872" w:type="dxa"/>
            <w:shd w:val="clear" w:color="auto" w:fill="002060"/>
            <w:vAlign w:val="center"/>
          </w:tcPr>
          <w:p w14:paraId="2B059BC2" w14:textId="77777777" w:rsidR="006B4107" w:rsidRDefault="004E70C7">
            <w:pPr>
              <w:widowControl w:val="0"/>
              <w:snapToGrid w:val="0"/>
              <w:jc w:val="both"/>
              <w:rPr>
                <w:rFonts w:ascii="仿宋" w:eastAsia="仿宋" w:hAnsi="仿宋"/>
                <w:b/>
                <w:color w:val="FFFFFF" w:themeColor="background1"/>
              </w:rPr>
            </w:pPr>
            <w:r>
              <w:rPr>
                <w:rFonts w:ascii="仿宋" w:eastAsia="仿宋" w:hAnsi="仿宋"/>
                <w:b/>
                <w:color w:val="FFFFFF" w:themeColor="background1"/>
              </w:rPr>
              <w:t>经营期限</w:t>
            </w:r>
          </w:p>
        </w:tc>
        <w:tc>
          <w:tcPr>
            <w:tcW w:w="6312" w:type="dxa"/>
            <w:vAlign w:val="center"/>
          </w:tcPr>
          <w:p w14:paraId="11351ACD" w14:textId="77777777" w:rsidR="006B4107" w:rsidRDefault="004E70C7">
            <w:pPr>
              <w:jc w:val="both"/>
              <w:rPr>
                <w:rFonts w:cs="楷体"/>
                <w:color w:val="000000"/>
              </w:rPr>
            </w:pPr>
            <w:r>
              <w:rPr>
                <w:rFonts w:cs="楷体" w:hint="eastAsia"/>
                <w:color w:val="000000"/>
              </w:rPr>
              <w:t>50</w:t>
            </w:r>
            <w:r>
              <w:rPr>
                <w:rFonts w:cs="楷体"/>
                <w:color w:val="000000"/>
              </w:rPr>
              <w:t>年</w:t>
            </w:r>
          </w:p>
        </w:tc>
      </w:tr>
      <w:tr w:rsidR="006B4107" w14:paraId="059A34B0" w14:textId="77777777">
        <w:trPr>
          <w:trHeight w:hRule="exact" w:val="454"/>
        </w:trPr>
        <w:tc>
          <w:tcPr>
            <w:tcW w:w="1872" w:type="dxa"/>
            <w:shd w:val="clear" w:color="auto" w:fill="002060"/>
            <w:vAlign w:val="center"/>
          </w:tcPr>
          <w:p w14:paraId="087A67ED" w14:textId="77777777" w:rsidR="006B4107" w:rsidRDefault="004E70C7">
            <w:pPr>
              <w:widowControl w:val="0"/>
              <w:snapToGrid w:val="0"/>
              <w:jc w:val="both"/>
              <w:rPr>
                <w:rFonts w:ascii="仿宋" w:eastAsia="仿宋" w:hAnsi="仿宋"/>
                <w:b/>
                <w:color w:val="FFFFFF" w:themeColor="background1"/>
              </w:rPr>
            </w:pPr>
            <w:r>
              <w:rPr>
                <w:rFonts w:ascii="仿宋" w:eastAsia="仿宋" w:hAnsi="仿宋"/>
                <w:b/>
                <w:color w:val="FFFFFF" w:themeColor="background1"/>
              </w:rPr>
              <w:lastRenderedPageBreak/>
              <w:t>注册资本</w:t>
            </w:r>
          </w:p>
        </w:tc>
        <w:tc>
          <w:tcPr>
            <w:tcW w:w="6312" w:type="dxa"/>
            <w:vAlign w:val="center"/>
          </w:tcPr>
          <w:p w14:paraId="5AF1B42E" w14:textId="77777777" w:rsidR="006B4107" w:rsidRDefault="004E70C7">
            <w:pPr>
              <w:jc w:val="both"/>
              <w:rPr>
                <w:rFonts w:cs="楷体"/>
                <w:color w:val="000000"/>
              </w:rPr>
            </w:pPr>
            <w:r>
              <w:rPr>
                <w:rFonts w:cs="楷体" w:hint="eastAsia"/>
                <w:color w:val="000000"/>
              </w:rPr>
              <w:t>1</w:t>
            </w:r>
            <w:r>
              <w:rPr>
                <w:rFonts w:cs="楷体"/>
                <w:color w:val="000000"/>
              </w:rPr>
              <w:t>,900</w:t>
            </w:r>
            <w:r>
              <w:rPr>
                <w:rFonts w:cs="楷体"/>
                <w:color w:val="000000"/>
              </w:rPr>
              <w:t>万元</w:t>
            </w:r>
          </w:p>
        </w:tc>
      </w:tr>
      <w:tr w:rsidR="006B4107" w14:paraId="1188E16D" w14:textId="77777777">
        <w:trPr>
          <w:trHeight w:hRule="exact" w:val="3229"/>
        </w:trPr>
        <w:tc>
          <w:tcPr>
            <w:tcW w:w="1872" w:type="dxa"/>
            <w:shd w:val="clear" w:color="auto" w:fill="002060"/>
            <w:vAlign w:val="center"/>
          </w:tcPr>
          <w:p w14:paraId="07E3ED9A" w14:textId="77777777" w:rsidR="006B4107" w:rsidRDefault="004E70C7">
            <w:pPr>
              <w:widowControl w:val="0"/>
              <w:snapToGrid w:val="0"/>
              <w:jc w:val="both"/>
              <w:rPr>
                <w:rFonts w:ascii="仿宋" w:eastAsia="仿宋" w:hAnsi="仿宋"/>
                <w:b/>
                <w:color w:val="FFFFFF" w:themeColor="background1"/>
              </w:rPr>
            </w:pPr>
            <w:r>
              <w:rPr>
                <w:rFonts w:ascii="仿宋" w:eastAsia="仿宋" w:hAnsi="仿宋"/>
                <w:b/>
                <w:color w:val="FFFFFF" w:themeColor="background1"/>
              </w:rPr>
              <w:t>主要经营活动</w:t>
            </w:r>
          </w:p>
        </w:tc>
        <w:tc>
          <w:tcPr>
            <w:tcW w:w="6312" w:type="dxa"/>
            <w:vAlign w:val="center"/>
          </w:tcPr>
          <w:p w14:paraId="4E1EE01F" w14:textId="77777777" w:rsidR="006B4107" w:rsidRDefault="004E70C7">
            <w:pPr>
              <w:jc w:val="both"/>
              <w:rPr>
                <w:rFonts w:cs="楷体"/>
                <w:color w:val="000000"/>
              </w:rPr>
            </w:pPr>
            <w:r>
              <w:rPr>
                <w:rFonts w:cs="楷体" w:hint="eastAsia"/>
                <w:color w:val="000000"/>
              </w:rPr>
              <w:t>国内货物运输代理；装卸搬运；包装服务；小微型客车租赁经营服务；停车场服务；运输设备租赁服务；机动车修理和维护；家政服务；劳务服务（不含劳务派遣）；单位后勤管理服务；城市绿化管理；专业保洁、清洗、消毒服务；租赁服务（不含许可类租赁服务）；普通货物仓储服务（不含危险化学品等需许可审批的项目）。（除依法须经批准的项目外，凭营业执照依法自主开展经营活动）许可项目：道路货物运输（不含危险货物）；特种设备安装改造修理。（依法须经批准的项目，经相关部门批准后方可开展经营活动，具体经营项目以相关部门批准文件或许可证件为准）</w:t>
            </w:r>
          </w:p>
        </w:tc>
      </w:tr>
      <w:tr w:rsidR="006B4107" w14:paraId="1CD19D65" w14:textId="77777777">
        <w:trPr>
          <w:trHeight w:hRule="exact" w:val="704"/>
        </w:trPr>
        <w:tc>
          <w:tcPr>
            <w:tcW w:w="1872" w:type="dxa"/>
            <w:shd w:val="clear" w:color="auto" w:fill="002060"/>
            <w:vAlign w:val="center"/>
          </w:tcPr>
          <w:p w14:paraId="4B3CD61C" w14:textId="77777777" w:rsidR="006B4107" w:rsidRDefault="004E70C7">
            <w:pPr>
              <w:widowControl w:val="0"/>
              <w:snapToGrid w:val="0"/>
              <w:jc w:val="both"/>
              <w:rPr>
                <w:rFonts w:ascii="仿宋" w:eastAsia="仿宋" w:hAnsi="仿宋"/>
                <w:b/>
                <w:color w:val="FFFFFF" w:themeColor="background1"/>
              </w:rPr>
            </w:pPr>
            <w:r>
              <w:rPr>
                <w:rFonts w:ascii="仿宋" w:eastAsia="仿宋" w:hAnsi="仿宋"/>
                <w:b/>
                <w:color w:val="FFFFFF" w:themeColor="background1"/>
              </w:rPr>
              <w:t>2023</w:t>
            </w:r>
            <w:r>
              <w:rPr>
                <w:rFonts w:ascii="仿宋" w:eastAsia="仿宋" w:hAnsi="仿宋"/>
                <w:b/>
                <w:color w:val="FFFFFF" w:themeColor="background1"/>
              </w:rPr>
              <w:t>年度适用的企业所得税率</w:t>
            </w:r>
          </w:p>
        </w:tc>
        <w:tc>
          <w:tcPr>
            <w:tcW w:w="6312" w:type="dxa"/>
            <w:vAlign w:val="center"/>
          </w:tcPr>
          <w:p w14:paraId="77EEBCE5" w14:textId="77777777" w:rsidR="006B4107" w:rsidRDefault="004E70C7">
            <w:pPr>
              <w:jc w:val="both"/>
              <w:rPr>
                <w:rFonts w:cs="楷体"/>
                <w:color w:val="000000"/>
              </w:rPr>
            </w:pPr>
            <w:r>
              <w:rPr>
                <w:rFonts w:cs="楷体" w:hint="eastAsia"/>
                <w:color w:val="000000"/>
              </w:rPr>
              <w:t>25</w:t>
            </w:r>
            <w:r>
              <w:rPr>
                <w:rFonts w:cs="楷体"/>
                <w:color w:val="000000"/>
              </w:rPr>
              <w:t>%</w:t>
            </w:r>
          </w:p>
        </w:tc>
      </w:tr>
    </w:tbl>
    <w:p w14:paraId="308FFD70" w14:textId="77777777" w:rsidR="006B4107" w:rsidRDefault="004E70C7">
      <w:pPr>
        <w:jc w:val="both"/>
        <w:rPr>
          <w:rFonts w:cs="STXihei,Italic"/>
          <w:i/>
          <w:iCs/>
          <w:sz w:val="16"/>
          <w:szCs w:val="16"/>
        </w:rPr>
      </w:pPr>
      <w:r>
        <w:rPr>
          <w:rFonts w:cs="STXihei,Italic"/>
          <w:i/>
          <w:iCs/>
          <w:sz w:val="16"/>
          <w:szCs w:val="16"/>
        </w:rPr>
        <w:t>信息来源：</w:t>
      </w:r>
      <w:proofErr w:type="gramStart"/>
      <w:r>
        <w:rPr>
          <w:rFonts w:cs="STXihei,Italic" w:hint="eastAsia"/>
          <w:i/>
          <w:iCs/>
          <w:sz w:val="16"/>
          <w:szCs w:val="16"/>
        </w:rPr>
        <w:t>远化物流</w:t>
      </w:r>
      <w:proofErr w:type="gramEnd"/>
      <w:r>
        <w:rPr>
          <w:rFonts w:cs="STXihei,Italic"/>
          <w:i/>
          <w:iCs/>
          <w:sz w:val="16"/>
          <w:szCs w:val="16"/>
        </w:rPr>
        <w:t>2023</w:t>
      </w:r>
      <w:r>
        <w:rPr>
          <w:rFonts w:cs="STXihei,Italic"/>
          <w:i/>
          <w:iCs/>
          <w:sz w:val="16"/>
          <w:szCs w:val="16"/>
        </w:rPr>
        <w:t>年度营业执照和审计报告</w:t>
      </w:r>
    </w:p>
    <w:p w14:paraId="1EFA920C" w14:textId="77777777" w:rsidR="006B4107" w:rsidRDefault="004E70C7">
      <w:pPr>
        <w:pStyle w:val="3"/>
        <w:rPr>
          <w:rFonts w:ascii="Arial Narrow" w:eastAsia="仿宋_GB2312" w:hAnsi="Arial Narrow"/>
          <w:b w:val="0"/>
          <w:bCs w:val="0"/>
          <w:color w:val="002060"/>
          <w:sz w:val="22"/>
          <w:szCs w:val="22"/>
        </w:rPr>
      </w:pPr>
      <w:bookmarkStart w:id="194" w:name="_Toc140761292"/>
      <w:bookmarkStart w:id="195" w:name="_Toc185598824"/>
      <w:bookmarkEnd w:id="193"/>
      <w:r>
        <w:rPr>
          <w:rFonts w:ascii="Arial Narrow" w:eastAsia="仿宋_GB2312" w:hAnsi="Arial Narrow"/>
          <w:b w:val="0"/>
          <w:bCs w:val="0"/>
          <w:color w:val="002060"/>
          <w:sz w:val="22"/>
          <w:szCs w:val="22"/>
        </w:rPr>
        <w:t>公司组织结构图和主要部门</w:t>
      </w:r>
      <w:bookmarkEnd w:id="194"/>
      <w:bookmarkEnd w:id="195"/>
    </w:p>
    <w:p w14:paraId="0DC1A078" w14:textId="77777777" w:rsidR="006B4107" w:rsidRDefault="004E70C7">
      <w:pPr>
        <w:spacing w:beforeLines="50" w:before="180" w:afterLines="50" w:after="180" w:line="360" w:lineRule="auto"/>
        <w:ind w:firstLineChars="200" w:firstLine="440"/>
        <w:jc w:val="both"/>
        <w:rPr>
          <w:rFonts w:cs="Arial Unicode MS"/>
        </w:rPr>
      </w:pPr>
      <w:r>
        <w:rPr>
          <w:rFonts w:cs="Arial Unicode MS"/>
        </w:rPr>
        <w:t>截至</w:t>
      </w:r>
      <w:r>
        <w:rPr>
          <w:rFonts w:cs="Arial Unicode MS"/>
        </w:rPr>
        <w:t>2023</w:t>
      </w:r>
      <w:r>
        <w:rPr>
          <w:rFonts w:cs="Arial Unicode MS"/>
        </w:rPr>
        <w:t>年</w:t>
      </w:r>
      <w:r>
        <w:rPr>
          <w:rFonts w:cs="Arial Unicode MS"/>
        </w:rPr>
        <w:t>12</w:t>
      </w:r>
      <w:r>
        <w:rPr>
          <w:rFonts w:cs="Arial Unicode MS"/>
        </w:rPr>
        <w:t>月</w:t>
      </w:r>
      <w:r>
        <w:rPr>
          <w:rFonts w:cs="Arial Unicode MS"/>
        </w:rPr>
        <w:t>31</w:t>
      </w:r>
      <w:r>
        <w:rPr>
          <w:rFonts w:cs="Arial Unicode MS"/>
        </w:rPr>
        <w:t>日，</w:t>
      </w:r>
      <w:proofErr w:type="gramStart"/>
      <w:r>
        <w:rPr>
          <w:rFonts w:cs="Arial Unicode MS" w:hint="eastAsia"/>
        </w:rPr>
        <w:t>远化物流</w:t>
      </w:r>
      <w:proofErr w:type="gramEnd"/>
      <w:r>
        <w:rPr>
          <w:rFonts w:cs="Arial Unicode MS"/>
        </w:rPr>
        <w:t>的管理组织结构显示如下：</w:t>
      </w:r>
    </w:p>
    <w:p w14:paraId="5835C15B" w14:textId="77777777" w:rsidR="006B4107" w:rsidRDefault="004E70C7">
      <w:pPr>
        <w:widowControl w:val="0"/>
        <w:snapToGrid w:val="0"/>
        <w:jc w:val="center"/>
        <w:rPr>
          <w:rFonts w:ascii="仿宋" w:eastAsia="仿宋" w:hAnsi="仿宋" w:cs="Arial Unicode MS"/>
          <w:b/>
        </w:rPr>
      </w:pPr>
      <w:bookmarkStart w:id="196" w:name="_Toc12286303"/>
      <w:r>
        <w:rPr>
          <w:rFonts w:ascii="仿宋" w:eastAsia="仿宋" w:hAnsi="仿宋"/>
          <w:b/>
          <w:bCs/>
        </w:rPr>
        <w:t>图表</w:t>
      </w:r>
      <w:r>
        <w:rPr>
          <w:rFonts w:eastAsia="仿宋" w:cs="Arial Narrow"/>
          <w:b/>
          <w:bCs/>
        </w:rPr>
        <w:t>4</w:t>
      </w:r>
      <w:r>
        <w:rPr>
          <w:rFonts w:ascii="仿宋" w:eastAsia="仿宋" w:hAnsi="仿宋" w:cs="Arial Unicode MS"/>
          <w:b/>
          <w:bCs/>
        </w:rPr>
        <w:t>：</w:t>
      </w:r>
      <w:proofErr w:type="gramStart"/>
      <w:r>
        <w:rPr>
          <w:rFonts w:ascii="仿宋" w:eastAsia="仿宋" w:hAnsi="仿宋" w:cs="Arial Unicode MS" w:hint="eastAsia"/>
          <w:b/>
          <w:bCs/>
        </w:rPr>
        <w:t>远化物流</w:t>
      </w:r>
      <w:proofErr w:type="gramEnd"/>
      <w:r>
        <w:rPr>
          <w:rFonts w:ascii="仿宋" w:eastAsia="仿宋" w:hAnsi="仿宋" w:cs="Arial Unicode MS"/>
          <w:b/>
        </w:rPr>
        <w:t>的组织结构图</w:t>
      </w:r>
      <w:bookmarkEnd w:id="196"/>
    </w:p>
    <w:p w14:paraId="2147AEE1" w14:textId="77777777" w:rsidR="006B4107" w:rsidRDefault="004E70C7">
      <w:pPr>
        <w:widowControl w:val="0"/>
        <w:snapToGrid w:val="0"/>
        <w:jc w:val="center"/>
        <w:rPr>
          <w:rFonts w:cs="Arial Unicode MS"/>
          <w:b/>
        </w:rPr>
      </w:pPr>
      <w:r>
        <w:rPr>
          <w:rFonts w:cs="Arial Unicode MS"/>
          <w:b/>
          <w:noProof/>
        </w:rPr>
        <w:drawing>
          <wp:inline distT="0" distB="0" distL="0" distR="0" wp14:anchorId="4772DDFD" wp14:editId="1CBB1CA3">
            <wp:extent cx="4619625" cy="184912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4632782" cy="1854474"/>
                    </a:xfrm>
                    <a:prstGeom prst="rect">
                      <a:avLst/>
                    </a:prstGeom>
                    <a:noFill/>
                    <a:ln>
                      <a:noFill/>
                    </a:ln>
                  </pic:spPr>
                </pic:pic>
              </a:graphicData>
            </a:graphic>
          </wp:inline>
        </w:drawing>
      </w:r>
    </w:p>
    <w:p w14:paraId="560CBA04" w14:textId="77777777" w:rsidR="006B4107" w:rsidRDefault="004E70C7">
      <w:pPr>
        <w:jc w:val="both"/>
        <w:rPr>
          <w:rFonts w:cs="STXihei,Italic"/>
          <w:i/>
          <w:iCs/>
          <w:sz w:val="16"/>
          <w:szCs w:val="16"/>
        </w:rPr>
      </w:pPr>
      <w:r>
        <w:rPr>
          <w:rFonts w:cs="STXihei,Italic"/>
          <w:i/>
          <w:iCs/>
          <w:sz w:val="16"/>
          <w:szCs w:val="16"/>
        </w:rPr>
        <w:t>信息来源：</w:t>
      </w:r>
      <w:proofErr w:type="gramStart"/>
      <w:r>
        <w:rPr>
          <w:rFonts w:cs="STXihei,Italic"/>
          <w:i/>
          <w:iCs/>
          <w:sz w:val="16"/>
          <w:szCs w:val="16"/>
        </w:rPr>
        <w:t>由</w:t>
      </w:r>
      <w:r>
        <w:rPr>
          <w:rFonts w:cs="STXihei,Italic" w:hint="eastAsia"/>
          <w:i/>
          <w:iCs/>
          <w:sz w:val="16"/>
          <w:szCs w:val="16"/>
        </w:rPr>
        <w:t>远化物流</w:t>
      </w:r>
      <w:proofErr w:type="gramEnd"/>
      <w:r>
        <w:rPr>
          <w:rFonts w:cs="STXihei,Italic"/>
          <w:i/>
          <w:iCs/>
          <w:sz w:val="16"/>
          <w:szCs w:val="16"/>
        </w:rPr>
        <w:t>提供</w:t>
      </w:r>
    </w:p>
    <w:p w14:paraId="414901D8" w14:textId="77777777" w:rsidR="006B4107" w:rsidRDefault="004E70C7">
      <w:pPr>
        <w:spacing w:beforeLines="50" w:before="180" w:afterLines="50" w:after="180" w:line="360" w:lineRule="auto"/>
        <w:ind w:firstLineChars="200" w:firstLine="440"/>
        <w:jc w:val="both"/>
        <w:rPr>
          <w:rFonts w:cs="Arial Unicode MS"/>
        </w:rPr>
      </w:pPr>
      <w:bookmarkStart w:id="197" w:name="_Toc48582935"/>
      <w:bookmarkStart w:id="198" w:name="_Toc48582522"/>
      <w:bookmarkStart w:id="199" w:name="_Toc48582523"/>
      <w:bookmarkStart w:id="200" w:name="_Toc48317401"/>
      <w:bookmarkStart w:id="201" w:name="_Toc48582520"/>
      <w:bookmarkStart w:id="202" w:name="_Toc48399539"/>
      <w:bookmarkStart w:id="203" w:name="_Toc48399537"/>
      <w:bookmarkStart w:id="204" w:name="_Toc48582936"/>
      <w:bookmarkStart w:id="205" w:name="_Toc48317217"/>
      <w:bookmarkStart w:id="206" w:name="_Toc48317109"/>
      <w:bookmarkStart w:id="207" w:name="_Toc48317214"/>
      <w:bookmarkStart w:id="208" w:name="_Toc48317402"/>
      <w:bookmarkStart w:id="209" w:name="_Toc48582933"/>
      <w:bookmarkStart w:id="210" w:name="_Toc48317106"/>
      <w:bookmarkStart w:id="211" w:name="_Toc48317216"/>
      <w:bookmarkStart w:id="212" w:name="_Toc48317399"/>
      <w:bookmarkStart w:id="213" w:name="_Toc48317108"/>
      <w:bookmarkStart w:id="214" w:name="_Toc48399540"/>
      <w:bookmarkStart w:id="215" w:name="_Hlk50647845"/>
      <w:bookmarkStart w:id="216" w:name="_Toc48317110"/>
      <w:bookmarkStart w:id="217" w:name="_Toc48317403"/>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r>
        <w:rPr>
          <w:rFonts w:cs="Arial Unicode MS"/>
        </w:rPr>
        <w:t>截至</w:t>
      </w:r>
      <w:r>
        <w:rPr>
          <w:rFonts w:cs="Arial Unicode MS"/>
        </w:rPr>
        <w:t>2023</w:t>
      </w:r>
      <w:r>
        <w:rPr>
          <w:rFonts w:cs="Arial Unicode MS"/>
        </w:rPr>
        <w:t>年</w:t>
      </w:r>
      <w:r>
        <w:rPr>
          <w:rFonts w:cs="Arial Unicode MS"/>
        </w:rPr>
        <w:t>12</w:t>
      </w:r>
      <w:r>
        <w:rPr>
          <w:rFonts w:cs="Arial Unicode MS"/>
        </w:rPr>
        <w:t>月</w:t>
      </w:r>
      <w:r>
        <w:rPr>
          <w:rFonts w:cs="Arial Unicode MS"/>
        </w:rPr>
        <w:t>31</w:t>
      </w:r>
      <w:r>
        <w:rPr>
          <w:rFonts w:cs="Arial Unicode MS"/>
        </w:rPr>
        <w:t>日，</w:t>
      </w:r>
      <w:proofErr w:type="gramStart"/>
      <w:r>
        <w:rPr>
          <w:rFonts w:cs="Arial Unicode MS" w:hint="eastAsia"/>
        </w:rPr>
        <w:t>远化物流</w:t>
      </w:r>
      <w:proofErr w:type="gramEnd"/>
      <w:r>
        <w:rPr>
          <w:rFonts w:cs="Arial Unicode MS"/>
        </w:rPr>
        <w:t>的主要业务部门、职责范围显示如下：</w:t>
      </w:r>
    </w:p>
    <w:p w14:paraId="28D8A5DE" w14:textId="77777777" w:rsidR="006B4107" w:rsidRDefault="004E70C7">
      <w:pPr>
        <w:pStyle w:val="a6"/>
        <w:ind w:left="420" w:hanging="420"/>
        <w:jc w:val="center"/>
        <w:rPr>
          <w:rFonts w:ascii="仿宋" w:eastAsia="仿宋" w:hAnsi="仿宋"/>
        </w:rPr>
      </w:pPr>
      <w:bookmarkStart w:id="218" w:name="_Toc12286290"/>
      <w:r>
        <w:rPr>
          <w:rFonts w:ascii="仿宋" w:eastAsia="仿宋" w:hAnsi="仿宋"/>
        </w:rPr>
        <w:t>图表</w:t>
      </w:r>
      <w:r>
        <w:rPr>
          <w:rFonts w:eastAsia="仿宋" w:cs="Arial Narrow"/>
        </w:rPr>
        <w:t>5</w:t>
      </w:r>
      <w:r>
        <w:rPr>
          <w:rFonts w:ascii="仿宋" w:eastAsia="仿宋" w:hAnsi="仿宋"/>
        </w:rPr>
        <w:t>：</w:t>
      </w:r>
      <w:proofErr w:type="gramStart"/>
      <w:r>
        <w:rPr>
          <w:rFonts w:ascii="仿宋" w:eastAsia="仿宋" w:hAnsi="仿宋" w:hint="eastAsia"/>
        </w:rPr>
        <w:t>远化物流</w:t>
      </w:r>
      <w:proofErr w:type="gramEnd"/>
      <w:r>
        <w:rPr>
          <w:rFonts w:ascii="仿宋" w:eastAsia="仿宋" w:hAnsi="仿宋"/>
        </w:rPr>
        <w:t>部门结构</w:t>
      </w:r>
      <w:bookmarkEnd w:id="218"/>
    </w:p>
    <w:tbl>
      <w:tblPr>
        <w:tblStyle w:val="4-41"/>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5"/>
        <w:gridCol w:w="900"/>
        <w:gridCol w:w="3150"/>
        <w:gridCol w:w="1555"/>
        <w:gridCol w:w="1370"/>
      </w:tblGrid>
      <w:tr w:rsidR="006B4107" w14:paraId="5787F8DB" w14:textId="77777777" w:rsidTr="006B4107">
        <w:trPr>
          <w:cnfStyle w:val="100000000000" w:firstRow="1" w:lastRow="0" w:firstColumn="0" w:lastColumn="0" w:oddVBand="0" w:evenVBand="0" w:oddHBand="0" w:evenHBand="0" w:firstRowFirstColumn="0" w:firstRowLastColumn="0" w:lastRowFirstColumn="0" w:lastRowLastColumn="0"/>
          <w:trHeight w:val="602"/>
          <w:tblHeader/>
        </w:trPr>
        <w:tc>
          <w:tcPr>
            <w:cnfStyle w:val="001000000000" w:firstRow="0" w:lastRow="0" w:firstColumn="1" w:lastColumn="0" w:oddVBand="0" w:evenVBand="0" w:oddHBand="0" w:evenHBand="0" w:firstRowFirstColumn="0" w:firstRowLastColumn="0" w:lastRowFirstColumn="0" w:lastRowLastColumn="0"/>
            <w:tcW w:w="1525" w:type="dxa"/>
            <w:tcBorders>
              <w:top w:val="single" w:sz="4" w:space="0" w:color="auto"/>
              <w:left w:val="single" w:sz="4" w:space="0" w:color="auto"/>
              <w:bottom w:val="single" w:sz="4" w:space="0" w:color="auto"/>
            </w:tcBorders>
            <w:shd w:val="clear" w:color="auto" w:fill="002060"/>
            <w:vAlign w:val="center"/>
          </w:tcPr>
          <w:p w14:paraId="1A600CCB" w14:textId="77777777" w:rsidR="006B4107" w:rsidRDefault="004E70C7">
            <w:pPr>
              <w:jc w:val="center"/>
              <w:rPr>
                <w:rFonts w:ascii="仿宋" w:eastAsia="仿宋" w:hAnsi="仿宋"/>
                <w:b w:val="0"/>
              </w:rPr>
            </w:pPr>
            <w:r>
              <w:rPr>
                <w:rFonts w:ascii="仿宋" w:eastAsia="仿宋" w:hAnsi="仿宋"/>
                <w:bCs w:val="0"/>
              </w:rPr>
              <w:t>主要部门</w:t>
            </w:r>
          </w:p>
        </w:tc>
        <w:tc>
          <w:tcPr>
            <w:tcW w:w="900" w:type="dxa"/>
            <w:tcBorders>
              <w:top w:val="single" w:sz="4" w:space="0" w:color="auto"/>
              <w:left w:val="single" w:sz="4" w:space="0" w:color="auto"/>
              <w:bottom w:val="single" w:sz="4" w:space="0" w:color="auto"/>
            </w:tcBorders>
            <w:shd w:val="clear" w:color="auto" w:fill="002060"/>
            <w:vAlign w:val="center"/>
          </w:tcPr>
          <w:p w14:paraId="71D784BC" w14:textId="77777777" w:rsidR="006B4107" w:rsidRDefault="004E70C7">
            <w:pPr>
              <w:jc w:val="center"/>
              <w:cnfStyle w:val="100000000000" w:firstRow="1" w:lastRow="0" w:firstColumn="0" w:lastColumn="0" w:oddVBand="0" w:evenVBand="0" w:oddHBand="0" w:evenHBand="0" w:firstRowFirstColumn="0" w:firstRowLastColumn="0" w:lastRowFirstColumn="0" w:lastRowLastColumn="0"/>
              <w:rPr>
                <w:rFonts w:ascii="仿宋" w:eastAsia="仿宋" w:hAnsi="仿宋"/>
                <w:bCs w:val="0"/>
              </w:rPr>
            </w:pPr>
            <w:r>
              <w:rPr>
                <w:rFonts w:ascii="仿宋" w:eastAsia="仿宋" w:hAnsi="仿宋"/>
                <w:bCs w:val="0"/>
              </w:rPr>
              <w:t>人数</w:t>
            </w:r>
          </w:p>
        </w:tc>
        <w:tc>
          <w:tcPr>
            <w:tcW w:w="3150" w:type="dxa"/>
            <w:tcBorders>
              <w:top w:val="single" w:sz="4" w:space="0" w:color="auto"/>
              <w:left w:val="single" w:sz="4" w:space="0" w:color="auto"/>
              <w:bottom w:val="single" w:sz="4" w:space="0" w:color="auto"/>
            </w:tcBorders>
            <w:shd w:val="clear" w:color="auto" w:fill="002060"/>
            <w:vAlign w:val="center"/>
          </w:tcPr>
          <w:p w14:paraId="740C1AF4" w14:textId="77777777" w:rsidR="006B4107" w:rsidRDefault="004E70C7">
            <w:pPr>
              <w:jc w:val="center"/>
              <w:cnfStyle w:val="100000000000" w:firstRow="1" w:lastRow="0" w:firstColumn="0" w:lastColumn="0" w:oddVBand="0" w:evenVBand="0" w:oddHBand="0" w:evenHBand="0" w:firstRowFirstColumn="0" w:firstRowLastColumn="0" w:lastRowFirstColumn="0" w:lastRowLastColumn="0"/>
              <w:rPr>
                <w:rFonts w:ascii="仿宋" w:eastAsia="仿宋" w:hAnsi="仿宋"/>
                <w:bCs w:val="0"/>
              </w:rPr>
            </w:pPr>
            <w:r>
              <w:rPr>
                <w:rFonts w:ascii="仿宋" w:eastAsia="仿宋" w:hAnsi="仿宋"/>
                <w:bCs w:val="0"/>
              </w:rPr>
              <w:t>主要职责范围</w:t>
            </w:r>
          </w:p>
        </w:tc>
        <w:tc>
          <w:tcPr>
            <w:tcW w:w="1555" w:type="dxa"/>
            <w:tcBorders>
              <w:top w:val="single" w:sz="4" w:space="0" w:color="auto"/>
              <w:left w:val="single" w:sz="4" w:space="0" w:color="auto"/>
              <w:bottom w:val="single" w:sz="4" w:space="0" w:color="auto"/>
            </w:tcBorders>
            <w:shd w:val="clear" w:color="auto" w:fill="002060"/>
            <w:vAlign w:val="center"/>
          </w:tcPr>
          <w:p w14:paraId="0F72E9D2" w14:textId="77777777" w:rsidR="006B4107" w:rsidRDefault="004E70C7">
            <w:pPr>
              <w:jc w:val="center"/>
              <w:cnfStyle w:val="100000000000" w:firstRow="1" w:lastRow="0" w:firstColumn="0" w:lastColumn="0" w:oddVBand="0" w:evenVBand="0" w:oddHBand="0" w:evenHBand="0" w:firstRowFirstColumn="0" w:firstRowLastColumn="0" w:lastRowFirstColumn="0" w:lastRowLastColumn="0"/>
              <w:rPr>
                <w:rFonts w:ascii="仿宋" w:eastAsia="仿宋" w:hAnsi="仿宋"/>
                <w:bCs w:val="0"/>
              </w:rPr>
            </w:pPr>
            <w:r>
              <w:rPr>
                <w:rFonts w:ascii="仿宋" w:eastAsia="仿宋" w:hAnsi="仿宋"/>
                <w:bCs w:val="0"/>
              </w:rPr>
              <w:t>部门负责人汇报对象</w:t>
            </w:r>
          </w:p>
        </w:tc>
        <w:tc>
          <w:tcPr>
            <w:tcW w:w="1370" w:type="dxa"/>
            <w:tcBorders>
              <w:top w:val="single" w:sz="4" w:space="0" w:color="auto"/>
              <w:left w:val="single" w:sz="4" w:space="0" w:color="auto"/>
              <w:bottom w:val="single" w:sz="4" w:space="0" w:color="auto"/>
              <w:right w:val="single" w:sz="4" w:space="0" w:color="auto"/>
            </w:tcBorders>
            <w:shd w:val="clear" w:color="auto" w:fill="002060"/>
            <w:vAlign w:val="center"/>
          </w:tcPr>
          <w:p w14:paraId="4680D569" w14:textId="77777777" w:rsidR="006B4107" w:rsidRDefault="004E70C7">
            <w:pPr>
              <w:jc w:val="center"/>
              <w:cnfStyle w:val="100000000000" w:firstRow="1" w:lastRow="0" w:firstColumn="0" w:lastColumn="0" w:oddVBand="0" w:evenVBand="0" w:oddHBand="0" w:evenHBand="0" w:firstRowFirstColumn="0" w:firstRowLastColumn="0" w:lastRowFirstColumn="0" w:lastRowLastColumn="0"/>
              <w:rPr>
                <w:rFonts w:ascii="仿宋" w:eastAsia="仿宋" w:hAnsi="仿宋"/>
                <w:bCs w:val="0"/>
              </w:rPr>
            </w:pPr>
            <w:r>
              <w:rPr>
                <w:rFonts w:ascii="仿宋" w:eastAsia="仿宋" w:hAnsi="仿宋"/>
                <w:bCs w:val="0"/>
              </w:rPr>
              <w:t>汇报对象主要办公地</w:t>
            </w:r>
          </w:p>
        </w:tc>
      </w:tr>
      <w:tr w:rsidR="006B4107" w14:paraId="56B9AACA" w14:textId="77777777" w:rsidTr="006B4107">
        <w:trPr>
          <w:trHeight w:val="371"/>
        </w:trPr>
        <w:tc>
          <w:tcPr>
            <w:cnfStyle w:val="001000000000" w:firstRow="0" w:lastRow="0" w:firstColumn="1" w:lastColumn="0" w:oddVBand="0" w:evenVBand="0" w:oddHBand="0" w:evenHBand="0" w:firstRowFirstColumn="0" w:firstRowLastColumn="0" w:lastRowFirstColumn="0" w:lastRowLastColumn="0"/>
            <w:tcW w:w="1525" w:type="dxa"/>
            <w:shd w:val="clear" w:color="auto" w:fill="auto"/>
            <w:vAlign w:val="center"/>
          </w:tcPr>
          <w:p w14:paraId="1662CFFD" w14:textId="77777777" w:rsidR="006B4107" w:rsidRDefault="004E70C7">
            <w:pPr>
              <w:jc w:val="both"/>
              <w:rPr>
                <w:b w:val="0"/>
                <w:bCs w:val="0"/>
              </w:rPr>
            </w:pPr>
            <w:r>
              <w:rPr>
                <w:rFonts w:cs="微软雅黑" w:hint="eastAsia"/>
                <w:b w:val="0"/>
              </w:rPr>
              <w:t>运输处</w:t>
            </w:r>
          </w:p>
        </w:tc>
        <w:tc>
          <w:tcPr>
            <w:tcW w:w="900" w:type="dxa"/>
            <w:shd w:val="clear" w:color="auto" w:fill="auto"/>
            <w:vAlign w:val="center"/>
          </w:tcPr>
          <w:p w14:paraId="67D1DBFF" w14:textId="77777777" w:rsidR="006B4107" w:rsidRDefault="004E70C7">
            <w:pPr>
              <w:jc w:val="center"/>
              <w:cnfStyle w:val="000000000000" w:firstRow="0" w:lastRow="0" w:firstColumn="0" w:lastColumn="0" w:oddVBand="0" w:evenVBand="0" w:oddHBand="0" w:evenHBand="0" w:firstRowFirstColumn="0" w:firstRowLastColumn="0" w:lastRowFirstColumn="0" w:lastRowLastColumn="0"/>
              <w:rPr>
                <w:rFonts w:cs="微软雅黑"/>
              </w:rPr>
            </w:pPr>
            <w:r>
              <w:rPr>
                <w:rFonts w:cs="微软雅黑" w:hint="eastAsia"/>
              </w:rPr>
              <w:t>59</w:t>
            </w:r>
          </w:p>
        </w:tc>
        <w:tc>
          <w:tcPr>
            <w:tcW w:w="3150" w:type="dxa"/>
            <w:shd w:val="clear" w:color="auto" w:fill="auto"/>
            <w:vAlign w:val="center"/>
          </w:tcPr>
          <w:p w14:paraId="78F1C397" w14:textId="77777777" w:rsidR="006B4107" w:rsidRDefault="004E70C7">
            <w:pPr>
              <w:cnfStyle w:val="000000000000" w:firstRow="0" w:lastRow="0" w:firstColumn="0" w:lastColumn="0" w:oddVBand="0" w:evenVBand="0" w:oddHBand="0" w:evenHBand="0" w:firstRowFirstColumn="0" w:firstRowLastColumn="0" w:lastRowFirstColumn="0" w:lastRowLastColumn="0"/>
            </w:pPr>
            <w:r>
              <w:rPr>
                <w:rFonts w:cs="微软雅黑" w:hint="eastAsia"/>
              </w:rPr>
              <w:t>货物运输服务</w:t>
            </w:r>
          </w:p>
        </w:tc>
        <w:tc>
          <w:tcPr>
            <w:tcW w:w="1555" w:type="dxa"/>
            <w:shd w:val="clear" w:color="auto" w:fill="auto"/>
            <w:vAlign w:val="center"/>
          </w:tcPr>
          <w:p w14:paraId="6DE95EA8" w14:textId="77777777" w:rsidR="006B4107" w:rsidRDefault="004E70C7">
            <w:pPr>
              <w:jc w:val="center"/>
              <w:cnfStyle w:val="000000000000" w:firstRow="0" w:lastRow="0" w:firstColumn="0" w:lastColumn="0" w:oddVBand="0" w:evenVBand="0" w:oddHBand="0" w:evenHBand="0" w:firstRowFirstColumn="0" w:firstRowLastColumn="0" w:lastRowFirstColumn="0" w:lastRowLastColumn="0"/>
              <w:rPr>
                <w:rFonts w:cs="微软雅黑"/>
              </w:rPr>
            </w:pPr>
            <w:r>
              <w:rPr>
                <w:rFonts w:cs="微软雅黑" w:hint="eastAsia"/>
              </w:rPr>
              <w:t>总经理</w:t>
            </w:r>
          </w:p>
        </w:tc>
        <w:tc>
          <w:tcPr>
            <w:tcW w:w="1370" w:type="dxa"/>
            <w:shd w:val="clear" w:color="auto" w:fill="auto"/>
            <w:vAlign w:val="center"/>
          </w:tcPr>
          <w:p w14:paraId="2CE134F7" w14:textId="77777777" w:rsidR="006B4107" w:rsidRDefault="004E70C7">
            <w:pPr>
              <w:jc w:val="center"/>
              <w:cnfStyle w:val="000000000000" w:firstRow="0" w:lastRow="0" w:firstColumn="0" w:lastColumn="0" w:oddVBand="0" w:evenVBand="0" w:oddHBand="0" w:evenHBand="0" w:firstRowFirstColumn="0" w:firstRowLastColumn="0" w:lastRowFirstColumn="0" w:lastRowLastColumn="0"/>
              <w:rPr>
                <w:rFonts w:cs="微软雅黑"/>
              </w:rPr>
            </w:pPr>
            <w:r>
              <w:rPr>
                <w:rFonts w:cs="微软雅黑"/>
              </w:rPr>
              <w:t>上海</w:t>
            </w:r>
          </w:p>
        </w:tc>
      </w:tr>
      <w:tr w:rsidR="006B4107" w14:paraId="517360B3" w14:textId="77777777" w:rsidTr="006B4107">
        <w:trPr>
          <w:trHeight w:val="414"/>
        </w:trPr>
        <w:tc>
          <w:tcPr>
            <w:cnfStyle w:val="001000000000" w:firstRow="0" w:lastRow="0" w:firstColumn="1" w:lastColumn="0" w:oddVBand="0" w:evenVBand="0" w:oddHBand="0" w:evenHBand="0" w:firstRowFirstColumn="0" w:firstRowLastColumn="0" w:lastRowFirstColumn="0" w:lastRowLastColumn="0"/>
            <w:tcW w:w="1525" w:type="dxa"/>
            <w:shd w:val="clear" w:color="auto" w:fill="auto"/>
            <w:vAlign w:val="center"/>
          </w:tcPr>
          <w:p w14:paraId="2BD9F707" w14:textId="77777777" w:rsidR="006B4107" w:rsidRDefault="004E70C7">
            <w:pPr>
              <w:jc w:val="both"/>
              <w:rPr>
                <w:b w:val="0"/>
                <w:bCs w:val="0"/>
              </w:rPr>
            </w:pPr>
            <w:r>
              <w:rPr>
                <w:rFonts w:cs="微软雅黑" w:hint="eastAsia"/>
                <w:b w:val="0"/>
              </w:rPr>
              <w:t>管理处</w:t>
            </w:r>
          </w:p>
        </w:tc>
        <w:tc>
          <w:tcPr>
            <w:tcW w:w="900" w:type="dxa"/>
            <w:shd w:val="clear" w:color="auto" w:fill="auto"/>
            <w:vAlign w:val="center"/>
          </w:tcPr>
          <w:p w14:paraId="63E693BE" w14:textId="77777777" w:rsidR="006B4107" w:rsidRDefault="004E70C7">
            <w:pPr>
              <w:jc w:val="center"/>
              <w:cnfStyle w:val="000000000000" w:firstRow="0" w:lastRow="0" w:firstColumn="0" w:lastColumn="0" w:oddVBand="0" w:evenVBand="0" w:oddHBand="0" w:evenHBand="0" w:firstRowFirstColumn="0" w:firstRowLastColumn="0" w:lastRowFirstColumn="0" w:lastRowLastColumn="0"/>
              <w:rPr>
                <w:rFonts w:cs="微软雅黑"/>
              </w:rPr>
            </w:pPr>
            <w:r>
              <w:rPr>
                <w:rFonts w:cs="微软雅黑" w:hint="eastAsia"/>
              </w:rPr>
              <w:t>37</w:t>
            </w:r>
          </w:p>
        </w:tc>
        <w:tc>
          <w:tcPr>
            <w:tcW w:w="3150" w:type="dxa"/>
            <w:shd w:val="clear" w:color="auto" w:fill="auto"/>
            <w:vAlign w:val="center"/>
          </w:tcPr>
          <w:p w14:paraId="1FBED5D0" w14:textId="77777777" w:rsidR="006B4107" w:rsidRDefault="004E70C7">
            <w:pPr>
              <w:cnfStyle w:val="000000000000" w:firstRow="0" w:lastRow="0" w:firstColumn="0" w:lastColumn="0" w:oddVBand="0" w:evenVBand="0" w:oddHBand="0" w:evenHBand="0" w:firstRowFirstColumn="0" w:firstRowLastColumn="0" w:lastRowFirstColumn="0" w:lastRowLastColumn="0"/>
            </w:pPr>
            <w:r>
              <w:rPr>
                <w:rFonts w:cs="微软雅黑" w:hint="eastAsia"/>
              </w:rPr>
              <w:t>日常经营管理</w:t>
            </w:r>
          </w:p>
        </w:tc>
        <w:tc>
          <w:tcPr>
            <w:tcW w:w="1555" w:type="dxa"/>
            <w:shd w:val="clear" w:color="auto" w:fill="auto"/>
            <w:vAlign w:val="center"/>
          </w:tcPr>
          <w:p w14:paraId="771D54B7" w14:textId="77777777" w:rsidR="006B4107" w:rsidRDefault="004E70C7">
            <w:pPr>
              <w:jc w:val="center"/>
              <w:cnfStyle w:val="000000000000" w:firstRow="0" w:lastRow="0" w:firstColumn="0" w:lastColumn="0" w:oddVBand="0" w:evenVBand="0" w:oddHBand="0" w:evenHBand="0" w:firstRowFirstColumn="0" w:firstRowLastColumn="0" w:lastRowFirstColumn="0" w:lastRowLastColumn="0"/>
              <w:rPr>
                <w:rFonts w:cs="微软雅黑"/>
              </w:rPr>
            </w:pPr>
            <w:r>
              <w:rPr>
                <w:rFonts w:cs="微软雅黑"/>
              </w:rPr>
              <w:t>总经理</w:t>
            </w:r>
          </w:p>
        </w:tc>
        <w:tc>
          <w:tcPr>
            <w:tcW w:w="1370" w:type="dxa"/>
            <w:shd w:val="clear" w:color="auto" w:fill="auto"/>
            <w:vAlign w:val="center"/>
          </w:tcPr>
          <w:p w14:paraId="3B47ED9D" w14:textId="77777777" w:rsidR="006B4107" w:rsidRDefault="004E70C7">
            <w:pPr>
              <w:jc w:val="center"/>
              <w:cnfStyle w:val="000000000000" w:firstRow="0" w:lastRow="0" w:firstColumn="0" w:lastColumn="0" w:oddVBand="0" w:evenVBand="0" w:oddHBand="0" w:evenHBand="0" w:firstRowFirstColumn="0" w:firstRowLastColumn="0" w:lastRowFirstColumn="0" w:lastRowLastColumn="0"/>
              <w:rPr>
                <w:rFonts w:cs="微软雅黑"/>
              </w:rPr>
            </w:pPr>
            <w:r>
              <w:rPr>
                <w:rFonts w:cs="微软雅黑"/>
              </w:rPr>
              <w:t>上海</w:t>
            </w:r>
          </w:p>
        </w:tc>
      </w:tr>
      <w:tr w:rsidR="006B4107" w14:paraId="3943BB39" w14:textId="77777777" w:rsidTr="006B4107">
        <w:trPr>
          <w:trHeight w:val="461"/>
        </w:trPr>
        <w:tc>
          <w:tcPr>
            <w:cnfStyle w:val="001000000000" w:firstRow="0" w:lastRow="0" w:firstColumn="1" w:lastColumn="0" w:oddVBand="0" w:evenVBand="0" w:oddHBand="0" w:evenHBand="0" w:firstRowFirstColumn="0" w:firstRowLastColumn="0" w:lastRowFirstColumn="0" w:lastRowLastColumn="0"/>
            <w:tcW w:w="1525" w:type="dxa"/>
            <w:shd w:val="clear" w:color="auto" w:fill="auto"/>
            <w:vAlign w:val="center"/>
          </w:tcPr>
          <w:p w14:paraId="52518380" w14:textId="77777777" w:rsidR="006B4107" w:rsidRDefault="004E70C7">
            <w:pPr>
              <w:jc w:val="both"/>
              <w:rPr>
                <w:b w:val="0"/>
                <w:bCs w:val="0"/>
              </w:rPr>
            </w:pPr>
            <w:r>
              <w:rPr>
                <w:rFonts w:cs="微软雅黑" w:hint="eastAsia"/>
                <w:b w:val="0"/>
              </w:rPr>
              <w:t>支援服务处</w:t>
            </w:r>
          </w:p>
        </w:tc>
        <w:tc>
          <w:tcPr>
            <w:tcW w:w="900" w:type="dxa"/>
            <w:shd w:val="clear" w:color="auto" w:fill="auto"/>
            <w:vAlign w:val="center"/>
          </w:tcPr>
          <w:p w14:paraId="1C2EA27D" w14:textId="77777777" w:rsidR="006B4107" w:rsidRDefault="004E70C7">
            <w:pPr>
              <w:jc w:val="center"/>
              <w:cnfStyle w:val="000000000000" w:firstRow="0" w:lastRow="0" w:firstColumn="0" w:lastColumn="0" w:oddVBand="0" w:evenVBand="0" w:oddHBand="0" w:evenHBand="0" w:firstRowFirstColumn="0" w:firstRowLastColumn="0" w:lastRowFirstColumn="0" w:lastRowLastColumn="0"/>
              <w:rPr>
                <w:rFonts w:cs="微软雅黑"/>
              </w:rPr>
            </w:pPr>
            <w:r>
              <w:rPr>
                <w:rFonts w:cs="微软雅黑" w:hint="eastAsia"/>
              </w:rPr>
              <w:t>23</w:t>
            </w:r>
          </w:p>
        </w:tc>
        <w:tc>
          <w:tcPr>
            <w:tcW w:w="3150" w:type="dxa"/>
            <w:shd w:val="clear" w:color="auto" w:fill="auto"/>
            <w:vAlign w:val="center"/>
          </w:tcPr>
          <w:p w14:paraId="441C58D8" w14:textId="77777777" w:rsidR="006B4107" w:rsidRDefault="004E70C7">
            <w:pPr>
              <w:cnfStyle w:val="000000000000" w:firstRow="0" w:lastRow="0" w:firstColumn="0" w:lastColumn="0" w:oddVBand="0" w:evenVBand="0" w:oddHBand="0" w:evenHBand="0" w:firstRowFirstColumn="0" w:firstRowLastColumn="0" w:lastRowFirstColumn="0" w:lastRowLastColumn="0"/>
            </w:pPr>
            <w:r>
              <w:rPr>
                <w:rFonts w:cs="微软雅黑" w:hint="eastAsia"/>
              </w:rPr>
              <w:t>装卸搬运等服务</w:t>
            </w:r>
          </w:p>
        </w:tc>
        <w:tc>
          <w:tcPr>
            <w:tcW w:w="1555" w:type="dxa"/>
            <w:shd w:val="clear" w:color="auto" w:fill="auto"/>
            <w:vAlign w:val="center"/>
          </w:tcPr>
          <w:p w14:paraId="0E894298" w14:textId="77777777" w:rsidR="006B4107" w:rsidRDefault="004E70C7">
            <w:pPr>
              <w:jc w:val="center"/>
              <w:cnfStyle w:val="000000000000" w:firstRow="0" w:lastRow="0" w:firstColumn="0" w:lastColumn="0" w:oddVBand="0" w:evenVBand="0" w:oddHBand="0" w:evenHBand="0" w:firstRowFirstColumn="0" w:firstRowLastColumn="0" w:lastRowFirstColumn="0" w:lastRowLastColumn="0"/>
              <w:rPr>
                <w:rFonts w:cs="微软雅黑"/>
              </w:rPr>
            </w:pPr>
            <w:r>
              <w:rPr>
                <w:rFonts w:cs="微软雅黑"/>
              </w:rPr>
              <w:t>总经理</w:t>
            </w:r>
          </w:p>
        </w:tc>
        <w:tc>
          <w:tcPr>
            <w:tcW w:w="1370" w:type="dxa"/>
            <w:shd w:val="clear" w:color="auto" w:fill="auto"/>
            <w:vAlign w:val="center"/>
          </w:tcPr>
          <w:p w14:paraId="42CC78D1" w14:textId="77777777" w:rsidR="006B4107" w:rsidRDefault="004E70C7">
            <w:pPr>
              <w:jc w:val="center"/>
              <w:cnfStyle w:val="000000000000" w:firstRow="0" w:lastRow="0" w:firstColumn="0" w:lastColumn="0" w:oddVBand="0" w:evenVBand="0" w:oddHBand="0" w:evenHBand="0" w:firstRowFirstColumn="0" w:firstRowLastColumn="0" w:lastRowFirstColumn="0" w:lastRowLastColumn="0"/>
              <w:rPr>
                <w:rFonts w:cs="微软雅黑"/>
              </w:rPr>
            </w:pPr>
            <w:r>
              <w:rPr>
                <w:rFonts w:cs="微软雅黑"/>
              </w:rPr>
              <w:t>上海</w:t>
            </w:r>
          </w:p>
        </w:tc>
      </w:tr>
      <w:tr w:rsidR="006B4107" w14:paraId="6B68E4CB" w14:textId="77777777" w:rsidTr="006B4107">
        <w:trPr>
          <w:trHeight w:val="468"/>
        </w:trPr>
        <w:tc>
          <w:tcPr>
            <w:cnfStyle w:val="001000000000" w:firstRow="0" w:lastRow="0" w:firstColumn="1" w:lastColumn="0" w:oddVBand="0" w:evenVBand="0" w:oddHBand="0" w:evenHBand="0" w:firstRowFirstColumn="0" w:firstRowLastColumn="0" w:lastRowFirstColumn="0" w:lastRowLastColumn="0"/>
            <w:tcW w:w="1525" w:type="dxa"/>
            <w:shd w:val="clear" w:color="auto" w:fill="auto"/>
            <w:vAlign w:val="center"/>
          </w:tcPr>
          <w:p w14:paraId="7672569D" w14:textId="77777777" w:rsidR="006B4107" w:rsidRDefault="004E70C7">
            <w:pPr>
              <w:jc w:val="both"/>
              <w:rPr>
                <w:rFonts w:ascii="仿宋" w:eastAsia="仿宋" w:hAnsi="仿宋"/>
                <w:b w:val="0"/>
                <w:bCs w:val="0"/>
              </w:rPr>
            </w:pPr>
            <w:r>
              <w:rPr>
                <w:rFonts w:ascii="仿宋" w:eastAsia="仿宋" w:hAnsi="仿宋" w:cs="微软雅黑"/>
              </w:rPr>
              <w:t>总计</w:t>
            </w:r>
          </w:p>
        </w:tc>
        <w:tc>
          <w:tcPr>
            <w:tcW w:w="900" w:type="dxa"/>
            <w:shd w:val="clear" w:color="auto" w:fill="auto"/>
            <w:vAlign w:val="center"/>
          </w:tcPr>
          <w:p w14:paraId="1B71CE3B" w14:textId="77777777" w:rsidR="006B4107" w:rsidRDefault="004E70C7">
            <w:pPr>
              <w:jc w:val="center"/>
              <w:cnfStyle w:val="000000000000" w:firstRow="0" w:lastRow="0" w:firstColumn="0" w:lastColumn="0" w:oddVBand="0" w:evenVBand="0" w:oddHBand="0" w:evenHBand="0" w:firstRowFirstColumn="0" w:firstRowLastColumn="0" w:lastRowFirstColumn="0" w:lastRowLastColumn="0"/>
              <w:rPr>
                <w:rFonts w:cs="微软雅黑"/>
              </w:rPr>
            </w:pPr>
            <w:r>
              <w:rPr>
                <w:rFonts w:cs="微软雅黑" w:hint="eastAsia"/>
                <w:b/>
              </w:rPr>
              <w:t>119</w:t>
            </w:r>
          </w:p>
        </w:tc>
        <w:tc>
          <w:tcPr>
            <w:tcW w:w="3150" w:type="dxa"/>
            <w:shd w:val="clear" w:color="auto" w:fill="auto"/>
            <w:vAlign w:val="center"/>
          </w:tcPr>
          <w:p w14:paraId="78017762" w14:textId="77777777" w:rsidR="006B4107" w:rsidRDefault="006B4107">
            <w:pPr>
              <w:cnfStyle w:val="000000000000" w:firstRow="0" w:lastRow="0" w:firstColumn="0" w:lastColumn="0" w:oddVBand="0" w:evenVBand="0" w:oddHBand="0" w:evenHBand="0" w:firstRowFirstColumn="0" w:firstRowLastColumn="0" w:lastRowFirstColumn="0" w:lastRowLastColumn="0"/>
            </w:pPr>
          </w:p>
        </w:tc>
        <w:tc>
          <w:tcPr>
            <w:tcW w:w="1555" w:type="dxa"/>
            <w:shd w:val="clear" w:color="auto" w:fill="auto"/>
            <w:vAlign w:val="center"/>
          </w:tcPr>
          <w:p w14:paraId="6B4DF584" w14:textId="77777777" w:rsidR="006B4107" w:rsidRDefault="006B4107">
            <w:pPr>
              <w:jc w:val="center"/>
              <w:cnfStyle w:val="000000000000" w:firstRow="0" w:lastRow="0" w:firstColumn="0" w:lastColumn="0" w:oddVBand="0" w:evenVBand="0" w:oddHBand="0" w:evenHBand="0" w:firstRowFirstColumn="0" w:firstRowLastColumn="0" w:lastRowFirstColumn="0" w:lastRowLastColumn="0"/>
              <w:rPr>
                <w:rFonts w:cs="微软雅黑"/>
              </w:rPr>
            </w:pPr>
          </w:p>
        </w:tc>
        <w:tc>
          <w:tcPr>
            <w:tcW w:w="1370" w:type="dxa"/>
            <w:shd w:val="clear" w:color="auto" w:fill="auto"/>
            <w:vAlign w:val="center"/>
          </w:tcPr>
          <w:p w14:paraId="28D0C02A" w14:textId="77777777" w:rsidR="006B4107" w:rsidRDefault="006B4107">
            <w:pPr>
              <w:jc w:val="center"/>
              <w:cnfStyle w:val="000000000000" w:firstRow="0" w:lastRow="0" w:firstColumn="0" w:lastColumn="0" w:oddVBand="0" w:evenVBand="0" w:oddHBand="0" w:evenHBand="0" w:firstRowFirstColumn="0" w:firstRowLastColumn="0" w:lastRowFirstColumn="0" w:lastRowLastColumn="0"/>
              <w:rPr>
                <w:rFonts w:cs="微软雅黑"/>
              </w:rPr>
            </w:pPr>
          </w:p>
        </w:tc>
      </w:tr>
    </w:tbl>
    <w:p w14:paraId="321E4246" w14:textId="77777777" w:rsidR="006B4107" w:rsidRDefault="004E70C7">
      <w:pPr>
        <w:jc w:val="both"/>
        <w:rPr>
          <w:rFonts w:cs="STXihei,Italic"/>
          <w:i/>
          <w:iCs/>
          <w:sz w:val="16"/>
          <w:szCs w:val="16"/>
        </w:rPr>
      </w:pPr>
      <w:r>
        <w:rPr>
          <w:rFonts w:cs="STXihei,Italic"/>
          <w:i/>
          <w:iCs/>
          <w:sz w:val="16"/>
          <w:szCs w:val="16"/>
        </w:rPr>
        <w:t>信息来源：</w:t>
      </w:r>
      <w:proofErr w:type="gramStart"/>
      <w:r>
        <w:rPr>
          <w:rFonts w:cs="STXihei,Italic"/>
          <w:i/>
          <w:iCs/>
          <w:sz w:val="16"/>
          <w:szCs w:val="16"/>
        </w:rPr>
        <w:t>由</w:t>
      </w:r>
      <w:r>
        <w:rPr>
          <w:rFonts w:cs="STXihei,Italic" w:hint="eastAsia"/>
          <w:i/>
          <w:iCs/>
          <w:sz w:val="16"/>
          <w:szCs w:val="16"/>
        </w:rPr>
        <w:t>远化物流</w:t>
      </w:r>
      <w:proofErr w:type="gramEnd"/>
      <w:r>
        <w:rPr>
          <w:rFonts w:cs="STXihei,Italic"/>
          <w:i/>
          <w:iCs/>
          <w:sz w:val="16"/>
          <w:szCs w:val="16"/>
        </w:rPr>
        <w:t>提供</w:t>
      </w:r>
    </w:p>
    <w:p w14:paraId="4DE13B17" w14:textId="77777777" w:rsidR="006B4107" w:rsidRDefault="004E70C7">
      <w:pPr>
        <w:pStyle w:val="2"/>
        <w:rPr>
          <w:rFonts w:ascii="Arial Narrow" w:eastAsia="仿宋_GB2312" w:hAnsi="Arial Narrow"/>
          <w:b w:val="0"/>
          <w:bCs w:val="0"/>
          <w:color w:val="002060"/>
          <w:sz w:val="22"/>
          <w:szCs w:val="22"/>
        </w:rPr>
      </w:pPr>
      <w:bookmarkStart w:id="219" w:name="_Toc140761293"/>
      <w:bookmarkStart w:id="220" w:name="_Toc185598825"/>
      <w:bookmarkEnd w:id="215"/>
      <w:bookmarkEnd w:id="216"/>
      <w:bookmarkEnd w:id="217"/>
      <w:r>
        <w:rPr>
          <w:rFonts w:ascii="Arial Narrow" w:eastAsia="仿宋_GB2312" w:hAnsi="Arial Narrow"/>
          <w:b w:val="0"/>
          <w:bCs w:val="0"/>
          <w:color w:val="002060"/>
          <w:sz w:val="22"/>
          <w:szCs w:val="22"/>
        </w:rPr>
        <w:lastRenderedPageBreak/>
        <w:t>主营业务及财务状况</w:t>
      </w:r>
      <w:bookmarkEnd w:id="219"/>
      <w:bookmarkEnd w:id="220"/>
    </w:p>
    <w:p w14:paraId="54A4BC05" w14:textId="77777777" w:rsidR="006B4107" w:rsidRDefault="004E70C7">
      <w:pPr>
        <w:spacing w:beforeLines="50" w:before="180" w:afterLines="50" w:after="180" w:line="360" w:lineRule="auto"/>
        <w:ind w:firstLineChars="200" w:firstLine="440"/>
        <w:jc w:val="both"/>
        <w:rPr>
          <w:rFonts w:cs="Arial Unicode MS"/>
        </w:rPr>
      </w:pPr>
      <w:bookmarkStart w:id="221" w:name="_Toc48317112"/>
      <w:bookmarkStart w:id="222" w:name="_Toc48317405"/>
      <w:bookmarkStart w:id="223" w:name="_Toc135647185"/>
      <w:bookmarkStart w:id="224" w:name="_Toc262024927"/>
      <w:bookmarkStart w:id="225" w:name="_Toc261811240"/>
      <w:bookmarkStart w:id="226" w:name="_Toc62016497"/>
      <w:bookmarkStart w:id="227" w:name="_Toc63759085"/>
      <w:r>
        <w:rPr>
          <w:rFonts w:cs="Arial Unicode MS"/>
        </w:rPr>
        <w:t>评估期间，</w:t>
      </w:r>
      <w:proofErr w:type="gramStart"/>
      <w:r>
        <w:rPr>
          <w:rFonts w:cs="Arial Unicode MS" w:hint="eastAsia"/>
        </w:rPr>
        <w:t>远化物流</w:t>
      </w:r>
      <w:proofErr w:type="gramEnd"/>
      <w:r>
        <w:rPr>
          <w:rFonts w:cs="Arial Unicode MS"/>
        </w:rPr>
        <w:t>从事的主要业务为</w:t>
      </w:r>
      <w:r>
        <w:rPr>
          <w:rFonts w:cs="Arial Unicode MS" w:hint="eastAsia"/>
        </w:rPr>
        <w:t>货运代理服务</w:t>
      </w:r>
      <w:r>
        <w:rPr>
          <w:rFonts w:cs="Arial Unicode MS"/>
        </w:rPr>
        <w:t>，下表列示了</w:t>
      </w:r>
      <w:proofErr w:type="gramStart"/>
      <w:r>
        <w:rPr>
          <w:rFonts w:cs="Arial Unicode MS"/>
        </w:rPr>
        <w:t>2023</w:t>
      </w:r>
      <w:r>
        <w:rPr>
          <w:rFonts w:cs="Arial Unicode MS"/>
        </w:rPr>
        <w:t>年度</w:t>
      </w:r>
      <w:r>
        <w:rPr>
          <w:rFonts w:cs="Arial Unicode MS" w:hint="eastAsia"/>
        </w:rPr>
        <w:t>远化物流</w:t>
      </w:r>
      <w:proofErr w:type="gramEnd"/>
      <w:r>
        <w:rPr>
          <w:rFonts w:cs="Arial Unicode MS"/>
        </w:rPr>
        <w:t>的具体财务状况。</w:t>
      </w:r>
    </w:p>
    <w:p w14:paraId="4ECDDD6A" w14:textId="77777777" w:rsidR="006B4107" w:rsidRDefault="004E70C7">
      <w:pPr>
        <w:pStyle w:val="a6"/>
        <w:ind w:left="420" w:hanging="420"/>
        <w:jc w:val="center"/>
        <w:rPr>
          <w:rFonts w:ascii="仿宋" w:eastAsia="仿宋" w:hAnsi="仿宋"/>
        </w:rPr>
      </w:pPr>
      <w:r>
        <w:rPr>
          <w:rFonts w:ascii="仿宋" w:eastAsia="仿宋" w:hAnsi="仿宋"/>
        </w:rPr>
        <w:t>图表</w:t>
      </w:r>
      <w:r>
        <w:rPr>
          <w:rFonts w:eastAsia="仿宋" w:cs="Arial Narrow"/>
        </w:rPr>
        <w:t>6</w:t>
      </w:r>
      <w:r>
        <w:rPr>
          <w:rFonts w:ascii="仿宋" w:eastAsia="仿宋" w:hAnsi="仿宋"/>
        </w:rPr>
        <w:t>：</w:t>
      </w:r>
      <w:proofErr w:type="gramStart"/>
      <w:r>
        <w:rPr>
          <w:rFonts w:ascii="仿宋" w:eastAsia="仿宋" w:hAnsi="仿宋" w:hint="eastAsia"/>
        </w:rPr>
        <w:t>远化物流</w:t>
      </w:r>
      <w:proofErr w:type="gramEnd"/>
      <w:r>
        <w:rPr>
          <w:rFonts w:ascii="仿宋" w:eastAsia="仿宋" w:hAnsi="仿宋"/>
        </w:rPr>
        <w:t>财务状况</w:t>
      </w:r>
    </w:p>
    <w:tbl>
      <w:tblPr>
        <w:tblW w:w="7087" w:type="dxa"/>
        <w:tblInd w:w="841" w:type="dxa"/>
        <w:tblLayout w:type="fixed"/>
        <w:tblCellMar>
          <w:left w:w="0" w:type="dxa"/>
          <w:right w:w="0" w:type="dxa"/>
        </w:tblCellMar>
        <w:tblLook w:val="04A0" w:firstRow="1" w:lastRow="0" w:firstColumn="1" w:lastColumn="0" w:noHBand="0" w:noVBand="1"/>
      </w:tblPr>
      <w:tblGrid>
        <w:gridCol w:w="2835"/>
        <w:gridCol w:w="1753"/>
        <w:gridCol w:w="2499"/>
      </w:tblGrid>
      <w:tr w:rsidR="006B4107" w14:paraId="3DB6DA6A" w14:textId="77777777">
        <w:trPr>
          <w:trHeight w:val="363"/>
        </w:trPr>
        <w:tc>
          <w:tcPr>
            <w:tcW w:w="2835" w:type="dxa"/>
            <w:vMerge w:val="restart"/>
            <w:tcBorders>
              <w:top w:val="single" w:sz="8" w:space="0" w:color="auto"/>
              <w:left w:val="single" w:sz="8" w:space="0" w:color="000000"/>
              <w:bottom w:val="single" w:sz="4" w:space="0" w:color="auto"/>
              <w:right w:val="single" w:sz="4" w:space="0" w:color="auto"/>
            </w:tcBorders>
            <w:shd w:val="clear" w:color="auto" w:fill="002060"/>
            <w:tcMar>
              <w:top w:w="15" w:type="dxa"/>
              <w:left w:w="15" w:type="dxa"/>
              <w:bottom w:w="0" w:type="dxa"/>
              <w:right w:w="15" w:type="dxa"/>
            </w:tcMar>
            <w:vAlign w:val="center"/>
          </w:tcPr>
          <w:p w14:paraId="4AB3FDEE" w14:textId="77777777" w:rsidR="006B4107" w:rsidRDefault="004E70C7">
            <w:pPr>
              <w:jc w:val="center"/>
              <w:rPr>
                <w:rFonts w:ascii="仿宋" w:eastAsia="仿宋" w:hAnsi="仿宋" w:cs="楷体"/>
                <w:b/>
                <w:bCs/>
                <w:color w:val="FFFFFF" w:themeColor="background1"/>
              </w:rPr>
            </w:pPr>
            <w:r>
              <w:rPr>
                <w:rFonts w:ascii="仿宋" w:eastAsia="仿宋" w:hAnsi="仿宋" w:cs="楷体"/>
                <w:b/>
                <w:bCs/>
                <w:color w:val="FFFFFF" w:themeColor="background1"/>
              </w:rPr>
              <w:t>项目</w:t>
            </w:r>
          </w:p>
        </w:tc>
        <w:tc>
          <w:tcPr>
            <w:tcW w:w="1753" w:type="dxa"/>
            <w:vMerge w:val="restart"/>
            <w:tcBorders>
              <w:top w:val="single" w:sz="8" w:space="0" w:color="auto"/>
              <w:left w:val="single" w:sz="4" w:space="0" w:color="auto"/>
              <w:bottom w:val="single" w:sz="4" w:space="0" w:color="auto"/>
              <w:right w:val="single" w:sz="4" w:space="0" w:color="auto"/>
            </w:tcBorders>
            <w:shd w:val="clear" w:color="auto" w:fill="002060"/>
            <w:tcMar>
              <w:top w:w="15" w:type="dxa"/>
              <w:left w:w="15" w:type="dxa"/>
              <w:bottom w:w="0" w:type="dxa"/>
              <w:right w:w="15" w:type="dxa"/>
            </w:tcMar>
            <w:vAlign w:val="center"/>
          </w:tcPr>
          <w:p w14:paraId="762165CE" w14:textId="77777777" w:rsidR="006B4107" w:rsidRDefault="004E70C7">
            <w:pPr>
              <w:jc w:val="center"/>
              <w:rPr>
                <w:rFonts w:ascii="仿宋" w:eastAsia="仿宋" w:hAnsi="仿宋" w:cs="楷体"/>
                <w:b/>
                <w:bCs/>
                <w:color w:val="FFFFFF" w:themeColor="background1"/>
              </w:rPr>
            </w:pPr>
            <w:r>
              <w:rPr>
                <w:rFonts w:ascii="仿宋" w:eastAsia="仿宋" w:hAnsi="仿宋" w:cs="楷体"/>
                <w:b/>
                <w:bCs/>
                <w:color w:val="FFFFFF" w:themeColor="background1"/>
              </w:rPr>
              <w:t>公式</w:t>
            </w:r>
          </w:p>
        </w:tc>
        <w:tc>
          <w:tcPr>
            <w:tcW w:w="2499" w:type="dxa"/>
            <w:tcBorders>
              <w:top w:val="single" w:sz="8" w:space="0" w:color="000000"/>
              <w:left w:val="single" w:sz="4" w:space="0" w:color="auto"/>
              <w:bottom w:val="single" w:sz="4" w:space="0" w:color="auto"/>
              <w:right w:val="single" w:sz="8" w:space="0" w:color="000000"/>
            </w:tcBorders>
            <w:shd w:val="clear" w:color="auto" w:fill="002060"/>
            <w:tcMar>
              <w:top w:w="15" w:type="dxa"/>
              <w:left w:w="15" w:type="dxa"/>
              <w:bottom w:w="0" w:type="dxa"/>
              <w:right w:w="15" w:type="dxa"/>
            </w:tcMar>
            <w:vAlign w:val="center"/>
          </w:tcPr>
          <w:p w14:paraId="7A4B8193" w14:textId="77777777" w:rsidR="006B4107" w:rsidRDefault="004E70C7">
            <w:pPr>
              <w:jc w:val="center"/>
              <w:rPr>
                <w:rFonts w:ascii="仿宋" w:eastAsia="仿宋" w:hAnsi="仿宋" w:cs="楷体"/>
                <w:b/>
                <w:bCs/>
                <w:color w:val="FFFFFF" w:themeColor="background1"/>
              </w:rPr>
            </w:pPr>
            <w:r>
              <w:rPr>
                <w:rFonts w:ascii="仿宋" w:eastAsia="仿宋" w:hAnsi="仿宋" w:cs="楷体"/>
                <w:b/>
                <w:bCs/>
                <w:color w:val="FFFFFF" w:themeColor="background1"/>
              </w:rPr>
              <w:t>金额</w:t>
            </w:r>
          </w:p>
        </w:tc>
      </w:tr>
      <w:tr w:rsidR="006B4107" w14:paraId="7F593442" w14:textId="77777777">
        <w:trPr>
          <w:trHeight w:val="244"/>
        </w:trPr>
        <w:tc>
          <w:tcPr>
            <w:tcW w:w="2835" w:type="dxa"/>
            <w:vMerge/>
            <w:tcBorders>
              <w:top w:val="single" w:sz="4" w:space="0" w:color="auto"/>
              <w:left w:val="single" w:sz="8" w:space="0" w:color="000000"/>
              <w:bottom w:val="single" w:sz="4" w:space="0" w:color="auto"/>
              <w:right w:val="single" w:sz="4" w:space="0" w:color="auto"/>
            </w:tcBorders>
            <w:shd w:val="clear" w:color="auto" w:fill="002060"/>
            <w:vAlign w:val="center"/>
          </w:tcPr>
          <w:p w14:paraId="2AE5F1A5" w14:textId="77777777" w:rsidR="006B4107" w:rsidRDefault="006B4107">
            <w:pPr>
              <w:jc w:val="center"/>
              <w:rPr>
                <w:rFonts w:ascii="仿宋" w:eastAsia="仿宋" w:hAnsi="仿宋" w:cs="楷体"/>
                <w:b/>
                <w:bCs/>
                <w:color w:val="FFFFFF" w:themeColor="background1"/>
              </w:rPr>
            </w:pPr>
          </w:p>
        </w:tc>
        <w:tc>
          <w:tcPr>
            <w:tcW w:w="1753" w:type="dxa"/>
            <w:vMerge/>
            <w:tcBorders>
              <w:top w:val="single" w:sz="4" w:space="0" w:color="auto"/>
              <w:left w:val="single" w:sz="4" w:space="0" w:color="auto"/>
              <w:bottom w:val="single" w:sz="4" w:space="0" w:color="auto"/>
              <w:right w:val="single" w:sz="4" w:space="0" w:color="auto"/>
            </w:tcBorders>
            <w:shd w:val="clear" w:color="auto" w:fill="002060"/>
            <w:vAlign w:val="center"/>
          </w:tcPr>
          <w:p w14:paraId="52741850" w14:textId="77777777" w:rsidR="006B4107" w:rsidRDefault="006B4107">
            <w:pPr>
              <w:jc w:val="center"/>
              <w:rPr>
                <w:rFonts w:ascii="仿宋" w:eastAsia="仿宋" w:hAnsi="仿宋" w:cs="楷体"/>
                <w:b/>
                <w:bCs/>
                <w:color w:val="FFFFFF" w:themeColor="background1"/>
              </w:rPr>
            </w:pPr>
          </w:p>
        </w:tc>
        <w:tc>
          <w:tcPr>
            <w:tcW w:w="2499" w:type="dxa"/>
            <w:tcBorders>
              <w:top w:val="single" w:sz="4" w:space="0" w:color="auto"/>
              <w:left w:val="single" w:sz="4" w:space="0" w:color="auto"/>
              <w:bottom w:val="single" w:sz="4" w:space="0" w:color="auto"/>
              <w:right w:val="single" w:sz="8" w:space="0" w:color="000000"/>
            </w:tcBorders>
            <w:shd w:val="clear" w:color="auto" w:fill="002060"/>
            <w:tcMar>
              <w:top w:w="15" w:type="dxa"/>
              <w:left w:w="15" w:type="dxa"/>
              <w:bottom w:w="0" w:type="dxa"/>
              <w:right w:w="15" w:type="dxa"/>
            </w:tcMar>
            <w:vAlign w:val="center"/>
          </w:tcPr>
          <w:p w14:paraId="4AD598F1" w14:textId="77777777" w:rsidR="006B4107" w:rsidRDefault="004E70C7">
            <w:pPr>
              <w:jc w:val="center"/>
              <w:rPr>
                <w:rFonts w:ascii="仿宋" w:eastAsia="仿宋" w:hAnsi="仿宋" w:cs="楷体"/>
                <w:b/>
                <w:bCs/>
                <w:color w:val="FFFFFF" w:themeColor="background1"/>
              </w:rPr>
            </w:pPr>
            <w:r>
              <w:rPr>
                <w:rFonts w:ascii="仿宋" w:eastAsia="仿宋" w:hAnsi="仿宋" w:cs="楷体"/>
                <w:b/>
                <w:bCs/>
                <w:color w:val="FFFFFF" w:themeColor="background1"/>
              </w:rPr>
              <w:t>人民币元</w:t>
            </w:r>
          </w:p>
        </w:tc>
      </w:tr>
      <w:tr w:rsidR="006B4107" w14:paraId="15D2545E" w14:textId="77777777">
        <w:trPr>
          <w:trHeight w:val="363"/>
        </w:trPr>
        <w:tc>
          <w:tcPr>
            <w:tcW w:w="2835" w:type="dxa"/>
            <w:tcBorders>
              <w:top w:val="single" w:sz="4" w:space="0" w:color="auto"/>
              <w:left w:val="single" w:sz="8" w:space="0" w:color="000000"/>
              <w:bottom w:val="single" w:sz="4" w:space="0" w:color="auto"/>
              <w:right w:val="single" w:sz="4" w:space="0" w:color="auto"/>
            </w:tcBorders>
            <w:shd w:val="clear" w:color="auto" w:fill="auto"/>
            <w:tcMar>
              <w:top w:w="15" w:type="dxa"/>
              <w:left w:w="15" w:type="dxa"/>
              <w:bottom w:w="0" w:type="dxa"/>
              <w:right w:w="15" w:type="dxa"/>
            </w:tcMar>
            <w:vAlign w:val="center"/>
          </w:tcPr>
          <w:p w14:paraId="1C36B899" w14:textId="77777777" w:rsidR="006B4107" w:rsidRDefault="004E70C7">
            <w:pPr>
              <w:jc w:val="both"/>
              <w:rPr>
                <w:rFonts w:cs="楷体"/>
                <w:color w:val="000000"/>
              </w:rPr>
            </w:pPr>
            <w:r>
              <w:rPr>
                <w:rFonts w:cs="楷体"/>
                <w:color w:val="000000"/>
              </w:rPr>
              <w:t>营业收入</w:t>
            </w:r>
          </w:p>
        </w:tc>
        <w:tc>
          <w:tcPr>
            <w:tcW w:w="1753"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14:paraId="7A54795B" w14:textId="77777777" w:rsidR="006B4107" w:rsidRDefault="004E70C7">
            <w:pPr>
              <w:jc w:val="center"/>
              <w:rPr>
                <w:rFonts w:cs="楷体"/>
                <w:bCs/>
                <w:color w:val="000000"/>
              </w:rPr>
            </w:pPr>
            <w:r>
              <w:rPr>
                <w:rFonts w:cs="楷体"/>
                <w:bCs/>
                <w:color w:val="000000"/>
              </w:rPr>
              <w:t>[A]</w:t>
            </w:r>
          </w:p>
        </w:tc>
        <w:tc>
          <w:tcPr>
            <w:tcW w:w="2499"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15C0859B" w14:textId="77777777" w:rsidR="006B4107" w:rsidRDefault="004E70C7">
            <w:pPr>
              <w:jc w:val="right"/>
              <w:rPr>
                <w:rFonts w:cs="楷体"/>
                <w:color w:val="000000"/>
              </w:rPr>
            </w:pPr>
            <w:r>
              <w:rPr>
                <w:rFonts w:eastAsia="等线"/>
                <w:color w:val="000000"/>
              </w:rPr>
              <w:t>48,639,289.41</w:t>
            </w:r>
          </w:p>
        </w:tc>
      </w:tr>
      <w:tr w:rsidR="006B4107" w14:paraId="12CEBA12" w14:textId="77777777">
        <w:trPr>
          <w:trHeight w:val="363"/>
        </w:trPr>
        <w:tc>
          <w:tcPr>
            <w:tcW w:w="2835" w:type="dxa"/>
            <w:tcBorders>
              <w:top w:val="single" w:sz="4" w:space="0" w:color="auto"/>
              <w:left w:val="single" w:sz="8" w:space="0" w:color="000000"/>
              <w:bottom w:val="single" w:sz="4" w:space="0" w:color="auto"/>
              <w:right w:val="single" w:sz="4" w:space="0" w:color="auto"/>
            </w:tcBorders>
            <w:shd w:val="clear" w:color="auto" w:fill="auto"/>
            <w:tcMar>
              <w:top w:w="15" w:type="dxa"/>
              <w:left w:w="15" w:type="dxa"/>
              <w:bottom w:w="0" w:type="dxa"/>
              <w:right w:w="15" w:type="dxa"/>
            </w:tcMar>
            <w:vAlign w:val="center"/>
          </w:tcPr>
          <w:p w14:paraId="40FB5172" w14:textId="77777777" w:rsidR="006B4107" w:rsidRDefault="004E70C7">
            <w:pPr>
              <w:jc w:val="both"/>
              <w:rPr>
                <w:rFonts w:cs="楷体"/>
                <w:color w:val="000000"/>
              </w:rPr>
            </w:pPr>
            <w:r>
              <w:rPr>
                <w:rFonts w:cs="楷体"/>
                <w:color w:val="000000"/>
              </w:rPr>
              <w:t>营业成本</w:t>
            </w:r>
          </w:p>
        </w:tc>
        <w:tc>
          <w:tcPr>
            <w:tcW w:w="1753"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14:paraId="04705E35" w14:textId="77777777" w:rsidR="006B4107" w:rsidRDefault="004E70C7">
            <w:pPr>
              <w:jc w:val="center"/>
              <w:rPr>
                <w:rFonts w:cs="楷体"/>
                <w:bCs/>
                <w:color w:val="000000"/>
              </w:rPr>
            </w:pPr>
            <w:r>
              <w:rPr>
                <w:rFonts w:cs="楷体"/>
                <w:bCs/>
                <w:color w:val="000000"/>
              </w:rPr>
              <w:t>[B]</w:t>
            </w:r>
          </w:p>
        </w:tc>
        <w:tc>
          <w:tcPr>
            <w:tcW w:w="2499"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65DAB7EC" w14:textId="77777777" w:rsidR="006B4107" w:rsidRDefault="004E70C7">
            <w:pPr>
              <w:jc w:val="right"/>
              <w:rPr>
                <w:rFonts w:cs="楷体"/>
                <w:color w:val="000000"/>
              </w:rPr>
            </w:pPr>
            <w:r>
              <w:rPr>
                <w:rFonts w:eastAsia="等线"/>
                <w:color w:val="000000"/>
              </w:rPr>
              <w:t>45,936,209.00</w:t>
            </w:r>
          </w:p>
        </w:tc>
      </w:tr>
      <w:tr w:rsidR="006B4107" w14:paraId="1FA15E9D" w14:textId="77777777">
        <w:trPr>
          <w:trHeight w:val="363"/>
        </w:trPr>
        <w:tc>
          <w:tcPr>
            <w:tcW w:w="2835" w:type="dxa"/>
            <w:tcBorders>
              <w:top w:val="single" w:sz="4" w:space="0" w:color="auto"/>
              <w:left w:val="single" w:sz="8" w:space="0" w:color="000000"/>
              <w:bottom w:val="single" w:sz="4" w:space="0" w:color="auto"/>
              <w:right w:val="single" w:sz="4" w:space="0" w:color="auto"/>
            </w:tcBorders>
            <w:shd w:val="clear" w:color="auto" w:fill="auto"/>
            <w:tcMar>
              <w:top w:w="15" w:type="dxa"/>
              <w:left w:w="15" w:type="dxa"/>
              <w:bottom w:w="0" w:type="dxa"/>
              <w:right w:w="15" w:type="dxa"/>
            </w:tcMar>
            <w:vAlign w:val="center"/>
          </w:tcPr>
          <w:p w14:paraId="1FC4F625" w14:textId="77777777" w:rsidR="006B4107" w:rsidRDefault="004E70C7">
            <w:pPr>
              <w:jc w:val="both"/>
              <w:rPr>
                <w:rFonts w:cs="楷体"/>
                <w:color w:val="000000"/>
              </w:rPr>
            </w:pPr>
            <w:r>
              <w:rPr>
                <w:rFonts w:cs="楷体"/>
                <w:color w:val="000000"/>
              </w:rPr>
              <w:t>营业税金及附加</w:t>
            </w:r>
          </w:p>
        </w:tc>
        <w:tc>
          <w:tcPr>
            <w:tcW w:w="1753"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14:paraId="6223A65B" w14:textId="77777777" w:rsidR="006B4107" w:rsidRDefault="004E70C7">
            <w:pPr>
              <w:jc w:val="center"/>
              <w:rPr>
                <w:rFonts w:cs="楷体"/>
                <w:bCs/>
                <w:color w:val="000000"/>
              </w:rPr>
            </w:pPr>
            <w:r>
              <w:rPr>
                <w:rFonts w:cs="楷体"/>
                <w:bCs/>
                <w:color w:val="000000"/>
              </w:rPr>
              <w:t>[C]</w:t>
            </w:r>
          </w:p>
        </w:tc>
        <w:tc>
          <w:tcPr>
            <w:tcW w:w="2499"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0CB1E4C0" w14:textId="77777777" w:rsidR="006B4107" w:rsidRDefault="004E70C7">
            <w:pPr>
              <w:jc w:val="right"/>
              <w:rPr>
                <w:rFonts w:cs="楷体"/>
                <w:color w:val="000000"/>
              </w:rPr>
            </w:pPr>
            <w:r>
              <w:rPr>
                <w:rFonts w:eastAsia="等线"/>
                <w:color w:val="000000"/>
              </w:rPr>
              <w:t>125,324.59</w:t>
            </w:r>
          </w:p>
        </w:tc>
      </w:tr>
      <w:tr w:rsidR="006B4107" w14:paraId="0F19DEA9" w14:textId="77777777">
        <w:trPr>
          <w:trHeight w:val="363"/>
        </w:trPr>
        <w:tc>
          <w:tcPr>
            <w:tcW w:w="2835" w:type="dxa"/>
            <w:tcBorders>
              <w:top w:val="single" w:sz="4" w:space="0" w:color="auto"/>
              <w:left w:val="single" w:sz="8" w:space="0" w:color="000000"/>
              <w:bottom w:val="single" w:sz="4" w:space="0" w:color="auto"/>
              <w:right w:val="single" w:sz="4" w:space="0" w:color="auto"/>
            </w:tcBorders>
            <w:shd w:val="clear" w:color="auto" w:fill="auto"/>
            <w:tcMar>
              <w:top w:w="15" w:type="dxa"/>
              <w:left w:w="15" w:type="dxa"/>
              <w:bottom w:w="0" w:type="dxa"/>
              <w:right w:w="15" w:type="dxa"/>
            </w:tcMar>
            <w:vAlign w:val="center"/>
          </w:tcPr>
          <w:p w14:paraId="0CB75DBE" w14:textId="77777777" w:rsidR="006B4107" w:rsidRDefault="004E70C7">
            <w:pPr>
              <w:jc w:val="both"/>
              <w:rPr>
                <w:rFonts w:cs="楷体"/>
                <w:color w:val="000000"/>
              </w:rPr>
            </w:pPr>
            <w:r>
              <w:rPr>
                <w:rFonts w:cs="楷体" w:hint="eastAsia"/>
                <w:color w:val="000000"/>
              </w:rPr>
              <w:t>主营业务利润</w:t>
            </w:r>
          </w:p>
        </w:tc>
        <w:tc>
          <w:tcPr>
            <w:tcW w:w="1753"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14:paraId="7193F80B" w14:textId="77777777" w:rsidR="006B4107" w:rsidRDefault="004E70C7">
            <w:pPr>
              <w:jc w:val="center"/>
              <w:rPr>
                <w:rFonts w:cs="楷体"/>
                <w:bCs/>
                <w:color w:val="000000"/>
              </w:rPr>
            </w:pPr>
            <w:r>
              <w:rPr>
                <w:rFonts w:cs="楷体"/>
                <w:bCs/>
                <w:color w:val="000000"/>
              </w:rPr>
              <w:t>[D]</w:t>
            </w:r>
            <w:r>
              <w:rPr>
                <w:rFonts w:cs="楷体" w:hint="eastAsia"/>
                <w:bCs/>
                <w:color w:val="000000"/>
              </w:rPr>
              <w:t>=</w:t>
            </w:r>
            <w:r>
              <w:rPr>
                <w:rFonts w:cs="楷体"/>
                <w:bCs/>
                <w:color w:val="000000"/>
              </w:rPr>
              <w:t>[A]-[B]-[C]</w:t>
            </w:r>
          </w:p>
        </w:tc>
        <w:tc>
          <w:tcPr>
            <w:tcW w:w="2499"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549FBCC6" w14:textId="77777777" w:rsidR="006B4107" w:rsidRDefault="004E70C7">
            <w:pPr>
              <w:jc w:val="right"/>
              <w:rPr>
                <w:rFonts w:cs="楷体"/>
                <w:color w:val="000000"/>
              </w:rPr>
            </w:pPr>
            <w:r>
              <w:rPr>
                <w:rFonts w:eastAsia="等线"/>
                <w:color w:val="000000"/>
              </w:rPr>
              <w:t>2,577,755.82</w:t>
            </w:r>
          </w:p>
        </w:tc>
      </w:tr>
      <w:tr w:rsidR="006B4107" w14:paraId="5F0266DE" w14:textId="77777777">
        <w:trPr>
          <w:trHeight w:val="363"/>
        </w:trPr>
        <w:tc>
          <w:tcPr>
            <w:tcW w:w="2835" w:type="dxa"/>
            <w:tcBorders>
              <w:top w:val="single" w:sz="4" w:space="0" w:color="auto"/>
              <w:left w:val="single" w:sz="8" w:space="0" w:color="000000"/>
              <w:bottom w:val="single" w:sz="4" w:space="0" w:color="auto"/>
              <w:right w:val="single" w:sz="4" w:space="0" w:color="auto"/>
            </w:tcBorders>
            <w:shd w:val="clear" w:color="auto" w:fill="auto"/>
            <w:tcMar>
              <w:top w:w="15" w:type="dxa"/>
              <w:left w:w="15" w:type="dxa"/>
              <w:bottom w:w="0" w:type="dxa"/>
              <w:right w:w="15" w:type="dxa"/>
            </w:tcMar>
            <w:vAlign w:val="center"/>
          </w:tcPr>
          <w:p w14:paraId="6E7FADFE" w14:textId="77777777" w:rsidR="006B4107" w:rsidRDefault="004E70C7">
            <w:pPr>
              <w:jc w:val="both"/>
              <w:rPr>
                <w:rFonts w:cs="楷体"/>
                <w:color w:val="000000"/>
              </w:rPr>
            </w:pPr>
            <w:r>
              <w:rPr>
                <w:rFonts w:cs="楷体" w:hint="eastAsia"/>
                <w:color w:val="000000"/>
              </w:rPr>
              <w:t>营业</w:t>
            </w:r>
            <w:r>
              <w:rPr>
                <w:rFonts w:cs="楷体"/>
                <w:color w:val="000000"/>
              </w:rPr>
              <w:t>费用</w:t>
            </w:r>
          </w:p>
        </w:tc>
        <w:tc>
          <w:tcPr>
            <w:tcW w:w="1753"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14:paraId="3342D6BF" w14:textId="77777777" w:rsidR="006B4107" w:rsidRDefault="004E70C7">
            <w:pPr>
              <w:jc w:val="center"/>
              <w:rPr>
                <w:rFonts w:cs="楷体"/>
                <w:bCs/>
                <w:color w:val="000000"/>
              </w:rPr>
            </w:pPr>
            <w:r>
              <w:rPr>
                <w:rFonts w:cs="楷体"/>
                <w:bCs/>
                <w:color w:val="000000"/>
              </w:rPr>
              <w:t>[E]</w:t>
            </w:r>
          </w:p>
        </w:tc>
        <w:tc>
          <w:tcPr>
            <w:tcW w:w="2499"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26351F67" w14:textId="77777777" w:rsidR="006B4107" w:rsidRDefault="004E70C7">
            <w:pPr>
              <w:jc w:val="right"/>
              <w:rPr>
                <w:rFonts w:cs="楷体"/>
                <w:color w:val="000000"/>
              </w:rPr>
            </w:pPr>
            <w:r>
              <w:rPr>
                <w:rFonts w:eastAsia="等线"/>
                <w:color w:val="000000"/>
              </w:rPr>
              <w:t>0.00</w:t>
            </w:r>
          </w:p>
        </w:tc>
      </w:tr>
      <w:tr w:rsidR="006B4107" w14:paraId="25995132" w14:textId="77777777">
        <w:trPr>
          <w:trHeight w:val="363"/>
        </w:trPr>
        <w:tc>
          <w:tcPr>
            <w:tcW w:w="2835" w:type="dxa"/>
            <w:tcBorders>
              <w:top w:val="single" w:sz="4" w:space="0" w:color="auto"/>
              <w:left w:val="single" w:sz="8" w:space="0" w:color="000000"/>
              <w:bottom w:val="single" w:sz="4" w:space="0" w:color="auto"/>
              <w:right w:val="single" w:sz="4" w:space="0" w:color="auto"/>
            </w:tcBorders>
            <w:shd w:val="clear" w:color="auto" w:fill="auto"/>
            <w:tcMar>
              <w:top w:w="15" w:type="dxa"/>
              <w:left w:w="15" w:type="dxa"/>
              <w:bottom w:w="0" w:type="dxa"/>
              <w:right w:w="15" w:type="dxa"/>
            </w:tcMar>
            <w:vAlign w:val="center"/>
          </w:tcPr>
          <w:p w14:paraId="7A31322E" w14:textId="77777777" w:rsidR="006B4107" w:rsidRDefault="004E70C7">
            <w:pPr>
              <w:jc w:val="both"/>
              <w:rPr>
                <w:rFonts w:cs="楷体"/>
                <w:color w:val="000000"/>
              </w:rPr>
            </w:pPr>
            <w:r>
              <w:rPr>
                <w:rFonts w:cs="楷体" w:hint="eastAsia"/>
                <w:color w:val="000000"/>
              </w:rPr>
              <w:t>管理费用</w:t>
            </w:r>
          </w:p>
        </w:tc>
        <w:tc>
          <w:tcPr>
            <w:tcW w:w="1753"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14:paraId="4C5EFF41" w14:textId="77777777" w:rsidR="006B4107" w:rsidRDefault="004E70C7">
            <w:pPr>
              <w:jc w:val="center"/>
              <w:rPr>
                <w:rFonts w:cs="楷体"/>
                <w:bCs/>
                <w:color w:val="000000"/>
              </w:rPr>
            </w:pPr>
            <w:r>
              <w:rPr>
                <w:rFonts w:cs="楷体"/>
                <w:bCs/>
                <w:color w:val="000000"/>
              </w:rPr>
              <w:t>[F]</w:t>
            </w:r>
          </w:p>
        </w:tc>
        <w:tc>
          <w:tcPr>
            <w:tcW w:w="2499"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737333DB" w14:textId="77777777" w:rsidR="006B4107" w:rsidRDefault="004E70C7">
            <w:pPr>
              <w:jc w:val="right"/>
              <w:rPr>
                <w:rFonts w:eastAsia="等线"/>
                <w:color w:val="000000"/>
              </w:rPr>
            </w:pPr>
            <w:r>
              <w:rPr>
                <w:rFonts w:eastAsia="等线"/>
                <w:color w:val="000000"/>
              </w:rPr>
              <w:t>885,860.73</w:t>
            </w:r>
          </w:p>
        </w:tc>
      </w:tr>
      <w:tr w:rsidR="006B4107" w14:paraId="303FE309" w14:textId="77777777">
        <w:trPr>
          <w:trHeight w:val="363"/>
        </w:trPr>
        <w:tc>
          <w:tcPr>
            <w:tcW w:w="2835" w:type="dxa"/>
            <w:tcBorders>
              <w:top w:val="single" w:sz="4" w:space="0" w:color="auto"/>
              <w:left w:val="single" w:sz="8" w:space="0" w:color="000000"/>
              <w:bottom w:val="single" w:sz="4" w:space="0" w:color="auto"/>
              <w:right w:val="single" w:sz="4" w:space="0" w:color="auto"/>
            </w:tcBorders>
            <w:shd w:val="clear" w:color="auto" w:fill="auto"/>
            <w:tcMar>
              <w:top w:w="15" w:type="dxa"/>
              <w:left w:w="15" w:type="dxa"/>
              <w:bottom w:w="0" w:type="dxa"/>
              <w:right w:w="15" w:type="dxa"/>
            </w:tcMar>
            <w:vAlign w:val="center"/>
          </w:tcPr>
          <w:p w14:paraId="05CCAFBA" w14:textId="77777777" w:rsidR="006B4107" w:rsidRDefault="004E70C7">
            <w:pPr>
              <w:jc w:val="both"/>
              <w:rPr>
                <w:rFonts w:cs="楷体"/>
                <w:color w:val="000000"/>
              </w:rPr>
            </w:pPr>
            <w:r>
              <w:rPr>
                <w:rFonts w:cs="楷体"/>
                <w:color w:val="000000"/>
              </w:rPr>
              <w:t>资产减值损失</w:t>
            </w:r>
          </w:p>
        </w:tc>
        <w:tc>
          <w:tcPr>
            <w:tcW w:w="1753"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14:paraId="187E2DC4" w14:textId="77777777" w:rsidR="006B4107" w:rsidRDefault="004E70C7">
            <w:pPr>
              <w:jc w:val="center"/>
              <w:rPr>
                <w:rFonts w:cs="楷体"/>
                <w:bCs/>
                <w:color w:val="000000"/>
              </w:rPr>
            </w:pPr>
            <w:r>
              <w:rPr>
                <w:rFonts w:cs="楷体"/>
                <w:bCs/>
                <w:color w:val="000000"/>
              </w:rPr>
              <w:t>[G]</w:t>
            </w:r>
          </w:p>
        </w:tc>
        <w:tc>
          <w:tcPr>
            <w:tcW w:w="2499"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3BAE7EB6" w14:textId="77777777" w:rsidR="006B4107" w:rsidRDefault="004E70C7">
            <w:pPr>
              <w:jc w:val="right"/>
              <w:rPr>
                <w:rFonts w:cs="楷体"/>
                <w:color w:val="000000"/>
              </w:rPr>
            </w:pPr>
            <w:r>
              <w:rPr>
                <w:rFonts w:eastAsia="等线"/>
                <w:color w:val="000000"/>
              </w:rPr>
              <w:t>0.00</w:t>
            </w:r>
          </w:p>
        </w:tc>
      </w:tr>
      <w:tr w:rsidR="006B4107" w14:paraId="68A3CF66" w14:textId="77777777">
        <w:trPr>
          <w:trHeight w:val="363"/>
        </w:trPr>
        <w:tc>
          <w:tcPr>
            <w:tcW w:w="2835" w:type="dxa"/>
            <w:tcBorders>
              <w:top w:val="single" w:sz="4" w:space="0" w:color="auto"/>
              <w:left w:val="single" w:sz="8" w:space="0" w:color="000000"/>
              <w:bottom w:val="single" w:sz="4" w:space="0" w:color="auto"/>
              <w:right w:val="single" w:sz="4" w:space="0" w:color="auto"/>
            </w:tcBorders>
            <w:shd w:val="clear" w:color="auto" w:fill="auto"/>
            <w:tcMar>
              <w:top w:w="15" w:type="dxa"/>
              <w:left w:w="15" w:type="dxa"/>
              <w:bottom w:w="0" w:type="dxa"/>
              <w:right w:w="15" w:type="dxa"/>
            </w:tcMar>
            <w:vAlign w:val="center"/>
          </w:tcPr>
          <w:p w14:paraId="1DF59EB9" w14:textId="77777777" w:rsidR="006B4107" w:rsidRDefault="004E70C7">
            <w:pPr>
              <w:jc w:val="both"/>
              <w:rPr>
                <w:rFonts w:cs="楷体"/>
                <w:color w:val="000000"/>
              </w:rPr>
            </w:pPr>
            <w:proofErr w:type="gramStart"/>
            <w:r>
              <w:rPr>
                <w:rFonts w:cs="楷体"/>
                <w:color w:val="000000"/>
              </w:rPr>
              <w:t>息</w:t>
            </w:r>
            <w:proofErr w:type="gramEnd"/>
            <w:r>
              <w:rPr>
                <w:rFonts w:cs="楷体"/>
                <w:color w:val="000000"/>
              </w:rPr>
              <w:t>税前利润</w:t>
            </w:r>
          </w:p>
        </w:tc>
        <w:tc>
          <w:tcPr>
            <w:tcW w:w="1753"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14:paraId="72D6D980" w14:textId="77777777" w:rsidR="006B4107" w:rsidRDefault="004E70C7">
            <w:pPr>
              <w:jc w:val="center"/>
              <w:rPr>
                <w:rFonts w:cs="楷体"/>
                <w:bCs/>
                <w:color w:val="000000"/>
              </w:rPr>
            </w:pPr>
            <w:r>
              <w:rPr>
                <w:rFonts w:cs="楷体"/>
                <w:bCs/>
                <w:color w:val="000000"/>
              </w:rPr>
              <w:t>[H]=[D]-[E]-[F]-[G]</w:t>
            </w:r>
          </w:p>
        </w:tc>
        <w:tc>
          <w:tcPr>
            <w:tcW w:w="2499" w:type="dxa"/>
            <w:tcBorders>
              <w:top w:val="single" w:sz="4" w:space="0" w:color="auto"/>
              <w:left w:val="single" w:sz="4" w:space="0" w:color="auto"/>
              <w:bottom w:val="single" w:sz="4" w:space="0" w:color="auto"/>
              <w:right w:val="single" w:sz="8" w:space="0" w:color="000000"/>
            </w:tcBorders>
            <w:shd w:val="clear" w:color="auto" w:fill="auto"/>
            <w:tcMar>
              <w:top w:w="15" w:type="dxa"/>
              <w:left w:w="15" w:type="dxa"/>
              <w:bottom w:w="0" w:type="dxa"/>
              <w:right w:w="15" w:type="dxa"/>
            </w:tcMar>
            <w:vAlign w:val="center"/>
          </w:tcPr>
          <w:p w14:paraId="3762E97A" w14:textId="77777777" w:rsidR="006B4107" w:rsidRDefault="004E70C7">
            <w:pPr>
              <w:jc w:val="right"/>
              <w:rPr>
                <w:rFonts w:cs="楷体"/>
                <w:color w:val="000000"/>
              </w:rPr>
            </w:pPr>
            <w:r>
              <w:rPr>
                <w:rFonts w:cs="楷体"/>
                <w:color w:val="000000"/>
              </w:rPr>
              <w:t>1,691,895.09</w:t>
            </w:r>
          </w:p>
        </w:tc>
      </w:tr>
      <w:tr w:rsidR="006B4107" w14:paraId="1DEAD0A2" w14:textId="77777777">
        <w:trPr>
          <w:trHeight w:val="363"/>
        </w:trPr>
        <w:tc>
          <w:tcPr>
            <w:tcW w:w="2835" w:type="dxa"/>
            <w:tcBorders>
              <w:top w:val="single" w:sz="4" w:space="0" w:color="auto"/>
              <w:left w:val="single" w:sz="8" w:space="0" w:color="000000"/>
              <w:bottom w:val="single" w:sz="4" w:space="0" w:color="auto"/>
              <w:right w:val="single" w:sz="4" w:space="0" w:color="auto"/>
            </w:tcBorders>
            <w:shd w:val="clear" w:color="auto" w:fill="auto"/>
            <w:tcMar>
              <w:top w:w="15" w:type="dxa"/>
              <w:left w:w="15" w:type="dxa"/>
              <w:bottom w:w="0" w:type="dxa"/>
              <w:right w:w="15" w:type="dxa"/>
            </w:tcMar>
            <w:vAlign w:val="center"/>
          </w:tcPr>
          <w:p w14:paraId="6F587357" w14:textId="77777777" w:rsidR="006B4107" w:rsidRDefault="004E70C7">
            <w:pPr>
              <w:jc w:val="both"/>
              <w:rPr>
                <w:rFonts w:cs="楷体"/>
                <w:color w:val="000000"/>
              </w:rPr>
            </w:pPr>
            <w:r>
              <w:rPr>
                <w:rFonts w:cs="楷体" w:hint="eastAsia"/>
                <w:color w:val="000000"/>
              </w:rPr>
              <w:t>完全成本</w:t>
            </w:r>
          </w:p>
        </w:tc>
        <w:tc>
          <w:tcPr>
            <w:tcW w:w="1753"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14:paraId="2F4DB10A" w14:textId="77777777" w:rsidR="006B4107" w:rsidRDefault="004E70C7">
            <w:pPr>
              <w:jc w:val="center"/>
              <w:rPr>
                <w:rFonts w:cs="楷体"/>
                <w:bCs/>
                <w:color w:val="000000"/>
              </w:rPr>
            </w:pPr>
            <w:r>
              <w:rPr>
                <w:rFonts w:cs="楷体"/>
                <w:bCs/>
                <w:color w:val="000000"/>
              </w:rPr>
              <w:t>[I]=[B]+[C]+[E]+[F]</w:t>
            </w:r>
            <w:r>
              <w:rPr>
                <w:rFonts w:cs="楷体"/>
                <w:bCs/>
                <w:color w:val="000000"/>
              </w:rPr>
              <w:br/>
              <w:t>+[G]</w:t>
            </w:r>
          </w:p>
        </w:tc>
        <w:tc>
          <w:tcPr>
            <w:tcW w:w="2499" w:type="dxa"/>
            <w:tcBorders>
              <w:top w:val="single" w:sz="4" w:space="0" w:color="auto"/>
              <w:left w:val="single" w:sz="4" w:space="0" w:color="auto"/>
              <w:bottom w:val="single" w:sz="4" w:space="0" w:color="auto"/>
              <w:right w:val="single" w:sz="8" w:space="0" w:color="000000"/>
            </w:tcBorders>
            <w:shd w:val="clear" w:color="auto" w:fill="auto"/>
            <w:tcMar>
              <w:top w:w="15" w:type="dxa"/>
              <w:left w:w="15" w:type="dxa"/>
              <w:bottom w:w="0" w:type="dxa"/>
              <w:right w:w="15" w:type="dxa"/>
            </w:tcMar>
            <w:vAlign w:val="center"/>
          </w:tcPr>
          <w:p w14:paraId="528D9DC8" w14:textId="77777777" w:rsidR="006B4107" w:rsidRDefault="004E70C7">
            <w:pPr>
              <w:jc w:val="right"/>
              <w:rPr>
                <w:rFonts w:cs="楷体"/>
                <w:color w:val="000000"/>
              </w:rPr>
            </w:pPr>
            <w:r>
              <w:rPr>
                <w:rFonts w:cs="楷体"/>
                <w:color w:val="000000"/>
              </w:rPr>
              <w:t>46,947,394.32</w:t>
            </w:r>
          </w:p>
        </w:tc>
      </w:tr>
      <w:tr w:rsidR="006B4107" w14:paraId="61A79DE0" w14:textId="77777777">
        <w:trPr>
          <w:trHeight w:val="363"/>
        </w:trPr>
        <w:tc>
          <w:tcPr>
            <w:tcW w:w="2835" w:type="dxa"/>
            <w:tcBorders>
              <w:top w:val="single" w:sz="4" w:space="0" w:color="auto"/>
              <w:left w:val="single" w:sz="8" w:space="0" w:color="000000"/>
              <w:bottom w:val="single" w:sz="8" w:space="0" w:color="000000"/>
              <w:right w:val="single" w:sz="4" w:space="0" w:color="auto"/>
            </w:tcBorders>
            <w:shd w:val="clear" w:color="auto" w:fill="auto"/>
            <w:tcMar>
              <w:top w:w="15" w:type="dxa"/>
              <w:left w:w="15" w:type="dxa"/>
              <w:bottom w:w="0" w:type="dxa"/>
              <w:right w:w="15" w:type="dxa"/>
            </w:tcMar>
            <w:vAlign w:val="center"/>
          </w:tcPr>
          <w:p w14:paraId="54529B8F" w14:textId="77777777" w:rsidR="006B4107" w:rsidRDefault="004E70C7">
            <w:pPr>
              <w:jc w:val="both"/>
              <w:rPr>
                <w:rFonts w:cs="楷体"/>
                <w:bCs/>
                <w:color w:val="000000"/>
              </w:rPr>
            </w:pPr>
            <w:r>
              <w:rPr>
                <w:rFonts w:cs="楷体"/>
                <w:bCs/>
                <w:color w:val="000000"/>
              </w:rPr>
              <w:t>完全成本加成率</w:t>
            </w:r>
          </w:p>
        </w:tc>
        <w:tc>
          <w:tcPr>
            <w:tcW w:w="1753" w:type="dxa"/>
            <w:tcBorders>
              <w:top w:val="single" w:sz="4" w:space="0" w:color="auto"/>
              <w:left w:val="single" w:sz="4" w:space="0" w:color="auto"/>
              <w:bottom w:val="single" w:sz="8" w:space="0" w:color="000000"/>
              <w:right w:val="single" w:sz="4" w:space="0" w:color="auto"/>
            </w:tcBorders>
            <w:shd w:val="clear" w:color="auto" w:fill="auto"/>
            <w:tcMar>
              <w:top w:w="15" w:type="dxa"/>
              <w:left w:w="15" w:type="dxa"/>
              <w:bottom w:w="0" w:type="dxa"/>
              <w:right w:w="15" w:type="dxa"/>
            </w:tcMar>
            <w:vAlign w:val="center"/>
          </w:tcPr>
          <w:p w14:paraId="0026AC72" w14:textId="77777777" w:rsidR="006B4107" w:rsidRDefault="004E70C7">
            <w:pPr>
              <w:jc w:val="center"/>
              <w:rPr>
                <w:rFonts w:cs="楷体"/>
                <w:bCs/>
                <w:color w:val="000000"/>
              </w:rPr>
            </w:pPr>
            <w:r>
              <w:rPr>
                <w:rFonts w:cs="楷体"/>
                <w:bCs/>
                <w:color w:val="000000"/>
              </w:rPr>
              <w:t>[J]=[H]/[I]</w:t>
            </w:r>
          </w:p>
        </w:tc>
        <w:tc>
          <w:tcPr>
            <w:tcW w:w="2499" w:type="dxa"/>
            <w:tcBorders>
              <w:top w:val="single" w:sz="4" w:space="0" w:color="auto"/>
              <w:left w:val="single" w:sz="4" w:space="0" w:color="auto"/>
              <w:bottom w:val="single" w:sz="8" w:space="0" w:color="000000"/>
              <w:right w:val="single" w:sz="8" w:space="0" w:color="000000"/>
            </w:tcBorders>
            <w:shd w:val="clear" w:color="auto" w:fill="auto"/>
            <w:tcMar>
              <w:top w:w="15" w:type="dxa"/>
              <w:left w:w="15" w:type="dxa"/>
              <w:bottom w:w="0" w:type="dxa"/>
              <w:right w:w="15" w:type="dxa"/>
            </w:tcMar>
            <w:vAlign w:val="center"/>
          </w:tcPr>
          <w:p w14:paraId="66B24FAD" w14:textId="77777777" w:rsidR="006B4107" w:rsidRDefault="004E70C7">
            <w:pPr>
              <w:jc w:val="right"/>
              <w:rPr>
                <w:rFonts w:cs="楷体"/>
                <w:color w:val="000000"/>
              </w:rPr>
            </w:pPr>
            <w:r>
              <w:rPr>
                <w:rFonts w:cs="楷体"/>
                <w:color w:val="000000"/>
              </w:rPr>
              <w:t>3.60%</w:t>
            </w:r>
          </w:p>
        </w:tc>
      </w:tr>
    </w:tbl>
    <w:p w14:paraId="76609687" w14:textId="77777777" w:rsidR="006B4107" w:rsidRDefault="004E70C7">
      <w:pPr>
        <w:ind w:left="840"/>
        <w:jc w:val="both"/>
        <w:rPr>
          <w:rFonts w:cs="STXihei,Italic"/>
          <w:i/>
          <w:iCs/>
          <w:sz w:val="16"/>
          <w:szCs w:val="16"/>
        </w:rPr>
      </w:pPr>
      <w:r>
        <w:rPr>
          <w:rFonts w:cs="STXihei,Italic"/>
          <w:i/>
          <w:iCs/>
          <w:sz w:val="16"/>
          <w:szCs w:val="16"/>
        </w:rPr>
        <w:t>信息来源：</w:t>
      </w:r>
      <w:proofErr w:type="gramStart"/>
      <w:r>
        <w:rPr>
          <w:rFonts w:cs="STXihei,Italic" w:hint="eastAsia"/>
          <w:i/>
          <w:iCs/>
          <w:sz w:val="16"/>
          <w:szCs w:val="16"/>
        </w:rPr>
        <w:t>远化物流</w:t>
      </w:r>
      <w:proofErr w:type="gramEnd"/>
      <w:r>
        <w:rPr>
          <w:rFonts w:cs="STXihei,Italic"/>
          <w:i/>
          <w:iCs/>
          <w:sz w:val="16"/>
          <w:szCs w:val="16"/>
        </w:rPr>
        <w:t>2023</w:t>
      </w:r>
      <w:r>
        <w:rPr>
          <w:rFonts w:cs="STXihei,Italic"/>
          <w:i/>
          <w:iCs/>
          <w:sz w:val="16"/>
          <w:szCs w:val="16"/>
        </w:rPr>
        <w:t>年度审计报告</w:t>
      </w:r>
    </w:p>
    <w:p w14:paraId="727BB86B" w14:textId="77777777" w:rsidR="006B4107" w:rsidRDefault="004E70C7">
      <w:pPr>
        <w:pStyle w:val="2"/>
        <w:rPr>
          <w:rFonts w:ascii="Arial Narrow" w:eastAsia="仿宋_GB2312" w:hAnsi="Arial Narrow"/>
          <w:iCs w:val="0"/>
          <w:color w:val="002060"/>
        </w:rPr>
      </w:pPr>
      <w:bookmarkStart w:id="228" w:name="_Toc185598826"/>
      <w:bookmarkStart w:id="229" w:name="_Toc140761294"/>
      <w:bookmarkEnd w:id="221"/>
      <w:bookmarkEnd w:id="222"/>
      <w:r>
        <w:rPr>
          <w:rFonts w:ascii="Arial Narrow" w:eastAsia="仿宋_GB2312" w:hAnsi="Arial Narrow" w:cs="楷体"/>
          <w:b w:val="0"/>
          <w:bCs w:val="0"/>
          <w:iCs w:val="0"/>
          <w:color w:val="002060"/>
          <w:sz w:val="22"/>
          <w:szCs w:val="22"/>
        </w:rPr>
        <w:t>本年度重大变化事项</w:t>
      </w:r>
      <w:bookmarkEnd w:id="228"/>
      <w:bookmarkEnd w:id="229"/>
    </w:p>
    <w:p w14:paraId="0F5ED8FC" w14:textId="77777777" w:rsidR="006B4107" w:rsidRDefault="004E70C7">
      <w:pPr>
        <w:spacing w:beforeLines="50" w:before="180" w:afterLines="50" w:after="180" w:line="360" w:lineRule="auto"/>
        <w:ind w:firstLineChars="200" w:firstLine="440"/>
        <w:jc w:val="both"/>
        <w:rPr>
          <w:rFonts w:cs="Arial Unicode MS"/>
        </w:rPr>
      </w:pPr>
      <w:r>
        <w:rPr>
          <w:rFonts w:cs="Arial Unicode MS"/>
        </w:rPr>
        <w:t>评估期间，</w:t>
      </w:r>
      <w:proofErr w:type="gramStart"/>
      <w:r>
        <w:rPr>
          <w:rFonts w:cs="Arial Unicode MS" w:hint="eastAsia"/>
        </w:rPr>
        <w:t>远化物流未</w:t>
      </w:r>
      <w:proofErr w:type="gramEnd"/>
      <w:r>
        <w:rPr>
          <w:rFonts w:cs="Arial Unicode MS" w:hint="eastAsia"/>
        </w:rPr>
        <w:t>发生重组，</w:t>
      </w:r>
      <w:r>
        <w:rPr>
          <w:rFonts w:cs="Arial Unicode MS"/>
        </w:rPr>
        <w:t>未发生无形资产转让的情况，企业的经营状况未受到重大影响</w:t>
      </w:r>
      <w:bookmarkStart w:id="230" w:name="_Toc261811243"/>
      <w:bookmarkStart w:id="231" w:name="_Toc262024930"/>
      <w:bookmarkEnd w:id="223"/>
      <w:bookmarkEnd w:id="224"/>
      <w:bookmarkEnd w:id="225"/>
      <w:r>
        <w:rPr>
          <w:rFonts w:cs="Arial Unicode MS"/>
        </w:rPr>
        <w:t>。</w:t>
      </w:r>
    </w:p>
    <w:p w14:paraId="44B6F59E" w14:textId="77777777" w:rsidR="006B4107" w:rsidRDefault="006B4107">
      <w:pPr>
        <w:spacing w:beforeLines="50" w:before="180" w:afterLines="50" w:after="180" w:line="360" w:lineRule="auto"/>
        <w:jc w:val="both"/>
        <w:rPr>
          <w:rFonts w:cs="Arial Unicode MS"/>
        </w:rPr>
        <w:sectPr w:rsidR="006B4107">
          <w:pgSz w:w="11907" w:h="16839"/>
          <w:pgMar w:top="1440" w:right="1800" w:bottom="1440" w:left="1800" w:header="720" w:footer="720" w:gutter="0"/>
          <w:cols w:space="720"/>
          <w:docGrid w:type="lines" w:linePitch="360"/>
        </w:sectPr>
      </w:pPr>
    </w:p>
    <w:p w14:paraId="39F97F79" w14:textId="77777777" w:rsidR="006B4107" w:rsidRDefault="004E70C7">
      <w:pPr>
        <w:pStyle w:val="1"/>
        <w:rPr>
          <w:rFonts w:ascii="Arial Narrow" w:eastAsia="仿宋_GB2312" w:hAnsi="Arial Narrow"/>
          <w:b w:val="0"/>
          <w:bCs/>
          <w:color w:val="1E4517" w:themeColor="accent4" w:themeShade="80"/>
          <w:sz w:val="28"/>
          <w:szCs w:val="28"/>
        </w:rPr>
      </w:pPr>
      <w:bookmarkStart w:id="232" w:name="_Toc274409755"/>
      <w:bookmarkStart w:id="233" w:name="_Toc274409756"/>
      <w:bookmarkStart w:id="234" w:name="_Toc274480766"/>
      <w:bookmarkStart w:id="235" w:name="_Toc274409329"/>
      <w:bookmarkStart w:id="236" w:name="_Toc274409331"/>
      <w:bookmarkStart w:id="237" w:name="_Toc274409647"/>
      <w:bookmarkStart w:id="238" w:name="_Toc274409113"/>
      <w:bookmarkStart w:id="239" w:name="_Toc274409757"/>
      <w:bookmarkStart w:id="240" w:name="_Toc274409435"/>
      <w:bookmarkStart w:id="241" w:name="_Toc274409112"/>
      <w:bookmarkStart w:id="242" w:name="_Toc274409437"/>
      <w:bookmarkStart w:id="243" w:name="_Toc274409649"/>
      <w:bookmarkStart w:id="244" w:name="_Toc274480764"/>
      <w:bookmarkStart w:id="245" w:name="_Toc274480765"/>
      <w:bookmarkStart w:id="246" w:name="_Toc274409648"/>
      <w:bookmarkStart w:id="247" w:name="_Toc274409436"/>
      <w:bookmarkStart w:id="248" w:name="_Toc274409330"/>
      <w:bookmarkStart w:id="249" w:name="_Toc274409111"/>
      <w:bookmarkStart w:id="250" w:name="_Toc185598827"/>
      <w:bookmarkStart w:id="251" w:name="_Toc140761295"/>
      <w:bookmarkStart w:id="252" w:name="_Toc274825225"/>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r>
        <w:rPr>
          <w:rFonts w:ascii="Arial Narrow" w:eastAsia="仿宋_GB2312" w:hAnsi="Arial Narrow"/>
          <w:b w:val="0"/>
          <w:bCs/>
          <w:color w:val="1E4517" w:themeColor="accent4" w:themeShade="80"/>
          <w:sz w:val="28"/>
          <w:szCs w:val="28"/>
        </w:rPr>
        <w:lastRenderedPageBreak/>
        <w:t>行业分析</w:t>
      </w:r>
      <w:bookmarkEnd w:id="250"/>
      <w:bookmarkEnd w:id="251"/>
    </w:p>
    <w:p w14:paraId="339C0CF7" w14:textId="77777777" w:rsidR="006B4107" w:rsidRDefault="004E70C7">
      <w:pPr>
        <w:spacing w:beforeLines="50" w:before="180" w:afterLines="50" w:after="180" w:line="360" w:lineRule="auto"/>
        <w:ind w:firstLineChars="200" w:firstLine="440"/>
        <w:jc w:val="both"/>
      </w:pPr>
      <w:bookmarkStart w:id="253" w:name="_Toc492915229"/>
      <w:bookmarkStart w:id="254" w:name="_Toc48317114"/>
      <w:bookmarkStart w:id="255" w:name="_Toc48317407"/>
      <w:r>
        <w:rPr>
          <w:rFonts w:hint="eastAsia"/>
        </w:rPr>
        <w:t>转让定价分析的一个关键问题是需要了解公司所在的特定行业。关联交易的转让定价受到行业结构、行业竞争、市场趋势等因素的影响，因此，行业分析对于合理解释受测关联交易的转让定价是否符合独立交易原则来说非常重要。</w:t>
      </w:r>
      <w:r>
        <w:rPr>
          <w:rFonts w:hint="eastAsia"/>
        </w:rPr>
        <w:t>OECD</w:t>
      </w:r>
      <w:r>
        <w:rPr>
          <w:rFonts w:hint="eastAsia"/>
        </w:rPr>
        <w:t>指南亦建议将行业分析作为转让定价分析的重要步骤。</w:t>
      </w:r>
    </w:p>
    <w:p w14:paraId="04AA2891" w14:textId="77777777" w:rsidR="006B4107" w:rsidRDefault="004E70C7">
      <w:pPr>
        <w:spacing w:beforeLines="50" w:before="180" w:afterLines="50" w:after="180" w:line="360" w:lineRule="auto"/>
        <w:ind w:firstLineChars="200" w:firstLine="440"/>
        <w:jc w:val="both"/>
        <w:rPr>
          <w:rFonts w:cs="Arial Unicode MS"/>
        </w:rPr>
      </w:pPr>
      <w:r>
        <w:rPr>
          <w:rFonts w:hint="eastAsia"/>
        </w:rPr>
        <w:t>因此，我们将对上海远化物流有限公司相关的行业领域，即道路运输业，进行分析。分析的具体方面如下：</w:t>
      </w:r>
    </w:p>
    <w:p w14:paraId="0EE2E512" w14:textId="77777777" w:rsidR="006B4107" w:rsidRDefault="004E70C7">
      <w:pPr>
        <w:pStyle w:val="affd"/>
        <w:numPr>
          <w:ilvl w:val="0"/>
          <w:numId w:val="18"/>
        </w:numPr>
        <w:spacing w:beforeLines="50" w:before="180" w:afterLines="50" w:after="180"/>
        <w:ind w:left="981" w:right="113"/>
        <w:contextualSpacing w:val="0"/>
        <w:jc w:val="both"/>
        <w:rPr>
          <w:rFonts w:ascii="Arial Narrow" w:hAnsi="Arial Narrow" w:cs="Arial Unicode MS"/>
        </w:rPr>
      </w:pPr>
      <w:r>
        <w:rPr>
          <w:rFonts w:ascii="Arial Narrow" w:hAnsi="Arial Narrow" w:cs="Arial Unicode MS" w:hint="eastAsia"/>
        </w:rPr>
        <w:t>道路运输业行业概述；</w:t>
      </w:r>
    </w:p>
    <w:p w14:paraId="317AA554" w14:textId="77777777" w:rsidR="006B4107" w:rsidRDefault="004E70C7">
      <w:pPr>
        <w:pStyle w:val="affd"/>
        <w:numPr>
          <w:ilvl w:val="0"/>
          <w:numId w:val="18"/>
        </w:numPr>
        <w:spacing w:beforeLines="50" w:before="180" w:afterLines="50" w:after="180"/>
        <w:ind w:left="981" w:right="113"/>
        <w:contextualSpacing w:val="0"/>
        <w:jc w:val="both"/>
        <w:rPr>
          <w:rFonts w:ascii="Arial Narrow" w:hAnsi="Arial Narrow" w:cs="Arial Unicode MS"/>
        </w:rPr>
      </w:pPr>
      <w:r>
        <w:rPr>
          <w:rFonts w:ascii="Arial Narrow" w:hAnsi="Arial Narrow" w:cs="Arial Unicode MS" w:hint="eastAsia"/>
        </w:rPr>
        <w:t>市场规模与结构；</w:t>
      </w:r>
    </w:p>
    <w:p w14:paraId="49254D6C" w14:textId="77777777" w:rsidR="006B4107" w:rsidRDefault="004E70C7">
      <w:pPr>
        <w:pStyle w:val="affd"/>
        <w:numPr>
          <w:ilvl w:val="0"/>
          <w:numId w:val="18"/>
        </w:numPr>
        <w:spacing w:beforeLines="50" w:before="180" w:afterLines="50" w:after="180"/>
        <w:ind w:left="981" w:right="113"/>
        <w:contextualSpacing w:val="0"/>
        <w:jc w:val="both"/>
        <w:rPr>
          <w:rFonts w:ascii="Arial Narrow" w:hAnsi="Arial Narrow" w:cs="Arial Unicode MS"/>
        </w:rPr>
      </w:pPr>
      <w:r>
        <w:rPr>
          <w:rFonts w:ascii="Arial Narrow" w:hAnsi="Arial Narrow" w:cs="Arial Unicode MS" w:hint="eastAsia"/>
        </w:rPr>
        <w:t>行业竞争；</w:t>
      </w:r>
    </w:p>
    <w:p w14:paraId="37181422" w14:textId="77777777" w:rsidR="006B4107" w:rsidRDefault="004E70C7">
      <w:pPr>
        <w:pStyle w:val="affd"/>
        <w:numPr>
          <w:ilvl w:val="0"/>
          <w:numId w:val="18"/>
        </w:numPr>
        <w:spacing w:beforeLines="50" w:before="180" w:afterLines="50" w:after="180"/>
        <w:ind w:left="981" w:right="113"/>
        <w:contextualSpacing w:val="0"/>
        <w:jc w:val="both"/>
        <w:rPr>
          <w:rFonts w:ascii="Arial Narrow" w:hAnsi="Arial Narrow" w:cs="Arial Unicode MS"/>
        </w:rPr>
      </w:pPr>
      <w:r>
        <w:rPr>
          <w:rFonts w:ascii="Arial Narrow" w:hAnsi="Arial Narrow" w:cs="Arial Unicode MS" w:hint="eastAsia"/>
        </w:rPr>
        <w:t>政策法规环境；</w:t>
      </w:r>
    </w:p>
    <w:p w14:paraId="31C92568" w14:textId="77777777" w:rsidR="006B4107" w:rsidRDefault="004E70C7">
      <w:pPr>
        <w:pStyle w:val="affd"/>
        <w:numPr>
          <w:ilvl w:val="0"/>
          <w:numId w:val="18"/>
        </w:numPr>
        <w:spacing w:beforeLines="50" w:before="180" w:afterLines="50" w:after="180"/>
        <w:ind w:left="981" w:right="113"/>
        <w:contextualSpacing w:val="0"/>
        <w:jc w:val="both"/>
        <w:rPr>
          <w:rFonts w:ascii="Arial Narrow" w:hAnsi="Arial Narrow" w:cs="Arial Unicode MS"/>
        </w:rPr>
      </w:pPr>
      <w:r>
        <w:rPr>
          <w:rFonts w:ascii="Arial Narrow" w:hAnsi="Arial Narrow" w:cs="Arial Unicode MS" w:hint="eastAsia"/>
        </w:rPr>
        <w:t>行业发展趋势；</w:t>
      </w:r>
    </w:p>
    <w:p w14:paraId="0CACE472" w14:textId="77777777" w:rsidR="006B4107" w:rsidRDefault="004E70C7">
      <w:pPr>
        <w:pStyle w:val="affd"/>
        <w:numPr>
          <w:ilvl w:val="0"/>
          <w:numId w:val="18"/>
        </w:numPr>
        <w:spacing w:beforeLines="50" w:before="180" w:afterLines="50" w:after="180"/>
        <w:ind w:left="981" w:right="113"/>
        <w:contextualSpacing w:val="0"/>
        <w:jc w:val="both"/>
        <w:rPr>
          <w:rFonts w:ascii="Arial Narrow" w:hAnsi="Arial Narrow" w:cs="Arial Unicode MS"/>
        </w:rPr>
      </w:pPr>
      <w:r>
        <w:rPr>
          <w:rFonts w:ascii="Arial Narrow" w:hAnsi="Arial Narrow" w:cs="Arial Unicode MS" w:hint="eastAsia"/>
        </w:rPr>
        <w:t>总结。</w:t>
      </w:r>
    </w:p>
    <w:p w14:paraId="5FC49ED6" w14:textId="77777777" w:rsidR="006B4107" w:rsidRDefault="004E70C7">
      <w:pPr>
        <w:pStyle w:val="2"/>
        <w:rPr>
          <w:rFonts w:ascii="Arial Narrow" w:eastAsia="仿宋_GB2312" w:hAnsi="Arial Narrow"/>
          <w:b w:val="0"/>
          <w:color w:val="002060"/>
          <w:sz w:val="22"/>
        </w:rPr>
      </w:pPr>
      <w:bookmarkStart w:id="256" w:name="_Toc140761296"/>
      <w:bookmarkStart w:id="257" w:name="_Toc185598828"/>
      <w:bookmarkEnd w:id="253"/>
      <w:bookmarkEnd w:id="254"/>
      <w:bookmarkEnd w:id="255"/>
      <w:r>
        <w:rPr>
          <w:rFonts w:ascii="Arial Narrow" w:eastAsia="仿宋_GB2312" w:hAnsi="Arial Narrow" w:hint="eastAsia"/>
          <w:b w:val="0"/>
          <w:color w:val="002060"/>
          <w:sz w:val="22"/>
        </w:rPr>
        <w:t>道路运输</w:t>
      </w:r>
      <w:r>
        <w:rPr>
          <w:rFonts w:ascii="Arial Narrow" w:eastAsia="仿宋_GB2312" w:hAnsi="Arial Narrow"/>
          <w:b w:val="0"/>
          <w:color w:val="002060"/>
          <w:sz w:val="22"/>
        </w:rPr>
        <w:t>行业概述</w:t>
      </w:r>
      <w:bookmarkEnd w:id="256"/>
      <w:bookmarkEnd w:id="257"/>
    </w:p>
    <w:p w14:paraId="150E6524" w14:textId="77777777" w:rsidR="006B4107" w:rsidRDefault="004E70C7">
      <w:pPr>
        <w:spacing w:beforeLines="50" w:before="180" w:afterLines="50" w:after="180" w:line="360" w:lineRule="auto"/>
        <w:ind w:firstLineChars="200" w:firstLine="440"/>
        <w:jc w:val="both"/>
        <w:rPr>
          <w:rFonts w:cs="Arial Unicode MS"/>
        </w:rPr>
      </w:pPr>
      <w:r>
        <w:rPr>
          <w:rFonts w:cs="Arial Unicode MS" w:hint="eastAsia"/>
        </w:rPr>
        <w:t>道路运输是指在公共道路（包括城市、城间、城乡间、乡间能行驶汽车的所有道路）上使用汽车或其他运输工具，从事旅客或货物运输及其相关业务活动的总称。</w:t>
      </w:r>
    </w:p>
    <w:p w14:paraId="644AD10B" w14:textId="77777777" w:rsidR="006B4107" w:rsidRDefault="004E70C7">
      <w:pPr>
        <w:spacing w:beforeLines="50" w:before="180" w:afterLines="50" w:after="180" w:line="360" w:lineRule="auto"/>
        <w:ind w:firstLineChars="200" w:firstLine="440"/>
        <w:jc w:val="both"/>
        <w:rPr>
          <w:rFonts w:cs="Arial Unicode MS"/>
        </w:rPr>
      </w:pPr>
      <w:r>
        <w:rPr>
          <w:rFonts w:cs="Arial Unicode MS" w:hint="eastAsia"/>
        </w:rPr>
        <w:t>道路运输分为直达运输、干线运输和短距离集散运输三种形式。因此，道路运输有“通过”运输和“送达”或“集散”的功能，尤其是“送达”或“集散”功能作为其他几种运输方式（管道除外）的终端运输方式是交通运输中不可缺少的组成部分，在综合交通运输体系中发挥着非常重要的作用。随着高速公路向网络规模的发展，利用高速公路的干线运</w:t>
      </w:r>
      <w:r>
        <w:rPr>
          <w:rFonts w:cs="Arial Unicode MS" w:hint="eastAsia"/>
        </w:rPr>
        <w:t>输功能，道路运输作为一种具有功能齐全（“通过”和“送达”或“集散”齐备）的运输体系发挥着越来越重要的作用。</w:t>
      </w:r>
    </w:p>
    <w:p w14:paraId="25429154" w14:textId="77777777" w:rsidR="006B4107" w:rsidRDefault="004E70C7">
      <w:pPr>
        <w:spacing w:beforeLines="50" w:before="180" w:afterLines="50" w:after="180" w:line="360" w:lineRule="auto"/>
        <w:ind w:firstLineChars="200" w:firstLine="440"/>
        <w:jc w:val="both"/>
        <w:rPr>
          <w:rFonts w:cs="Arial Unicode MS"/>
        </w:rPr>
      </w:pPr>
      <w:r>
        <w:rPr>
          <w:rFonts w:cs="Arial Unicode MS" w:hint="eastAsia"/>
        </w:rPr>
        <w:lastRenderedPageBreak/>
        <w:t>与其他运输方式比较，道路运输的特点是灵活性，尤其是高速公路建设，信息网络、通信技术以及计算机技术等的发展，又实现着快速性“门一门”运输和被称为零库存的运输特点，促使着道路运输的快速发展。</w:t>
      </w:r>
    </w:p>
    <w:p w14:paraId="05CE0070" w14:textId="77777777" w:rsidR="006B4107" w:rsidRDefault="004E70C7">
      <w:pPr>
        <w:spacing w:beforeLines="50" w:before="180" w:afterLines="50" w:after="180" w:line="360" w:lineRule="auto"/>
        <w:ind w:firstLineChars="200" w:firstLine="440"/>
        <w:jc w:val="both"/>
        <w:rPr>
          <w:rFonts w:cs="Arial Unicode MS"/>
        </w:rPr>
      </w:pPr>
      <w:r>
        <w:rPr>
          <w:rFonts w:cs="Arial Unicode MS" w:hint="eastAsia"/>
        </w:rPr>
        <w:t>道路运输的灵活性和快速性主要表现在批量、运输条件、时间和服务上的灵活性以及时间上的快速性。由于道路运输的批量小和要求的运输条件相对宽松，所以在运输时间和服务水平上容易得到保障。也正因为如此，道路运输具有生产点多面广的</w:t>
      </w:r>
      <w:r>
        <w:rPr>
          <w:rFonts w:cs="Arial Unicode MS" w:hint="eastAsia"/>
        </w:rPr>
        <w:t>特点。</w:t>
      </w:r>
    </w:p>
    <w:p w14:paraId="4AF36FA6" w14:textId="77777777" w:rsidR="006B4107" w:rsidRDefault="004E70C7">
      <w:pPr>
        <w:pStyle w:val="2"/>
        <w:rPr>
          <w:rFonts w:ascii="Arial Narrow" w:eastAsia="仿宋_GB2312" w:hAnsi="Arial Narrow"/>
          <w:color w:val="002060"/>
          <w:sz w:val="22"/>
        </w:rPr>
      </w:pPr>
      <w:bookmarkStart w:id="258" w:name="_Toc185598830"/>
      <w:r>
        <w:rPr>
          <w:rFonts w:ascii="Arial Narrow" w:eastAsia="仿宋_GB2312" w:hAnsi="Arial Narrow" w:hint="eastAsia"/>
          <w:b w:val="0"/>
          <w:color w:val="002060"/>
          <w:sz w:val="22"/>
        </w:rPr>
        <w:t>市场规模与结构</w:t>
      </w:r>
      <w:bookmarkEnd w:id="258"/>
    </w:p>
    <w:p w14:paraId="780F1E86" w14:textId="77777777" w:rsidR="006B4107" w:rsidRDefault="004E70C7">
      <w:pPr>
        <w:spacing w:beforeLines="50" w:before="180" w:afterLines="50" w:after="180" w:line="360" w:lineRule="auto"/>
        <w:ind w:firstLineChars="200" w:firstLine="440"/>
        <w:jc w:val="both"/>
        <w:rPr>
          <w:rFonts w:cs="Arial Unicode MS"/>
        </w:rPr>
      </w:pPr>
      <w:r>
        <w:rPr>
          <w:rFonts w:cs="Arial Unicode MS"/>
        </w:rPr>
        <w:t>道路运输业实质上是一种依托于公路网络的物流活动，其核心在于运用各类载货车辆，尤其是以卡车为主的运输工具，实现货物从一地到另一地的空间转移。作为综合交通运输体系的重要组成部分，在国民经济中占据着关键地位。近年来，其整体规模呈现出持续增长的态势。从运输量来看，货运量均保持在较高水平且稳步上升。在过去三年间，全国道路货运量累计达</w:t>
      </w:r>
      <w:r>
        <w:rPr>
          <w:rFonts w:cs="Arial Unicode MS"/>
        </w:rPr>
        <w:t>11,316,879</w:t>
      </w:r>
      <w:r>
        <w:rPr>
          <w:rFonts w:cs="Arial Unicode MS"/>
        </w:rPr>
        <w:t>万吨。另外，货运周转量也相应增长，反映出道路运输在人员和货物空间位移服务方面的广泛覆盖和不断强化的服务能力。</w:t>
      </w:r>
    </w:p>
    <w:p w14:paraId="7712F81B" w14:textId="77777777" w:rsidR="006B4107" w:rsidRDefault="004E70C7">
      <w:pPr>
        <w:pStyle w:val="a6"/>
        <w:ind w:left="420" w:hanging="420"/>
        <w:jc w:val="center"/>
      </w:pPr>
      <w:r>
        <w:rPr>
          <w:rFonts w:ascii="仿宋" w:eastAsia="仿宋" w:hAnsi="仿宋"/>
          <w:noProof/>
        </w:rPr>
        <w:drawing>
          <wp:anchor distT="0" distB="0" distL="114300" distR="114300" simplePos="0" relativeHeight="251660288" behindDoc="0" locked="0" layoutInCell="1" allowOverlap="1" wp14:anchorId="51465801" wp14:editId="12AB0073">
            <wp:simplePos x="0" y="0"/>
            <wp:positionH relativeFrom="margin">
              <wp:align>center</wp:align>
            </wp:positionH>
            <wp:positionV relativeFrom="paragraph">
              <wp:posOffset>484505</wp:posOffset>
            </wp:positionV>
            <wp:extent cx="4467225" cy="2219325"/>
            <wp:effectExtent l="0" t="0" r="9525" b="9525"/>
            <wp:wrapTopAndBottom/>
            <wp:docPr id="378300161" name="图表 378300161"/>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anchor>
        </w:drawing>
      </w:r>
      <w:r>
        <w:rPr>
          <w:rFonts w:ascii="仿宋" w:eastAsia="仿宋" w:hAnsi="仿宋"/>
        </w:rPr>
        <w:t>图表</w:t>
      </w:r>
      <w:r>
        <w:rPr>
          <w:rFonts w:eastAsia="仿宋" w:cs="Arial Narrow"/>
        </w:rPr>
        <w:t>7</w:t>
      </w:r>
      <w:r>
        <w:rPr>
          <w:rFonts w:ascii="仿宋" w:eastAsia="仿宋" w:hAnsi="仿宋"/>
        </w:rPr>
        <w:t>：</w:t>
      </w:r>
      <w:r>
        <w:rPr>
          <w:rFonts w:ascii="仿宋" w:eastAsia="仿宋" w:hAnsi="仿宋"/>
        </w:rPr>
        <w:t>2019-2023</w:t>
      </w:r>
      <w:r>
        <w:rPr>
          <w:rFonts w:ascii="仿宋" w:eastAsia="仿宋" w:hAnsi="仿宋"/>
        </w:rPr>
        <w:t>年我国道路运输</w:t>
      </w:r>
      <w:proofErr w:type="gramStart"/>
      <w:r>
        <w:rPr>
          <w:rFonts w:ascii="仿宋" w:eastAsia="仿宋" w:hAnsi="仿宋"/>
        </w:rPr>
        <w:t>业公路</w:t>
      </w:r>
      <w:proofErr w:type="gramEnd"/>
      <w:r>
        <w:rPr>
          <w:rFonts w:ascii="仿宋" w:eastAsia="仿宋" w:hAnsi="仿宋"/>
        </w:rPr>
        <w:t>货物运输量（单位：万吨）</w:t>
      </w:r>
      <w:r>
        <w:rPr>
          <w:rStyle w:val="affc"/>
        </w:rPr>
        <w:footnoteReference w:id="2"/>
      </w:r>
    </w:p>
    <w:p w14:paraId="2DC526B6" w14:textId="77777777" w:rsidR="006B4107" w:rsidRDefault="004E70C7">
      <w:pPr>
        <w:spacing w:beforeLines="50" w:before="180" w:afterLines="50" w:after="180" w:line="360" w:lineRule="auto"/>
        <w:ind w:firstLineChars="200" w:firstLine="440"/>
        <w:jc w:val="both"/>
      </w:pPr>
      <w:r>
        <w:lastRenderedPageBreak/>
        <w:t>我国道路货运行业市场规模和增长率据最新发布的交通运输统计数据，</w:t>
      </w:r>
      <w:r>
        <w:t>2023</w:t>
      </w:r>
      <w:r>
        <w:t>年度中国道路货运业务展现出强劲的增长势头。全年商业运营中，道路运输业共计承运货物量达到</w:t>
      </w:r>
      <w:r>
        <w:t>403.37</w:t>
      </w:r>
      <w:r>
        <w:t>亿吨，相较于前一年度，这一数字实现了</w:t>
      </w:r>
      <w:r>
        <w:t>8.7%</w:t>
      </w:r>
      <w:r>
        <w:t>的显著增幅。同时，货物周转总量亦呈现上升趋势，全年累计达到</w:t>
      </w:r>
      <w:r>
        <w:t>7.4</w:t>
      </w:r>
      <w:proofErr w:type="gramStart"/>
      <w:r>
        <w:t>万亿</w:t>
      </w:r>
      <w:proofErr w:type="gramEnd"/>
      <w:r>
        <w:t>吨公里，较之以往同期，增长率达到了</w:t>
      </w:r>
      <w:r>
        <w:t>6.9%</w:t>
      </w:r>
      <w:r>
        <w:t>。</w:t>
      </w:r>
      <w:r>
        <w:t>2023</w:t>
      </w:r>
      <w:r>
        <w:t>年，我国道路货运行业的市场规模达到了</w:t>
      </w:r>
      <w:r>
        <w:t>5.26</w:t>
      </w:r>
      <w:proofErr w:type="gramStart"/>
      <w:r>
        <w:t>万亿</w:t>
      </w:r>
      <w:proofErr w:type="gramEnd"/>
      <w:r>
        <w:t>元，显示出稳步增长的态势</w:t>
      </w:r>
      <w:r>
        <w:rPr>
          <w:rStyle w:val="affc"/>
        </w:rPr>
        <w:footnoteReference w:id="3"/>
      </w:r>
      <w:r>
        <w:t>。此外，</w:t>
      </w:r>
      <w:r>
        <w:t>2023</w:t>
      </w:r>
      <w:r>
        <w:t>年末全国拥有载货汽</w:t>
      </w:r>
      <w:r>
        <w:t>车</w:t>
      </w:r>
      <w:r>
        <w:t>1170.97</w:t>
      </w:r>
      <w:r>
        <w:t>万辆，其中货车类占约</w:t>
      </w:r>
      <w:r>
        <w:t>37%</w:t>
      </w:r>
      <w:r>
        <w:t>，在道路运输市场中占有重要地位。</w:t>
      </w:r>
    </w:p>
    <w:p w14:paraId="7F6AD42D" w14:textId="77777777" w:rsidR="006B4107" w:rsidRDefault="004E70C7">
      <w:pPr>
        <w:spacing w:beforeLines="50" w:before="180" w:afterLines="50" w:after="180" w:line="360" w:lineRule="auto"/>
        <w:ind w:firstLineChars="200" w:firstLine="440"/>
        <w:jc w:val="both"/>
      </w:pPr>
      <w:r>
        <w:t>目前，国家对交通运输产业以及道路基础设施的建设仍然处于大力支持的阶段，在贸易活动进一步活跃，下游产业需求规模进一步扩大的背景下，中国道路货运的规模将稳中有进。初步预计</w:t>
      </w:r>
      <w:r>
        <w:t>2029</w:t>
      </w:r>
      <w:r>
        <w:t>年道路货运规模将超过</w:t>
      </w:r>
      <w:r>
        <w:t>420</w:t>
      </w:r>
      <w:r>
        <w:t>亿吨，</w:t>
      </w:r>
      <w:r>
        <w:t>2024-2029</w:t>
      </w:r>
      <w:r>
        <w:t>年复合增长率为</w:t>
      </w:r>
      <w:r>
        <w:t>2%</w:t>
      </w:r>
      <w:r>
        <w:rPr>
          <w:rStyle w:val="affc"/>
        </w:rPr>
        <w:footnoteReference w:id="4"/>
      </w:r>
      <w:r>
        <w:t>。且从长远来看，我国道路货运市场规模在</w:t>
      </w:r>
      <w:r>
        <w:t>2021</w:t>
      </w:r>
      <w:r>
        <w:t>年达到了约</w:t>
      </w:r>
      <w:r>
        <w:t>5</w:t>
      </w:r>
      <w:proofErr w:type="gramStart"/>
      <w:r>
        <w:t>万亿</w:t>
      </w:r>
      <w:proofErr w:type="gramEnd"/>
      <w:r>
        <w:t>元，自</w:t>
      </w:r>
      <w:r>
        <w:t>2016</w:t>
      </w:r>
      <w:r>
        <w:t>年以来一直保持着</w:t>
      </w:r>
      <w:r>
        <w:t>3.3%</w:t>
      </w:r>
      <w:r>
        <w:t>左右的稳定复合增长率。随着国家对交通基础设施的持续投资和物流需求的不断增长，预计到</w:t>
      </w:r>
      <w:r>
        <w:t>2029</w:t>
      </w:r>
      <w:r>
        <w:t>年，道路货运市场规模将继续扩大至</w:t>
      </w:r>
      <w:r>
        <w:t>6.35</w:t>
      </w:r>
      <w:proofErr w:type="gramStart"/>
      <w:r>
        <w:t>万亿</w:t>
      </w:r>
      <w:proofErr w:type="gramEnd"/>
      <w:r>
        <w:t>元，展现出良好的发展前景</w:t>
      </w:r>
      <w:r>
        <w:rPr>
          <w:rStyle w:val="affc"/>
        </w:rPr>
        <w:footnoteReference w:id="5"/>
      </w:r>
      <w:r>
        <w:rPr>
          <w:rFonts w:hint="eastAsia"/>
        </w:rPr>
        <w:t>。</w:t>
      </w:r>
    </w:p>
    <w:p w14:paraId="405ACE2A" w14:textId="77777777" w:rsidR="006B4107" w:rsidRDefault="004E70C7">
      <w:pPr>
        <w:spacing w:beforeLines="50" w:before="180" w:afterLines="50" w:after="180" w:line="360" w:lineRule="auto"/>
        <w:jc w:val="center"/>
      </w:pPr>
      <w:r>
        <w:rPr>
          <w:rFonts w:ascii="仿宋" w:eastAsia="仿宋" w:hAnsi="仿宋"/>
          <w:noProof/>
        </w:rPr>
        <w:drawing>
          <wp:anchor distT="0" distB="0" distL="114300" distR="114300" simplePos="0" relativeHeight="251661312" behindDoc="0" locked="0" layoutInCell="1" allowOverlap="1" wp14:anchorId="453CE656" wp14:editId="3D1C54D3">
            <wp:simplePos x="0" y="0"/>
            <wp:positionH relativeFrom="page">
              <wp:align>right</wp:align>
            </wp:positionH>
            <wp:positionV relativeFrom="paragraph">
              <wp:posOffset>559435</wp:posOffset>
            </wp:positionV>
            <wp:extent cx="5344795" cy="2056765"/>
            <wp:effectExtent l="0" t="0" r="0" b="0"/>
            <wp:wrapTopAndBottom/>
            <wp:docPr id="1399736887" name="图表 1399736887"/>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anchor>
        </w:drawing>
      </w:r>
      <w:bookmarkStart w:id="259" w:name="OLE_LINK7"/>
      <w:r>
        <w:rPr>
          <w:rFonts w:ascii="仿宋" w:eastAsia="仿宋" w:hAnsi="仿宋"/>
          <w:b/>
          <w:bCs/>
        </w:rPr>
        <w:t>图表</w:t>
      </w:r>
      <w:r>
        <w:rPr>
          <w:rFonts w:eastAsia="仿宋" w:cs="Arial Narrow"/>
          <w:b/>
          <w:bCs/>
        </w:rPr>
        <w:t>8</w:t>
      </w:r>
      <w:r>
        <w:rPr>
          <w:rFonts w:ascii="仿宋" w:eastAsia="仿宋" w:hAnsi="仿宋"/>
          <w:b/>
          <w:bCs/>
        </w:rPr>
        <w:t>：</w:t>
      </w:r>
      <w:r>
        <w:rPr>
          <w:rFonts w:ascii="仿宋" w:eastAsia="仿宋" w:hAnsi="仿宋"/>
          <w:b/>
          <w:bCs/>
        </w:rPr>
        <w:t>2023</w:t>
      </w:r>
      <w:r>
        <w:rPr>
          <w:rFonts w:ascii="仿宋" w:eastAsia="仿宋" w:hAnsi="仿宋"/>
          <w:b/>
          <w:bCs/>
        </w:rPr>
        <w:t>年载货汽车市场占比份额</w:t>
      </w:r>
      <w:bookmarkEnd w:id="259"/>
      <w:r>
        <w:rPr>
          <w:rStyle w:val="affc"/>
          <w:rFonts w:ascii="仿宋" w:eastAsia="仿宋" w:hAnsi="仿宋"/>
          <w:b/>
          <w:bCs/>
        </w:rPr>
        <w:footnoteReference w:id="6"/>
      </w:r>
    </w:p>
    <w:p w14:paraId="76A3F8FF" w14:textId="77777777" w:rsidR="006B4107" w:rsidRDefault="004E70C7">
      <w:pPr>
        <w:pStyle w:val="3"/>
        <w:rPr>
          <w:rFonts w:ascii="Arial Narrow" w:eastAsia="仿宋_GB2312" w:hAnsi="Arial Narrow" w:cs="楷体"/>
          <w:b w:val="0"/>
          <w:iCs w:val="0"/>
          <w:color w:val="002060"/>
          <w:sz w:val="22"/>
          <w:szCs w:val="22"/>
        </w:rPr>
      </w:pPr>
      <w:bookmarkStart w:id="260" w:name="_Toc185598831"/>
      <w:r>
        <w:rPr>
          <w:rFonts w:ascii="Arial Narrow" w:eastAsia="仿宋_GB2312" w:hAnsi="Arial Narrow" w:cs="楷体" w:hint="eastAsia"/>
          <w:b w:val="0"/>
          <w:iCs w:val="0"/>
          <w:color w:val="002060"/>
          <w:sz w:val="22"/>
          <w:szCs w:val="22"/>
        </w:rPr>
        <w:lastRenderedPageBreak/>
        <w:t>产业链上中下游</w:t>
      </w:r>
      <w:bookmarkEnd w:id="260"/>
    </w:p>
    <w:p w14:paraId="0B944361" w14:textId="77777777" w:rsidR="006B4107" w:rsidRDefault="004E70C7">
      <w:pPr>
        <w:spacing w:beforeLines="50" w:before="180" w:afterLines="50" w:after="180" w:line="360" w:lineRule="auto"/>
        <w:ind w:firstLineChars="200" w:firstLine="440"/>
        <w:jc w:val="both"/>
      </w:pPr>
      <w:r>
        <w:rPr>
          <w:rFonts w:hint="eastAsia"/>
        </w:rPr>
        <w:t>随着我国经济的持续发展，货运需求大幅增加，公路货运行业在社会经济中的重要性日益凸显。作为国家的基础性产业，公路货运在保障各行业供应链顺畅运行中起着关键作用。同时，新能源商用车的快速普及和道路基础设施的持续完善也推动了公路货运行业的发展。</w:t>
      </w:r>
    </w:p>
    <w:p w14:paraId="51E993B7" w14:textId="77777777" w:rsidR="006B4107" w:rsidRDefault="004E70C7">
      <w:pPr>
        <w:spacing w:beforeLines="50" w:before="180" w:afterLines="50" w:after="180" w:line="360" w:lineRule="auto"/>
        <w:ind w:firstLineChars="200" w:firstLine="440"/>
        <w:jc w:val="both"/>
      </w:pPr>
      <w:r>
        <w:rPr>
          <w:rFonts w:hint="eastAsia"/>
        </w:rPr>
        <w:t>公路货运行业的产业</w:t>
      </w:r>
      <w:proofErr w:type="gramStart"/>
      <w:r>
        <w:rPr>
          <w:rFonts w:hint="eastAsia"/>
        </w:rPr>
        <w:t>链包括</w:t>
      </w:r>
      <w:proofErr w:type="gramEnd"/>
      <w:r>
        <w:rPr>
          <w:rFonts w:hint="eastAsia"/>
        </w:rPr>
        <w:t>上游、中游和下游三个主要环节：</w:t>
      </w:r>
    </w:p>
    <w:p w14:paraId="08D4A528" w14:textId="77777777" w:rsidR="006B4107" w:rsidRDefault="004E70C7">
      <w:pPr>
        <w:spacing w:beforeLines="50" w:before="180" w:afterLines="50" w:after="180" w:line="360" w:lineRule="auto"/>
        <w:ind w:firstLineChars="200" w:firstLine="440"/>
        <w:jc w:val="both"/>
      </w:pPr>
      <w:r>
        <w:rPr>
          <w:rFonts w:hint="eastAsia"/>
        </w:rPr>
        <w:t>上游：包括整车制造商（如福田汽车、中集车辆、中国重汽）、公路运营企业和能源物资供应企业（如中国石油、中国石化）。</w:t>
      </w:r>
    </w:p>
    <w:p w14:paraId="60D0A28E" w14:textId="77777777" w:rsidR="006B4107" w:rsidRDefault="004E70C7">
      <w:pPr>
        <w:spacing w:beforeLines="50" w:before="180" w:afterLines="50" w:after="180" w:line="360" w:lineRule="auto"/>
        <w:ind w:firstLineChars="200" w:firstLine="440"/>
        <w:jc w:val="both"/>
      </w:pPr>
      <w:r>
        <w:rPr>
          <w:rFonts w:hint="eastAsia"/>
        </w:rPr>
        <w:t>中游：公路货运服务企业（如中储物流、传</w:t>
      </w:r>
      <w:proofErr w:type="gramStart"/>
      <w:r>
        <w:rPr>
          <w:rFonts w:hint="eastAsia"/>
        </w:rPr>
        <w:t>化智联</w:t>
      </w:r>
      <w:proofErr w:type="gramEnd"/>
      <w:r>
        <w:rPr>
          <w:rFonts w:hint="eastAsia"/>
        </w:rPr>
        <w:t>、顺丰股份、德</w:t>
      </w:r>
      <w:proofErr w:type="gramStart"/>
      <w:r>
        <w:rPr>
          <w:rFonts w:hint="eastAsia"/>
        </w:rPr>
        <w:t>邦</w:t>
      </w:r>
      <w:proofErr w:type="gramEnd"/>
      <w:r>
        <w:rPr>
          <w:rFonts w:hint="eastAsia"/>
        </w:rPr>
        <w:t>物流）。</w:t>
      </w:r>
    </w:p>
    <w:p w14:paraId="3EF9162D" w14:textId="77777777" w:rsidR="006B4107" w:rsidRDefault="004E70C7">
      <w:pPr>
        <w:spacing w:beforeLines="50" w:before="180" w:afterLines="50" w:after="180" w:line="360" w:lineRule="auto"/>
        <w:ind w:firstLineChars="200" w:firstLine="440"/>
        <w:jc w:val="both"/>
      </w:pPr>
      <w:r>
        <w:rPr>
          <w:rFonts w:hint="eastAsia"/>
        </w:rPr>
        <w:t>下游：接受公路货运服务的个人及各行</w:t>
      </w:r>
      <w:r>
        <w:rPr>
          <w:rFonts w:hint="eastAsia"/>
        </w:rPr>
        <w:t>各业的商户和企业。此外，为公路货运提供配套服务的汽车维修厂商也起到了重要保障作用。</w:t>
      </w:r>
    </w:p>
    <w:p w14:paraId="74D48819" w14:textId="77777777" w:rsidR="006B4107" w:rsidRDefault="004E70C7">
      <w:pPr>
        <w:spacing w:beforeLines="50" w:before="180" w:afterLines="50" w:after="180" w:line="360" w:lineRule="auto"/>
        <w:ind w:firstLineChars="200" w:firstLine="442"/>
        <w:jc w:val="center"/>
      </w:pPr>
      <w:r>
        <w:rPr>
          <w:rFonts w:ascii="仿宋" w:eastAsia="仿宋" w:hAnsi="仿宋"/>
          <w:b/>
          <w:bCs/>
        </w:rPr>
        <w:t>图表</w:t>
      </w:r>
      <w:r>
        <w:rPr>
          <w:rFonts w:eastAsia="仿宋" w:cs="Arial Narrow"/>
          <w:b/>
          <w:bCs/>
        </w:rPr>
        <w:t>9</w:t>
      </w:r>
      <w:r>
        <w:rPr>
          <w:rFonts w:ascii="仿宋" w:eastAsia="仿宋" w:hAnsi="仿宋"/>
          <w:b/>
          <w:bCs/>
        </w:rPr>
        <w:t>：</w:t>
      </w:r>
      <w:r>
        <w:rPr>
          <w:rFonts w:ascii="仿宋" w:eastAsia="仿宋" w:hAnsi="仿宋" w:hint="eastAsia"/>
          <w:b/>
          <w:bCs/>
        </w:rPr>
        <w:t>货运行业产业链</w:t>
      </w:r>
      <w:r>
        <w:rPr>
          <w:rFonts w:hint="eastAsia"/>
        </w:rPr>
        <w:t xml:space="preserve"> </w:t>
      </w:r>
    </w:p>
    <w:p w14:paraId="1876196D" w14:textId="77777777" w:rsidR="006B4107" w:rsidRDefault="004E70C7">
      <w:pPr>
        <w:spacing w:beforeLines="50" w:before="180" w:afterLines="50" w:after="180" w:line="360" w:lineRule="auto"/>
        <w:ind w:firstLineChars="200" w:firstLine="440"/>
        <w:jc w:val="both"/>
      </w:pPr>
      <w:r>
        <w:rPr>
          <w:noProof/>
        </w:rPr>
        <w:drawing>
          <wp:inline distT="0" distB="0" distL="0" distR="0" wp14:anchorId="33132AEC" wp14:editId="016267BF">
            <wp:extent cx="4714240" cy="2134235"/>
            <wp:effectExtent l="0" t="0" r="0" b="0"/>
            <wp:docPr id="5" name="图片 5" descr="屏幕快照 2024-12-18 下午3.5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屏幕快照 2024-12-18 下午3.56.20"/>
                    <pic:cNvPicPr>
                      <a:picLocks noChangeAspect="1"/>
                    </pic:cNvPicPr>
                  </pic:nvPicPr>
                  <pic:blipFill>
                    <a:blip r:embed="rId31"/>
                    <a:stretch>
                      <a:fillRect/>
                    </a:stretch>
                  </pic:blipFill>
                  <pic:spPr>
                    <a:xfrm>
                      <a:off x="0" y="0"/>
                      <a:ext cx="4714240" cy="2134235"/>
                    </a:xfrm>
                    <a:prstGeom prst="rect">
                      <a:avLst/>
                    </a:prstGeom>
                  </pic:spPr>
                </pic:pic>
              </a:graphicData>
            </a:graphic>
          </wp:inline>
        </w:drawing>
      </w:r>
    </w:p>
    <w:p w14:paraId="05BA2545" w14:textId="77777777" w:rsidR="006B4107" w:rsidRDefault="004E70C7">
      <w:pPr>
        <w:spacing w:beforeLines="50" w:before="180" w:afterLines="50" w:after="180" w:line="360" w:lineRule="auto"/>
        <w:ind w:firstLineChars="200" w:firstLine="440"/>
        <w:jc w:val="both"/>
      </w:pPr>
      <w:r>
        <w:rPr>
          <w:rFonts w:hint="eastAsia"/>
        </w:rPr>
        <w:t>总体来看，我国公路货运行业的产业链脉络清晰，各环节紧密相连，共同推动着行业的稳步发展。</w:t>
      </w:r>
    </w:p>
    <w:p w14:paraId="51348428" w14:textId="77777777" w:rsidR="006B4107" w:rsidRDefault="004E70C7">
      <w:pPr>
        <w:pStyle w:val="2"/>
        <w:rPr>
          <w:rFonts w:ascii="Arial Narrow" w:eastAsia="仿宋_GB2312" w:hAnsi="Arial Narrow"/>
          <w:b w:val="0"/>
          <w:color w:val="002060"/>
          <w:sz w:val="22"/>
        </w:rPr>
      </w:pPr>
      <w:bookmarkStart w:id="261" w:name="_Toc185598832"/>
      <w:r>
        <w:rPr>
          <w:rFonts w:ascii="Arial Narrow" w:eastAsia="仿宋_GB2312" w:hAnsi="Arial Narrow" w:hint="eastAsia"/>
          <w:b w:val="0"/>
          <w:color w:val="002060"/>
          <w:sz w:val="22"/>
        </w:rPr>
        <w:lastRenderedPageBreak/>
        <w:t>行业竞争</w:t>
      </w:r>
      <w:bookmarkEnd w:id="261"/>
    </w:p>
    <w:p w14:paraId="66BEE64B" w14:textId="77777777" w:rsidR="006B4107" w:rsidRDefault="004E70C7">
      <w:pPr>
        <w:spacing w:beforeLines="50" w:before="180" w:afterLines="50" w:after="180" w:line="360" w:lineRule="auto"/>
        <w:ind w:firstLineChars="200" w:firstLine="440"/>
        <w:jc w:val="both"/>
      </w:pPr>
      <w:r>
        <w:t>中国道路运输行业的竞争格局主要由两个部分组成：一是行业内的竞争，二是行业外的竞争。</w:t>
      </w:r>
    </w:p>
    <w:p w14:paraId="4495BD70" w14:textId="77777777" w:rsidR="006B4107" w:rsidRDefault="004E70C7">
      <w:pPr>
        <w:spacing w:beforeLines="50" w:before="180" w:afterLines="50" w:after="180" w:line="360" w:lineRule="auto"/>
        <w:ind w:firstLineChars="200" w:firstLine="440"/>
        <w:jc w:val="both"/>
      </w:pPr>
      <w:r>
        <w:t>行业内的竞争主要来自于公司之间的竞争，行业内的公司之间的竞争主要是以价格、服务、技术和信誉为主要竞争手段。特别是在服务方面，运输公司和货运代理公司之间的竞争日益激烈，服务水平也日益提高。</w:t>
      </w:r>
    </w:p>
    <w:p w14:paraId="3F9144A2" w14:textId="77777777" w:rsidR="006B4107" w:rsidRDefault="004E70C7">
      <w:pPr>
        <w:pStyle w:val="affd"/>
        <w:numPr>
          <w:ilvl w:val="0"/>
          <w:numId w:val="19"/>
        </w:numPr>
        <w:spacing w:beforeLines="50" w:before="180" w:afterLines="50" w:after="180" w:line="360" w:lineRule="auto"/>
        <w:jc w:val="both"/>
      </w:pPr>
      <w:r>
        <w:t>价格竞争激烈：中小型货运企业众多，市场分散，竞争主要以价格为导向。部分企业通过压低价格吸引客户，导致行业利润率偏低。</w:t>
      </w:r>
    </w:p>
    <w:p w14:paraId="4302D79D" w14:textId="77777777" w:rsidR="006B4107" w:rsidRDefault="004E70C7">
      <w:pPr>
        <w:pStyle w:val="affd"/>
        <w:numPr>
          <w:ilvl w:val="0"/>
          <w:numId w:val="19"/>
        </w:numPr>
        <w:spacing w:beforeLines="50" w:before="180" w:afterLines="50" w:after="180" w:line="360" w:lineRule="auto"/>
        <w:jc w:val="both"/>
      </w:pPr>
      <w:r>
        <w:t>服务差异化不足：许多货运企业提供的服务较为同质化，难以形成品牌竞争力。客户更倾向于选择价格更低的服务，而非质量更高的服务。</w:t>
      </w:r>
    </w:p>
    <w:p w14:paraId="5F1676ED" w14:textId="77777777" w:rsidR="006B4107" w:rsidRDefault="004E70C7">
      <w:pPr>
        <w:pStyle w:val="affd"/>
        <w:numPr>
          <w:ilvl w:val="0"/>
          <w:numId w:val="19"/>
        </w:numPr>
        <w:spacing w:beforeLines="50" w:before="180" w:afterLines="50" w:after="180" w:line="360" w:lineRule="auto"/>
        <w:jc w:val="both"/>
      </w:pPr>
      <w:r>
        <w:t>平台化与规模化竞争：大型物流平台（如德</w:t>
      </w:r>
      <w:proofErr w:type="gramStart"/>
      <w:r>
        <w:t>邦</w:t>
      </w:r>
      <w:proofErr w:type="gramEnd"/>
      <w:r>
        <w:t>物流、顺丰快运）通过技术赋能、整合资源和优</w:t>
      </w:r>
      <w:r>
        <w:t>化服务链，逐步蚕食传统中小货运企业的市场份额。</w:t>
      </w:r>
    </w:p>
    <w:p w14:paraId="7BDD5A94" w14:textId="77777777" w:rsidR="006B4107" w:rsidRDefault="004E70C7">
      <w:pPr>
        <w:pStyle w:val="affd"/>
        <w:numPr>
          <w:ilvl w:val="0"/>
          <w:numId w:val="19"/>
        </w:numPr>
        <w:spacing w:beforeLines="50" w:before="180" w:afterLines="50" w:after="180" w:line="360" w:lineRule="auto"/>
        <w:jc w:val="both"/>
      </w:pPr>
      <w:r>
        <w:t>技术驱动竞争：数字化技术的普及使得车货匹配平台（</w:t>
      </w:r>
      <w:proofErr w:type="gramStart"/>
      <w:r>
        <w:t>如货拉拉</w:t>
      </w:r>
      <w:proofErr w:type="gramEnd"/>
      <w:r>
        <w:t>、</w:t>
      </w:r>
      <w:bookmarkStart w:id="262" w:name="OLE_LINK3"/>
      <w:r>
        <w:t>满帮集团</w:t>
      </w:r>
      <w:bookmarkEnd w:id="262"/>
      <w:r>
        <w:t>）成为竞争焦点，它们依靠大数据、</w:t>
      </w:r>
      <w:r>
        <w:t>AI</w:t>
      </w:r>
      <w:r>
        <w:t>技术提升效率，降低运营成本。</w:t>
      </w:r>
    </w:p>
    <w:p w14:paraId="75E8E2F6" w14:textId="77777777" w:rsidR="006B4107" w:rsidRDefault="004E70C7">
      <w:pPr>
        <w:spacing w:beforeLines="50" w:before="180" w:afterLines="50" w:after="180" w:line="360" w:lineRule="auto"/>
        <w:ind w:firstLineChars="200" w:firstLine="440"/>
        <w:jc w:val="both"/>
      </w:pPr>
      <w:r>
        <w:t>行业外的竞争主要来自于其他运输方式，如铁路运输、水路运输、航空运输等，这些运输方式的发展都会对公路运输行业造成一定的竞争。公路运输行业与其他运输方式的竞争主要是以价格、服务、时效、安全性和灵活性等为主要竞争手段。</w:t>
      </w:r>
    </w:p>
    <w:p w14:paraId="0257F9AC" w14:textId="77777777" w:rsidR="006B4107" w:rsidRDefault="004E70C7">
      <w:pPr>
        <w:spacing w:beforeLines="50" w:before="180" w:afterLines="50" w:after="180" w:line="360" w:lineRule="auto"/>
        <w:ind w:firstLineChars="200" w:firstLine="440"/>
        <w:jc w:val="both"/>
      </w:pPr>
      <w:r>
        <w:t>中国公路运输行业市场现状处于快速发展之中，行业内的竞争日趋激烈，而行业外的竞争也日益激烈。只有不断强化自身实力，才能在竞争中取得优势，发展公路运输行业。</w:t>
      </w:r>
    </w:p>
    <w:p w14:paraId="0411EA2B" w14:textId="77777777" w:rsidR="006B4107" w:rsidRDefault="004E70C7">
      <w:pPr>
        <w:pStyle w:val="2"/>
        <w:rPr>
          <w:rFonts w:ascii="Arial Narrow" w:eastAsia="仿宋_GB2312" w:hAnsi="Arial Narrow"/>
          <w:b w:val="0"/>
          <w:color w:val="002060"/>
          <w:sz w:val="22"/>
        </w:rPr>
      </w:pPr>
      <w:bookmarkStart w:id="263" w:name="_Toc185598833"/>
      <w:r>
        <w:rPr>
          <w:rFonts w:ascii="Arial Narrow" w:eastAsia="仿宋_GB2312" w:hAnsi="Arial Narrow" w:hint="eastAsia"/>
          <w:b w:val="0"/>
          <w:color w:val="002060"/>
          <w:sz w:val="22"/>
        </w:rPr>
        <w:t>政策法规环境</w:t>
      </w:r>
      <w:bookmarkEnd w:id="263"/>
    </w:p>
    <w:p w14:paraId="3E512D52" w14:textId="77777777" w:rsidR="006B4107" w:rsidRDefault="004E70C7">
      <w:pPr>
        <w:spacing w:beforeLines="50" w:before="180" w:afterLines="50" w:after="180" w:line="360" w:lineRule="auto"/>
        <w:ind w:firstLineChars="200" w:firstLine="440"/>
        <w:jc w:val="both"/>
      </w:pPr>
      <w:r>
        <w:t>2021</w:t>
      </w:r>
      <w:r>
        <w:t>年</w:t>
      </w:r>
      <w:r>
        <w:t>8</w:t>
      </w:r>
      <w:r>
        <w:t>月，我国交通运输部发布《交通运输领域新型基础设施建设行动方案</w:t>
      </w:r>
      <w:r>
        <w:rPr>
          <w:rFonts w:hint="eastAsia"/>
        </w:rPr>
        <w:t>（</w:t>
      </w:r>
      <w:r>
        <w:t>2021-2025</w:t>
      </w:r>
      <w:r>
        <w:t>年</w:t>
      </w:r>
      <w:r>
        <w:rPr>
          <w:rFonts w:hint="eastAsia"/>
        </w:rPr>
        <w:t>）</w:t>
      </w:r>
      <w:r>
        <w:t>》提出要打造综合交通运输</w:t>
      </w:r>
      <w:r>
        <w:t xml:space="preserve"> “</w:t>
      </w:r>
      <w:r>
        <w:t>数据大脑</w:t>
      </w:r>
      <w:r>
        <w:t>”</w:t>
      </w:r>
      <w:r>
        <w:t>，建</w:t>
      </w:r>
      <w:proofErr w:type="gramStart"/>
      <w:r>
        <w:t>强综合</w:t>
      </w:r>
      <w:proofErr w:type="gramEnd"/>
      <w:r>
        <w:t>交通运输领域基础设施建设行动方案和掌控突发事件应急指挥能力。鼓励和支持各地交通运输主管部门统</w:t>
      </w:r>
      <w:r>
        <w:lastRenderedPageBreak/>
        <w:t>筹开展综合交通运输信息平台建设，通过信息平台的互联互通，实现各级综合交通运输信息平台互联互通。</w:t>
      </w:r>
      <w:r>
        <w:rPr>
          <w:rFonts w:hint="eastAsia"/>
        </w:rPr>
        <w:t>2</w:t>
      </w:r>
      <w:r>
        <w:t>022</w:t>
      </w:r>
      <w:r>
        <w:rPr>
          <w:rFonts w:hint="eastAsia"/>
        </w:rPr>
        <w:t>年</w:t>
      </w:r>
      <w:r>
        <w:rPr>
          <w:rFonts w:hint="eastAsia"/>
        </w:rPr>
        <w:t>3</w:t>
      </w:r>
      <w:r>
        <w:t>月</w:t>
      </w:r>
      <w:r>
        <w:t>，中共中央国务院关于印发《中共中央国务院关于加快建设全国统一大市场的意见》，也强调了要推进多层次一体化发展，加快建设全国统一综合交通枢纽建设，推动交通运输设施跨区域、</w:t>
      </w:r>
      <w:proofErr w:type="gramStart"/>
      <w:r>
        <w:t>跨方式</w:t>
      </w:r>
      <w:proofErr w:type="gramEnd"/>
      <w:r>
        <w:t>一体化发展。</w:t>
      </w:r>
    </w:p>
    <w:p w14:paraId="4B446803" w14:textId="77777777" w:rsidR="006B4107" w:rsidRDefault="004E70C7">
      <w:pPr>
        <w:spacing w:beforeLines="50" w:before="180" w:afterLines="50" w:after="180" w:line="360" w:lineRule="auto"/>
        <w:ind w:firstLineChars="200" w:firstLine="440"/>
        <w:jc w:val="both"/>
      </w:pPr>
      <w:r>
        <w:t xml:space="preserve">2023 </w:t>
      </w:r>
      <w:r>
        <w:t>年</w:t>
      </w:r>
      <w:r>
        <w:t>9</w:t>
      </w:r>
      <w:r>
        <w:t>月，交通运输部办公厅再次明确了道路运输企业和城市应当认定为重大事故隐患的若干情形。其中，所属货运车辆运输过程中发生客货运输企业生产安全事故且导致车辆总质量超过</w:t>
      </w:r>
      <w:r>
        <w:t xml:space="preserve"> 100 </w:t>
      </w:r>
      <w:r>
        <w:t>吨的，被认定为重大事故隐患认定标准为重大事故隐患的情形之一。还有使用擅自</w:t>
      </w:r>
      <w:r>
        <w:rPr>
          <w:rFonts w:hint="eastAsia"/>
        </w:rPr>
        <w:t>（</w:t>
      </w:r>
      <w:r>
        <w:t>自行</w:t>
      </w:r>
      <w:r>
        <w:rPr>
          <w:rFonts w:hint="eastAsia"/>
        </w:rPr>
        <w:t>）</w:t>
      </w:r>
      <w:r>
        <w:t>通知、改装、拼装的车辆从事经营活动的，所属经营性驾驶员和车辆存在</w:t>
      </w:r>
      <w:r>
        <w:t>长期</w:t>
      </w:r>
      <w:r>
        <w:t xml:space="preserve"> “</w:t>
      </w:r>
      <w:r>
        <w:t>三超</w:t>
      </w:r>
      <w:proofErr w:type="gramStart"/>
      <w:r>
        <w:t>一</w:t>
      </w:r>
      <w:proofErr w:type="gramEnd"/>
      <w:r>
        <w:t>疲劳</w:t>
      </w:r>
      <w:r>
        <w:t xml:space="preserve">” </w:t>
      </w:r>
      <w:r>
        <w:t>的情形等也被认定为重大事故隐患。通过明确重大事故隐患的认定标准，促使企业规范运营，加强车辆和驾驶员管理，减少安全事故的发生。</w:t>
      </w:r>
    </w:p>
    <w:p w14:paraId="1A5725B7" w14:textId="77777777" w:rsidR="006B4107" w:rsidRDefault="004E70C7">
      <w:pPr>
        <w:spacing w:beforeLines="50" w:before="180" w:afterLines="50" w:after="180" w:line="360" w:lineRule="auto"/>
        <w:ind w:firstLineChars="200" w:firstLine="440"/>
        <w:jc w:val="both"/>
      </w:pPr>
      <w:r>
        <w:t>总体而言，这些政策从基础设施、行业规范、综合交通体系建设等多个方面对道路运输业进行了全方位的引导和规范，旨在促进道路运输业的高质量、安全、高效发展，同时也将对行业内企业的运营和竞争产生深远影响。</w:t>
      </w:r>
    </w:p>
    <w:p w14:paraId="1C4EA32B" w14:textId="77777777" w:rsidR="006B4107" w:rsidRDefault="004E70C7">
      <w:pPr>
        <w:pStyle w:val="2"/>
        <w:rPr>
          <w:rFonts w:ascii="Arial Narrow" w:eastAsia="仿宋_GB2312" w:hAnsi="Arial Narrow"/>
          <w:b w:val="0"/>
          <w:color w:val="002060"/>
          <w:sz w:val="22"/>
        </w:rPr>
      </w:pPr>
      <w:bookmarkStart w:id="264" w:name="_Toc185598834"/>
      <w:r>
        <w:rPr>
          <w:rFonts w:ascii="Arial Narrow" w:eastAsia="仿宋_GB2312" w:hAnsi="Arial Narrow" w:hint="eastAsia"/>
          <w:b w:val="0"/>
          <w:color w:val="002060"/>
          <w:sz w:val="22"/>
        </w:rPr>
        <w:t>行业发展趋势</w:t>
      </w:r>
      <w:r>
        <w:rPr>
          <w:rStyle w:val="affc"/>
          <w:rFonts w:ascii="Arial Narrow" w:eastAsia="仿宋_GB2312" w:hAnsi="Arial Narrow"/>
          <w:b w:val="0"/>
          <w:color w:val="002060"/>
          <w:sz w:val="22"/>
        </w:rPr>
        <w:footnoteReference w:id="7"/>
      </w:r>
      <w:bookmarkEnd w:id="264"/>
    </w:p>
    <w:p w14:paraId="0FD65941" w14:textId="77777777" w:rsidR="006B4107" w:rsidRDefault="004E70C7">
      <w:pPr>
        <w:numPr>
          <w:ilvl w:val="0"/>
          <w:numId w:val="20"/>
        </w:numPr>
        <w:spacing w:beforeLines="50" w:before="180" w:afterLines="50" w:after="180" w:line="360" w:lineRule="auto"/>
        <w:jc w:val="both"/>
      </w:pPr>
      <w:r>
        <w:t>服务质量全面升级</w:t>
      </w:r>
    </w:p>
    <w:p w14:paraId="2D2AC1AB" w14:textId="77777777" w:rsidR="006B4107" w:rsidRDefault="004E70C7">
      <w:pPr>
        <w:spacing w:beforeLines="50" w:before="180" w:afterLines="50" w:after="180" w:line="360" w:lineRule="auto"/>
        <w:ind w:firstLineChars="200" w:firstLine="440"/>
        <w:jc w:val="both"/>
      </w:pPr>
      <w:r>
        <w:t>道路运输作为服务性行业，全产业链上利用智能化手段改革、在产品种类上的革新以及加快与其他运输模式的融合，最终都将回归到行业服务质量的提</w:t>
      </w:r>
      <w:r>
        <w:t>升上，下游用户的服务体验将持续升级。</w:t>
      </w:r>
    </w:p>
    <w:p w14:paraId="5C5499A8" w14:textId="77777777" w:rsidR="006B4107" w:rsidRDefault="004E70C7">
      <w:pPr>
        <w:numPr>
          <w:ilvl w:val="0"/>
          <w:numId w:val="20"/>
        </w:numPr>
        <w:spacing w:beforeLines="50" w:before="180" w:afterLines="50" w:after="180" w:line="360" w:lineRule="auto"/>
        <w:jc w:val="both"/>
      </w:pPr>
      <w:r>
        <w:t>绿色</w:t>
      </w:r>
      <w:proofErr w:type="gramStart"/>
      <w:r>
        <w:t>化运输</w:t>
      </w:r>
      <w:proofErr w:type="gramEnd"/>
      <w:r>
        <w:t>兴起</w:t>
      </w:r>
    </w:p>
    <w:p w14:paraId="3497A862" w14:textId="77777777" w:rsidR="006B4107" w:rsidRDefault="004E70C7">
      <w:pPr>
        <w:spacing w:beforeLines="50" w:before="180" w:afterLines="50" w:after="180" w:line="360" w:lineRule="auto"/>
        <w:ind w:firstLineChars="200" w:firstLine="440"/>
        <w:jc w:val="both"/>
      </w:pPr>
      <w:r>
        <w:lastRenderedPageBreak/>
        <w:t>环保政策趋严，新能源货车应用比例持续攀升，尤其电动货车在城市配送中减</w:t>
      </w:r>
      <w:proofErr w:type="gramStart"/>
      <w:r>
        <w:t>排优势</w:t>
      </w:r>
      <w:proofErr w:type="gramEnd"/>
      <w:r>
        <w:t>显著。低碳物流理念贯穿全产业链，各环节积极</w:t>
      </w:r>
      <w:proofErr w:type="gramStart"/>
      <w:r>
        <w:t>践行</w:t>
      </w:r>
      <w:proofErr w:type="gramEnd"/>
      <w:r>
        <w:t>绿色理念，推动行业迈向可持续发展道路。</w:t>
      </w:r>
    </w:p>
    <w:p w14:paraId="39239616" w14:textId="77777777" w:rsidR="006B4107" w:rsidRDefault="004E70C7">
      <w:pPr>
        <w:numPr>
          <w:ilvl w:val="0"/>
          <w:numId w:val="20"/>
        </w:numPr>
        <w:spacing w:beforeLines="50" w:before="180" w:afterLines="50" w:after="180" w:line="360" w:lineRule="auto"/>
        <w:jc w:val="both"/>
      </w:pPr>
      <w:r>
        <w:t>平台化与一体化构建</w:t>
      </w:r>
    </w:p>
    <w:p w14:paraId="2541A5B5" w14:textId="77777777" w:rsidR="006B4107" w:rsidRDefault="004E70C7">
      <w:pPr>
        <w:spacing w:beforeLines="50" w:before="180" w:afterLines="50" w:after="180" w:line="360" w:lineRule="auto"/>
        <w:ind w:firstLineChars="200" w:firstLine="440"/>
        <w:jc w:val="both"/>
      </w:pPr>
      <w:r>
        <w:t>众多企业向生态化拓展，构建综合物流服务平台，整合运输、仓储、供应链管理等环节。同时，公、水、铁联运一体化程度的提高，在传统运输的优势之外，公路货运将更高效地联结水路、铁路以及航空等运输极式，为充分发挥国家立体交通运输网络的优势提供至关重要的力量。</w:t>
      </w:r>
    </w:p>
    <w:p w14:paraId="627ED0D1" w14:textId="77777777" w:rsidR="006B4107" w:rsidRDefault="004E70C7">
      <w:pPr>
        <w:numPr>
          <w:ilvl w:val="0"/>
          <w:numId w:val="20"/>
        </w:numPr>
        <w:spacing w:beforeLines="50" w:before="180" w:afterLines="50" w:after="180" w:line="360" w:lineRule="auto"/>
        <w:jc w:val="both"/>
      </w:pPr>
      <w:r>
        <w:t>市场整合趋势加强</w:t>
      </w:r>
    </w:p>
    <w:p w14:paraId="361DC761" w14:textId="77777777" w:rsidR="006B4107" w:rsidRDefault="004E70C7">
      <w:pPr>
        <w:spacing w:beforeLines="50" w:before="180" w:afterLines="50" w:after="180" w:line="360" w:lineRule="auto"/>
        <w:ind w:firstLineChars="200" w:firstLine="440"/>
        <w:jc w:val="both"/>
      </w:pPr>
      <w:r>
        <w:t>行业并购重组</w:t>
      </w:r>
      <w:r>
        <w:t>活动频繁，市场份额加速向头部企业集中。大型企业凭规模、技术和品牌优势巩固地位，中小型企业生存空间受压，转而寻求专业化细分化发展，如聚焦冷链、危险品运输等特殊领域，促使行业服务体系更趋多元完善。</w:t>
      </w:r>
    </w:p>
    <w:p w14:paraId="2F76ABD5" w14:textId="77777777" w:rsidR="006B4107" w:rsidRDefault="004E70C7">
      <w:pPr>
        <w:pStyle w:val="2"/>
        <w:rPr>
          <w:rFonts w:ascii="Arial Narrow" w:eastAsia="仿宋_GB2312" w:hAnsi="Arial Narrow"/>
          <w:b w:val="0"/>
          <w:color w:val="002060"/>
          <w:sz w:val="22"/>
        </w:rPr>
      </w:pPr>
      <w:bookmarkStart w:id="265" w:name="_Toc50477739"/>
      <w:bookmarkStart w:id="266" w:name="_Toc50038991"/>
      <w:bookmarkStart w:id="267" w:name="_Toc77182224"/>
      <w:bookmarkStart w:id="268" w:name="_Toc77181485"/>
      <w:bookmarkStart w:id="269" w:name="_Toc78820005"/>
      <w:bookmarkStart w:id="270" w:name="_Toc49961710"/>
      <w:bookmarkStart w:id="271" w:name="_Toc185598835"/>
      <w:bookmarkEnd w:id="265"/>
      <w:bookmarkEnd w:id="266"/>
      <w:bookmarkEnd w:id="267"/>
      <w:bookmarkEnd w:id="268"/>
      <w:bookmarkEnd w:id="269"/>
      <w:bookmarkEnd w:id="270"/>
      <w:r>
        <w:rPr>
          <w:rFonts w:ascii="Arial Narrow" w:eastAsia="仿宋_GB2312" w:hAnsi="Arial Narrow" w:hint="eastAsia"/>
          <w:b w:val="0"/>
          <w:color w:val="002060"/>
          <w:sz w:val="22"/>
        </w:rPr>
        <w:t>总结</w:t>
      </w:r>
      <w:bookmarkEnd w:id="271"/>
    </w:p>
    <w:p w14:paraId="76AACAD0" w14:textId="77777777" w:rsidR="006B4107" w:rsidRDefault="004E70C7">
      <w:pPr>
        <w:spacing w:beforeLines="50" w:before="180" w:afterLines="50" w:after="180" w:line="360" w:lineRule="auto"/>
        <w:ind w:firstLineChars="200" w:firstLine="440"/>
        <w:jc w:val="both"/>
        <w:rPr>
          <w:rFonts w:cs="Arial Unicode MS"/>
        </w:rPr>
      </w:pPr>
      <w:r>
        <w:rPr>
          <w:rFonts w:cs="Arial Unicode MS"/>
        </w:rPr>
        <w:t>综上所述，道路运输业在国民经济中的地位重要且正处于快速发展与变革之中，竞争愈发激烈。企业需要积极应对，一方面要利用新技术创新运营模式，提高效率和服务质量；另一方面要积极响应政策，向绿色、安全方向发展，同时加强与各方的合作，整合资源实现共赢，从而在行业的动态发展中保持竞争力，助力行业持续健康发展。</w:t>
      </w:r>
    </w:p>
    <w:p w14:paraId="113395DC" w14:textId="77777777" w:rsidR="006B4107" w:rsidRDefault="006B4107">
      <w:pPr>
        <w:jc w:val="both"/>
        <w:rPr>
          <w:sz w:val="21"/>
          <w:szCs w:val="21"/>
        </w:rPr>
        <w:sectPr w:rsidR="006B4107">
          <w:headerReference w:type="even" r:id="rId32"/>
          <w:headerReference w:type="default" r:id="rId33"/>
          <w:headerReference w:type="first" r:id="rId34"/>
          <w:pgSz w:w="11907" w:h="16839"/>
          <w:pgMar w:top="1440" w:right="1800" w:bottom="1440" w:left="1800" w:header="720" w:footer="720" w:gutter="0"/>
          <w:cols w:space="720"/>
          <w:docGrid w:type="lines" w:linePitch="360"/>
        </w:sectPr>
      </w:pPr>
      <w:bookmarkStart w:id="272" w:name="_Toc489951810"/>
      <w:bookmarkEnd w:id="272"/>
    </w:p>
    <w:p w14:paraId="0308DBFD" w14:textId="77777777" w:rsidR="006B4107" w:rsidRDefault="004E70C7">
      <w:pPr>
        <w:pStyle w:val="1"/>
        <w:rPr>
          <w:rFonts w:ascii="Arial Narrow" w:eastAsia="仿宋_GB2312" w:hAnsi="Arial Narrow"/>
          <w:b w:val="0"/>
          <w:bCs/>
          <w:color w:val="1E4517" w:themeColor="accent4" w:themeShade="80"/>
          <w:sz w:val="28"/>
          <w:szCs w:val="28"/>
        </w:rPr>
      </w:pPr>
      <w:bookmarkStart w:id="273" w:name="_Toc140761303"/>
      <w:bookmarkStart w:id="274" w:name="_Toc185598836"/>
      <w:r>
        <w:rPr>
          <w:rFonts w:ascii="Arial Narrow" w:eastAsia="仿宋_GB2312" w:hAnsi="Arial Narrow"/>
          <w:b w:val="0"/>
          <w:bCs/>
          <w:color w:val="1E4517" w:themeColor="accent4" w:themeShade="80"/>
          <w:sz w:val="28"/>
          <w:szCs w:val="28"/>
        </w:rPr>
        <w:lastRenderedPageBreak/>
        <w:t>关联交易</w:t>
      </w:r>
      <w:bookmarkEnd w:id="273"/>
      <w:bookmarkEnd w:id="274"/>
    </w:p>
    <w:p w14:paraId="05EC1BD5" w14:textId="77777777" w:rsidR="006B4107" w:rsidRDefault="004E70C7">
      <w:pPr>
        <w:pStyle w:val="2"/>
        <w:rPr>
          <w:rFonts w:ascii="Arial Narrow" w:eastAsia="仿宋_GB2312" w:hAnsi="Arial Narrow"/>
          <w:b w:val="0"/>
          <w:color w:val="002060"/>
          <w:sz w:val="22"/>
          <w:szCs w:val="22"/>
        </w:rPr>
      </w:pPr>
      <w:bookmarkStart w:id="275" w:name="_Toc140761304"/>
      <w:bookmarkStart w:id="276" w:name="_Toc185598837"/>
      <w:r>
        <w:rPr>
          <w:rFonts w:ascii="Arial Narrow" w:eastAsia="仿宋_GB2312" w:hAnsi="Arial Narrow"/>
          <w:b w:val="0"/>
          <w:color w:val="002060"/>
          <w:sz w:val="22"/>
          <w:szCs w:val="22"/>
        </w:rPr>
        <w:t>关联方信息</w:t>
      </w:r>
      <w:bookmarkEnd w:id="275"/>
      <w:bookmarkEnd w:id="276"/>
    </w:p>
    <w:p w14:paraId="4DF46038" w14:textId="77777777" w:rsidR="006B4107" w:rsidRDefault="004E70C7">
      <w:pPr>
        <w:spacing w:beforeLines="50" w:before="180" w:afterLines="50" w:after="180" w:line="360" w:lineRule="auto"/>
        <w:ind w:firstLineChars="200" w:firstLine="440"/>
        <w:jc w:val="both"/>
        <w:rPr>
          <w:rFonts w:cs="Arial Unicode MS"/>
        </w:rPr>
      </w:pPr>
      <w:proofErr w:type="gramStart"/>
      <w:r>
        <w:rPr>
          <w:rFonts w:cs="Arial Unicode MS" w:hint="eastAsia"/>
        </w:rPr>
        <w:t>远化物流</w:t>
      </w:r>
      <w:proofErr w:type="gramEnd"/>
      <w:r>
        <w:rPr>
          <w:rFonts w:cs="Arial Unicode MS"/>
        </w:rPr>
        <w:t>2023</w:t>
      </w:r>
      <w:r>
        <w:rPr>
          <w:rFonts w:cs="Arial Unicode MS"/>
        </w:rPr>
        <w:t>年度主要关联方的基本信息如下所示：</w:t>
      </w:r>
    </w:p>
    <w:p w14:paraId="331C2AC3" w14:textId="77777777" w:rsidR="006B4107" w:rsidRDefault="004E70C7">
      <w:pPr>
        <w:spacing w:beforeLines="50" w:before="180" w:afterLines="50" w:after="180" w:line="360" w:lineRule="auto"/>
        <w:ind w:firstLineChars="200" w:firstLine="440"/>
        <w:jc w:val="both"/>
        <w:rPr>
          <w:rFonts w:cs="Arial Unicode MS"/>
        </w:rPr>
      </w:pPr>
      <w:r>
        <w:rPr>
          <w:rFonts w:cs="Arial Unicode MS"/>
        </w:rPr>
        <w:t>1</w:t>
      </w:r>
      <w:r>
        <w:rPr>
          <w:rFonts w:cs="Arial Unicode MS"/>
        </w:rPr>
        <w:t>）</w:t>
      </w:r>
      <w:proofErr w:type="gramStart"/>
      <w:r>
        <w:rPr>
          <w:rFonts w:cs="Arial Unicode MS" w:hint="eastAsia"/>
        </w:rPr>
        <w:t>远化物流</w:t>
      </w:r>
      <w:proofErr w:type="gramEnd"/>
      <w:r>
        <w:rPr>
          <w:rFonts w:cs="Arial Unicode MS"/>
        </w:rPr>
        <w:t>的母公司情况</w:t>
      </w:r>
    </w:p>
    <w:p w14:paraId="5AA15102" w14:textId="77777777" w:rsidR="006B4107" w:rsidRDefault="004E70C7">
      <w:pPr>
        <w:pStyle w:val="a6"/>
        <w:ind w:left="420" w:hanging="420"/>
        <w:jc w:val="center"/>
        <w:rPr>
          <w:rFonts w:ascii="仿宋" w:eastAsia="仿宋" w:hAnsi="仿宋"/>
        </w:rPr>
      </w:pPr>
      <w:r>
        <w:rPr>
          <w:rFonts w:ascii="仿宋" w:eastAsia="仿宋" w:hAnsi="仿宋"/>
        </w:rPr>
        <w:t>图表</w:t>
      </w:r>
      <w:r>
        <w:rPr>
          <w:rFonts w:eastAsia="仿宋" w:cs="Arial Narrow"/>
        </w:rPr>
        <w:t>10</w:t>
      </w:r>
      <w:r>
        <w:rPr>
          <w:rFonts w:ascii="仿宋" w:eastAsia="仿宋" w:hAnsi="仿宋"/>
        </w:rPr>
        <w:t>：本公司的母公司的基本信息</w:t>
      </w:r>
    </w:p>
    <w:tbl>
      <w:tblPr>
        <w:tblW w:w="76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64"/>
        <w:gridCol w:w="1418"/>
        <w:gridCol w:w="2273"/>
      </w:tblGrid>
      <w:tr w:rsidR="006B4107" w14:paraId="7F1339AB" w14:textId="77777777">
        <w:trPr>
          <w:trHeight w:val="454"/>
          <w:jc w:val="center"/>
        </w:trPr>
        <w:tc>
          <w:tcPr>
            <w:tcW w:w="3964" w:type="dxa"/>
            <w:shd w:val="clear" w:color="auto" w:fill="002060"/>
            <w:vAlign w:val="center"/>
          </w:tcPr>
          <w:p w14:paraId="79AD8F37" w14:textId="77777777" w:rsidR="006B4107" w:rsidRDefault="004E70C7">
            <w:pPr>
              <w:jc w:val="center"/>
              <w:rPr>
                <w:rFonts w:ascii="仿宋" w:eastAsia="仿宋" w:hAnsi="仿宋" w:cs="楷体"/>
                <w:b/>
                <w:bCs/>
                <w:color w:val="FFFFFF" w:themeColor="background1"/>
              </w:rPr>
            </w:pPr>
            <w:r>
              <w:rPr>
                <w:rFonts w:ascii="仿宋" w:eastAsia="仿宋" w:hAnsi="仿宋" w:cs="楷体" w:hint="eastAsia"/>
                <w:b/>
                <w:color w:val="FFFFFF" w:themeColor="background1"/>
              </w:rPr>
              <w:t>公司名称</w:t>
            </w:r>
          </w:p>
        </w:tc>
        <w:tc>
          <w:tcPr>
            <w:tcW w:w="1418" w:type="dxa"/>
            <w:shd w:val="clear" w:color="auto" w:fill="002060"/>
            <w:vAlign w:val="center"/>
          </w:tcPr>
          <w:p w14:paraId="125C3ADA" w14:textId="77777777" w:rsidR="006B4107" w:rsidRDefault="004E70C7">
            <w:pPr>
              <w:jc w:val="center"/>
              <w:rPr>
                <w:rFonts w:ascii="仿宋" w:eastAsia="仿宋" w:hAnsi="仿宋" w:cs="楷体"/>
                <w:b/>
                <w:bCs/>
                <w:color w:val="FFFFFF" w:themeColor="background1"/>
              </w:rPr>
            </w:pPr>
            <w:r>
              <w:rPr>
                <w:rFonts w:ascii="仿宋" w:eastAsia="仿宋" w:hAnsi="仿宋" w:cs="楷体" w:hint="eastAsia"/>
                <w:b/>
                <w:color w:val="FFFFFF" w:themeColor="background1"/>
              </w:rPr>
              <w:t>地区</w:t>
            </w:r>
            <w:r>
              <w:rPr>
                <w:rFonts w:ascii="仿宋" w:eastAsia="仿宋" w:hAnsi="仿宋" w:cs="楷体" w:hint="eastAsia"/>
                <w:b/>
                <w:color w:val="FFFFFF" w:themeColor="background1"/>
              </w:rPr>
              <w:t>/</w:t>
            </w:r>
            <w:r>
              <w:rPr>
                <w:rFonts w:ascii="仿宋" w:eastAsia="仿宋" w:hAnsi="仿宋" w:cs="楷体" w:hint="eastAsia"/>
                <w:b/>
                <w:color w:val="FFFFFF" w:themeColor="background1"/>
              </w:rPr>
              <w:t>国家</w:t>
            </w:r>
          </w:p>
        </w:tc>
        <w:tc>
          <w:tcPr>
            <w:tcW w:w="2273" w:type="dxa"/>
            <w:shd w:val="clear" w:color="auto" w:fill="002060"/>
            <w:vAlign w:val="center"/>
          </w:tcPr>
          <w:p w14:paraId="774A790F" w14:textId="77777777" w:rsidR="006B4107" w:rsidRDefault="004E70C7">
            <w:pPr>
              <w:jc w:val="center"/>
              <w:rPr>
                <w:rFonts w:ascii="仿宋" w:eastAsia="仿宋" w:hAnsi="仿宋" w:cs="楷体"/>
                <w:b/>
                <w:color w:val="FFFFFF" w:themeColor="background1"/>
              </w:rPr>
            </w:pPr>
            <w:r>
              <w:rPr>
                <w:rFonts w:ascii="仿宋" w:eastAsia="仿宋" w:hAnsi="仿宋" w:cs="楷体" w:hint="eastAsia"/>
                <w:b/>
                <w:color w:val="FFFFFF" w:themeColor="background1"/>
              </w:rPr>
              <w:t>与本公司关系</w:t>
            </w:r>
          </w:p>
        </w:tc>
      </w:tr>
      <w:tr w:rsidR="006B4107" w14:paraId="5A88E40E" w14:textId="77777777">
        <w:trPr>
          <w:trHeight w:val="454"/>
          <w:jc w:val="center"/>
        </w:trPr>
        <w:tc>
          <w:tcPr>
            <w:tcW w:w="3964" w:type="dxa"/>
            <w:vAlign w:val="center"/>
          </w:tcPr>
          <w:p w14:paraId="1F9853D4" w14:textId="77777777" w:rsidR="006B4107" w:rsidRDefault="004E70C7">
            <w:pPr>
              <w:jc w:val="both"/>
              <w:rPr>
                <w:rFonts w:ascii="仿宋_GB2312" w:cs="楷体"/>
                <w:highlight w:val="yellow"/>
              </w:rPr>
            </w:pPr>
            <w:r>
              <w:rPr>
                <w:rFonts w:ascii="仿宋_GB2312" w:cs="楷体" w:hint="eastAsia"/>
                <w:color w:val="000000"/>
              </w:rPr>
              <w:t>远纺工业（上海）有限公司</w:t>
            </w:r>
          </w:p>
        </w:tc>
        <w:tc>
          <w:tcPr>
            <w:tcW w:w="1418" w:type="dxa"/>
            <w:vAlign w:val="center"/>
          </w:tcPr>
          <w:p w14:paraId="31D4A57D" w14:textId="77777777" w:rsidR="006B4107" w:rsidRDefault="004E70C7">
            <w:pPr>
              <w:jc w:val="center"/>
              <w:rPr>
                <w:rFonts w:ascii="仿宋_GB2312" w:cs="楷体"/>
                <w:highlight w:val="yellow"/>
              </w:rPr>
            </w:pPr>
            <w:r>
              <w:rPr>
                <w:rFonts w:ascii="仿宋_GB2312" w:cs="楷体" w:hint="eastAsia"/>
              </w:rPr>
              <w:t>中国</w:t>
            </w:r>
          </w:p>
        </w:tc>
        <w:tc>
          <w:tcPr>
            <w:tcW w:w="2273" w:type="dxa"/>
            <w:vAlign w:val="center"/>
          </w:tcPr>
          <w:p w14:paraId="45DD6C19" w14:textId="77777777" w:rsidR="006B4107" w:rsidRDefault="004E70C7">
            <w:pPr>
              <w:jc w:val="center"/>
              <w:rPr>
                <w:rFonts w:ascii="仿宋_GB2312" w:cs="楷体"/>
                <w:highlight w:val="yellow"/>
              </w:rPr>
            </w:pPr>
            <w:r>
              <w:rPr>
                <w:rFonts w:ascii="仿宋_GB2312" w:cs="楷体" w:hint="eastAsia"/>
              </w:rPr>
              <w:t>投资方</w:t>
            </w:r>
          </w:p>
        </w:tc>
      </w:tr>
    </w:tbl>
    <w:p w14:paraId="50A1D948" w14:textId="77777777" w:rsidR="006B4107" w:rsidRDefault="004E70C7">
      <w:pPr>
        <w:spacing w:beforeLines="50" w:before="180" w:afterLines="50" w:after="180"/>
        <w:ind w:leftChars="100" w:left="220"/>
        <w:jc w:val="both"/>
        <w:rPr>
          <w:rFonts w:cs="楷体"/>
          <w:sz w:val="18"/>
          <w:szCs w:val="18"/>
        </w:rPr>
      </w:pPr>
      <w:r>
        <w:rPr>
          <w:rFonts w:cs="STXihei,Italic"/>
          <w:i/>
          <w:iCs/>
          <w:sz w:val="16"/>
          <w:szCs w:val="16"/>
        </w:rPr>
        <w:t>信息来源：</w:t>
      </w:r>
      <w:proofErr w:type="gramStart"/>
      <w:r>
        <w:rPr>
          <w:rFonts w:cs="STXihei,Italic"/>
          <w:i/>
          <w:iCs/>
          <w:sz w:val="16"/>
          <w:szCs w:val="16"/>
        </w:rPr>
        <w:t>由</w:t>
      </w:r>
      <w:r>
        <w:rPr>
          <w:rFonts w:cs="STXihei,Italic" w:hint="eastAsia"/>
          <w:i/>
          <w:iCs/>
          <w:sz w:val="16"/>
          <w:szCs w:val="16"/>
        </w:rPr>
        <w:t>远化物流</w:t>
      </w:r>
      <w:proofErr w:type="gramEnd"/>
      <w:r>
        <w:rPr>
          <w:rFonts w:cs="STXihei,Italic"/>
          <w:i/>
          <w:iCs/>
          <w:sz w:val="16"/>
          <w:szCs w:val="16"/>
        </w:rPr>
        <w:t>提供</w:t>
      </w:r>
    </w:p>
    <w:p w14:paraId="6C198415" w14:textId="77777777" w:rsidR="006B4107" w:rsidRDefault="004E70C7">
      <w:pPr>
        <w:spacing w:beforeLines="50" w:before="180" w:afterLines="50" w:after="180" w:line="360" w:lineRule="auto"/>
        <w:ind w:firstLineChars="200" w:firstLine="440"/>
        <w:jc w:val="both"/>
        <w:rPr>
          <w:rFonts w:cs="Arial Unicode MS"/>
        </w:rPr>
      </w:pPr>
      <w:r>
        <w:rPr>
          <w:rFonts w:cs="Arial Unicode MS"/>
        </w:rPr>
        <w:t>母公司</w:t>
      </w:r>
      <w:r>
        <w:rPr>
          <w:rFonts w:cs="楷体" w:hint="eastAsia"/>
          <w:color w:val="000000"/>
        </w:rPr>
        <w:t>远纺工业（上海）有限公司</w:t>
      </w:r>
      <w:r>
        <w:rPr>
          <w:rFonts w:cs="Arial Unicode MS"/>
        </w:rPr>
        <w:t>对本公司的持股比例为</w:t>
      </w:r>
      <w:r>
        <w:rPr>
          <w:rFonts w:cs="Arial Unicode MS"/>
        </w:rPr>
        <w:t>100%</w:t>
      </w:r>
      <w:r>
        <w:rPr>
          <w:rFonts w:cs="Arial Unicode MS"/>
        </w:rPr>
        <w:t>，所持本公司的表决权比例为</w:t>
      </w:r>
      <w:r>
        <w:rPr>
          <w:rFonts w:cs="Arial Unicode MS"/>
        </w:rPr>
        <w:t>100%</w:t>
      </w:r>
      <w:r>
        <w:rPr>
          <w:rFonts w:cs="Arial Unicode MS"/>
        </w:rPr>
        <w:t>。</w:t>
      </w:r>
    </w:p>
    <w:p w14:paraId="29ED0D2C" w14:textId="77777777" w:rsidR="006B4107" w:rsidRDefault="004E70C7">
      <w:pPr>
        <w:spacing w:beforeLines="50" w:before="180" w:afterLines="50" w:after="180" w:line="360" w:lineRule="auto"/>
        <w:ind w:firstLineChars="200" w:firstLine="440"/>
        <w:jc w:val="both"/>
        <w:rPr>
          <w:rFonts w:cs="Arial Unicode MS"/>
        </w:rPr>
      </w:pPr>
      <w:r>
        <w:rPr>
          <w:rFonts w:cs="Arial Unicode MS"/>
        </w:rPr>
        <w:t>2</w:t>
      </w:r>
      <w:r>
        <w:rPr>
          <w:rFonts w:cs="Arial Unicode MS"/>
        </w:rPr>
        <w:t>）</w:t>
      </w:r>
      <w:proofErr w:type="gramStart"/>
      <w:r>
        <w:rPr>
          <w:rFonts w:cs="Arial Unicode MS" w:hint="eastAsia"/>
        </w:rPr>
        <w:t>远化物流</w:t>
      </w:r>
      <w:proofErr w:type="gramEnd"/>
      <w:r>
        <w:rPr>
          <w:rFonts w:cs="Arial Unicode MS"/>
        </w:rPr>
        <w:t>的其他关联</w:t>
      </w:r>
      <w:proofErr w:type="gramStart"/>
      <w:r>
        <w:rPr>
          <w:rFonts w:cs="Arial Unicode MS"/>
        </w:rPr>
        <w:t>方情况</w:t>
      </w:r>
      <w:proofErr w:type="gramEnd"/>
      <w:r>
        <w:rPr>
          <w:rFonts w:cs="Arial Unicode MS"/>
        </w:rPr>
        <w:t>如下：</w:t>
      </w:r>
    </w:p>
    <w:p w14:paraId="061F080F" w14:textId="77777777" w:rsidR="006B4107" w:rsidRDefault="004E70C7">
      <w:pPr>
        <w:spacing w:beforeLines="50" w:before="180" w:afterLines="50" w:after="180" w:line="360" w:lineRule="auto"/>
        <w:ind w:firstLineChars="200" w:firstLine="440"/>
        <w:jc w:val="both"/>
        <w:rPr>
          <w:rFonts w:cs="楷体"/>
        </w:rPr>
      </w:pPr>
      <w:r>
        <w:rPr>
          <w:rFonts w:cs="Arial Unicode MS"/>
        </w:rPr>
        <w:t>在</w:t>
      </w:r>
      <w:r>
        <w:rPr>
          <w:rFonts w:cs="Arial Unicode MS"/>
        </w:rPr>
        <w:t>2023</w:t>
      </w:r>
      <w:r>
        <w:rPr>
          <w:rFonts w:cs="Arial Unicode MS"/>
        </w:rPr>
        <w:t>年度，没有个人关联方直接或间接</w:t>
      </w:r>
      <w:proofErr w:type="gramStart"/>
      <w:r>
        <w:rPr>
          <w:rFonts w:cs="Arial Unicode MS"/>
        </w:rPr>
        <w:t>持有</w:t>
      </w:r>
      <w:r>
        <w:rPr>
          <w:rFonts w:cs="Arial Unicode MS" w:hint="eastAsia"/>
        </w:rPr>
        <w:t>远化物流</w:t>
      </w:r>
      <w:proofErr w:type="gramEnd"/>
      <w:r>
        <w:rPr>
          <w:rFonts w:cs="Arial Unicode MS"/>
        </w:rPr>
        <w:t>的股份</w:t>
      </w:r>
      <w:r>
        <w:rPr>
          <w:rFonts w:cs="Arial Unicode MS" w:hint="eastAsia"/>
        </w:rPr>
        <w:t>（</w:t>
      </w:r>
      <w:r>
        <w:rPr>
          <w:rFonts w:cs="Arial Unicode MS"/>
        </w:rPr>
        <w:t xml:space="preserve"> </w:t>
      </w:r>
      <w:r>
        <w:rPr>
          <w:rFonts w:cs="Arial Unicode MS"/>
        </w:rPr>
        <w:t>如：个人持有最终母公司超过</w:t>
      </w:r>
      <w:r>
        <w:rPr>
          <w:rFonts w:cs="Arial Unicode MS"/>
        </w:rPr>
        <w:t>25%</w:t>
      </w:r>
      <w:r>
        <w:rPr>
          <w:rFonts w:cs="Arial Unicode MS"/>
        </w:rPr>
        <w:t>的股份</w:t>
      </w:r>
      <w:r>
        <w:rPr>
          <w:rFonts w:cs="Arial Unicode MS" w:hint="eastAsia"/>
        </w:rPr>
        <w:t>）</w:t>
      </w:r>
      <w:r>
        <w:rPr>
          <w:rFonts w:cs="Arial Unicode MS"/>
        </w:rPr>
        <w:t>或</w:t>
      </w:r>
      <w:proofErr w:type="gramStart"/>
      <w:r>
        <w:rPr>
          <w:rFonts w:cs="Arial Unicode MS"/>
        </w:rPr>
        <w:t>与</w:t>
      </w:r>
      <w:r>
        <w:rPr>
          <w:rFonts w:cs="Arial Unicode MS" w:hint="eastAsia"/>
        </w:rPr>
        <w:t>远化物流</w:t>
      </w:r>
      <w:proofErr w:type="gramEnd"/>
      <w:r>
        <w:rPr>
          <w:rFonts w:cs="Arial Unicode MS"/>
        </w:rPr>
        <w:t>发生关联交易。</w:t>
      </w:r>
    </w:p>
    <w:p w14:paraId="6F84EE54" w14:textId="77777777" w:rsidR="006B4107" w:rsidRDefault="004E70C7">
      <w:pPr>
        <w:pStyle w:val="a6"/>
        <w:ind w:left="420" w:hanging="420"/>
        <w:jc w:val="center"/>
        <w:rPr>
          <w:rFonts w:ascii="仿宋" w:eastAsia="仿宋" w:hAnsi="仿宋"/>
        </w:rPr>
      </w:pPr>
      <w:bookmarkStart w:id="277" w:name="_Toc48317136"/>
      <w:bookmarkStart w:id="278" w:name="_Toc48317433"/>
      <w:r>
        <w:rPr>
          <w:rFonts w:ascii="仿宋" w:eastAsia="仿宋" w:hAnsi="仿宋"/>
        </w:rPr>
        <w:t>图表</w:t>
      </w:r>
      <w:r>
        <w:rPr>
          <w:rFonts w:eastAsia="仿宋" w:cs="Arial Narrow"/>
        </w:rPr>
        <w:t>11</w:t>
      </w:r>
      <w:r>
        <w:rPr>
          <w:rFonts w:ascii="仿宋" w:eastAsia="仿宋" w:hAnsi="仿宋"/>
        </w:rPr>
        <w:t>：本公司的其他关联方的基本信息</w:t>
      </w:r>
    </w:p>
    <w:tbl>
      <w:tblPr>
        <w:tblW w:w="82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64"/>
        <w:gridCol w:w="1418"/>
        <w:gridCol w:w="2835"/>
      </w:tblGrid>
      <w:tr w:rsidR="006B4107" w14:paraId="4F00B3A5" w14:textId="77777777">
        <w:trPr>
          <w:trHeight w:val="454"/>
          <w:tblHeader/>
          <w:jc w:val="center"/>
        </w:trPr>
        <w:tc>
          <w:tcPr>
            <w:tcW w:w="3964" w:type="dxa"/>
            <w:shd w:val="clear" w:color="auto" w:fill="002060"/>
            <w:vAlign w:val="center"/>
          </w:tcPr>
          <w:p w14:paraId="59B80646" w14:textId="77777777" w:rsidR="006B4107" w:rsidRDefault="004E70C7">
            <w:pPr>
              <w:jc w:val="center"/>
              <w:rPr>
                <w:rFonts w:ascii="仿宋" w:eastAsia="仿宋" w:hAnsi="仿宋" w:cs="楷体"/>
                <w:b/>
                <w:color w:val="FFFFFF" w:themeColor="background1"/>
              </w:rPr>
            </w:pPr>
            <w:r>
              <w:rPr>
                <w:rFonts w:ascii="仿宋" w:eastAsia="仿宋" w:hAnsi="仿宋" w:cs="楷体"/>
                <w:b/>
                <w:color w:val="FFFFFF" w:themeColor="background1"/>
              </w:rPr>
              <w:t>关联方名称</w:t>
            </w:r>
          </w:p>
        </w:tc>
        <w:tc>
          <w:tcPr>
            <w:tcW w:w="1418" w:type="dxa"/>
            <w:shd w:val="clear" w:color="auto" w:fill="002060"/>
            <w:vAlign w:val="center"/>
          </w:tcPr>
          <w:p w14:paraId="03D58BB7" w14:textId="77777777" w:rsidR="006B4107" w:rsidRDefault="004E70C7">
            <w:pPr>
              <w:jc w:val="center"/>
              <w:rPr>
                <w:rFonts w:ascii="仿宋" w:eastAsia="仿宋" w:hAnsi="仿宋" w:cs="楷体"/>
                <w:b/>
                <w:color w:val="FFFFFF" w:themeColor="background1"/>
              </w:rPr>
            </w:pPr>
            <w:r>
              <w:rPr>
                <w:rFonts w:ascii="仿宋" w:eastAsia="仿宋" w:hAnsi="仿宋" w:cs="楷体"/>
                <w:b/>
                <w:color w:val="FFFFFF" w:themeColor="background1"/>
              </w:rPr>
              <w:t>地区</w:t>
            </w:r>
            <w:r>
              <w:rPr>
                <w:rFonts w:ascii="仿宋" w:eastAsia="仿宋" w:hAnsi="仿宋" w:cs="楷体"/>
                <w:b/>
                <w:color w:val="FFFFFF" w:themeColor="background1"/>
              </w:rPr>
              <w:t>/</w:t>
            </w:r>
            <w:r>
              <w:rPr>
                <w:rFonts w:ascii="仿宋" w:eastAsia="仿宋" w:hAnsi="仿宋" w:cs="楷体"/>
                <w:b/>
                <w:color w:val="FFFFFF" w:themeColor="background1"/>
              </w:rPr>
              <w:t>国家</w:t>
            </w:r>
          </w:p>
        </w:tc>
        <w:tc>
          <w:tcPr>
            <w:tcW w:w="2835" w:type="dxa"/>
            <w:shd w:val="clear" w:color="auto" w:fill="002060"/>
            <w:vAlign w:val="center"/>
          </w:tcPr>
          <w:p w14:paraId="325DAE9E" w14:textId="77777777" w:rsidR="006B4107" w:rsidRDefault="004E70C7">
            <w:pPr>
              <w:jc w:val="center"/>
              <w:rPr>
                <w:rFonts w:ascii="仿宋" w:eastAsia="仿宋" w:hAnsi="仿宋" w:cs="楷体"/>
                <w:b/>
                <w:color w:val="FFFFFF" w:themeColor="background1"/>
              </w:rPr>
            </w:pPr>
            <w:r>
              <w:rPr>
                <w:rFonts w:ascii="仿宋" w:eastAsia="仿宋" w:hAnsi="仿宋" w:cs="楷体"/>
                <w:b/>
                <w:color w:val="FFFFFF" w:themeColor="background1"/>
              </w:rPr>
              <w:t>与本公司关系</w:t>
            </w:r>
          </w:p>
        </w:tc>
      </w:tr>
      <w:tr w:rsidR="006B4107" w14:paraId="19C6A945" w14:textId="77777777">
        <w:trPr>
          <w:trHeight w:val="288"/>
          <w:jc w:val="center"/>
        </w:trPr>
        <w:tc>
          <w:tcPr>
            <w:tcW w:w="3964" w:type="dxa"/>
            <w:vAlign w:val="center"/>
          </w:tcPr>
          <w:p w14:paraId="68F8AF62" w14:textId="77777777" w:rsidR="006B4107" w:rsidRDefault="004E70C7">
            <w:pPr>
              <w:jc w:val="both"/>
            </w:pPr>
            <w:r>
              <w:rPr>
                <w:rFonts w:hint="eastAsia"/>
              </w:rPr>
              <w:t>远纺工业（上海）有限公司</w:t>
            </w:r>
          </w:p>
        </w:tc>
        <w:tc>
          <w:tcPr>
            <w:tcW w:w="1418" w:type="dxa"/>
            <w:vAlign w:val="center"/>
          </w:tcPr>
          <w:p w14:paraId="276D38C4" w14:textId="77777777" w:rsidR="006B4107" w:rsidRDefault="004E70C7">
            <w:pPr>
              <w:jc w:val="center"/>
              <w:rPr>
                <w:rFonts w:cs="楷体"/>
              </w:rPr>
            </w:pPr>
            <w:r>
              <w:rPr>
                <w:rFonts w:cs="楷体"/>
              </w:rPr>
              <w:t>中国</w:t>
            </w:r>
          </w:p>
        </w:tc>
        <w:tc>
          <w:tcPr>
            <w:tcW w:w="2835" w:type="dxa"/>
            <w:vAlign w:val="center"/>
          </w:tcPr>
          <w:p w14:paraId="24277BD7" w14:textId="77777777" w:rsidR="006B4107" w:rsidRDefault="004E70C7">
            <w:pPr>
              <w:jc w:val="both"/>
              <w:rPr>
                <w:rFonts w:cs="楷体"/>
              </w:rPr>
            </w:pPr>
            <w:r>
              <w:rPr>
                <w:rFonts w:cs="楷体" w:hint="eastAsia"/>
              </w:rPr>
              <w:t>母公司</w:t>
            </w:r>
          </w:p>
        </w:tc>
      </w:tr>
      <w:tr w:rsidR="006B4107" w14:paraId="3BF23989" w14:textId="77777777">
        <w:trPr>
          <w:trHeight w:val="288"/>
          <w:jc w:val="center"/>
        </w:trPr>
        <w:tc>
          <w:tcPr>
            <w:tcW w:w="3964" w:type="dxa"/>
            <w:vAlign w:val="center"/>
          </w:tcPr>
          <w:p w14:paraId="75587E73" w14:textId="77777777" w:rsidR="006B4107" w:rsidRDefault="004E70C7">
            <w:pPr>
              <w:jc w:val="both"/>
            </w:pPr>
            <w:proofErr w:type="gramStart"/>
            <w:r>
              <w:rPr>
                <w:rFonts w:hint="eastAsia"/>
              </w:rPr>
              <w:t>远东仪</w:t>
            </w:r>
            <w:proofErr w:type="gramEnd"/>
            <w:r>
              <w:rPr>
                <w:rFonts w:hint="eastAsia"/>
              </w:rPr>
              <w:t>化石化（扬州）有限公司</w:t>
            </w:r>
          </w:p>
        </w:tc>
        <w:tc>
          <w:tcPr>
            <w:tcW w:w="1418" w:type="dxa"/>
            <w:vAlign w:val="center"/>
          </w:tcPr>
          <w:p w14:paraId="5EF7FF6E" w14:textId="77777777" w:rsidR="006B4107" w:rsidRDefault="004E70C7">
            <w:pPr>
              <w:jc w:val="center"/>
              <w:rPr>
                <w:rFonts w:cs="楷体"/>
              </w:rPr>
            </w:pPr>
            <w:r>
              <w:rPr>
                <w:rFonts w:cs="楷体" w:hint="eastAsia"/>
              </w:rPr>
              <w:t>中</w:t>
            </w:r>
            <w:r>
              <w:rPr>
                <w:rFonts w:cs="楷体"/>
              </w:rPr>
              <w:t>国</w:t>
            </w:r>
          </w:p>
        </w:tc>
        <w:tc>
          <w:tcPr>
            <w:tcW w:w="2835" w:type="dxa"/>
            <w:vAlign w:val="center"/>
          </w:tcPr>
          <w:p w14:paraId="6B0F1053" w14:textId="77777777" w:rsidR="006B4107" w:rsidRDefault="004E70C7">
            <w:pPr>
              <w:jc w:val="both"/>
              <w:rPr>
                <w:rFonts w:cs="楷体"/>
              </w:rPr>
            </w:pPr>
            <w:r>
              <w:rPr>
                <w:rFonts w:cs="楷体"/>
              </w:rPr>
              <w:t>同受最终控股公司控制</w:t>
            </w:r>
          </w:p>
        </w:tc>
      </w:tr>
      <w:tr w:rsidR="006B4107" w14:paraId="6EB2E769" w14:textId="77777777">
        <w:trPr>
          <w:trHeight w:val="288"/>
          <w:jc w:val="center"/>
        </w:trPr>
        <w:tc>
          <w:tcPr>
            <w:tcW w:w="3964" w:type="dxa"/>
            <w:vAlign w:val="center"/>
          </w:tcPr>
          <w:p w14:paraId="5696207F" w14:textId="77777777" w:rsidR="006B4107" w:rsidRDefault="004E70C7">
            <w:pPr>
              <w:jc w:val="both"/>
            </w:pPr>
            <w:proofErr w:type="gramStart"/>
            <w:r>
              <w:rPr>
                <w:rFonts w:hint="eastAsia"/>
              </w:rPr>
              <w:t>远东联</w:t>
            </w:r>
            <w:proofErr w:type="gramEnd"/>
            <w:r>
              <w:rPr>
                <w:rFonts w:hint="eastAsia"/>
              </w:rPr>
              <w:t>石化（扬州）有限公司</w:t>
            </w:r>
          </w:p>
        </w:tc>
        <w:tc>
          <w:tcPr>
            <w:tcW w:w="1418" w:type="dxa"/>
            <w:vAlign w:val="center"/>
          </w:tcPr>
          <w:p w14:paraId="58699F46" w14:textId="77777777" w:rsidR="006B4107" w:rsidRDefault="004E70C7">
            <w:pPr>
              <w:jc w:val="center"/>
              <w:rPr>
                <w:rFonts w:cs="楷体"/>
              </w:rPr>
            </w:pPr>
            <w:r>
              <w:rPr>
                <w:rFonts w:cs="楷体" w:hint="eastAsia"/>
              </w:rPr>
              <w:t>中</w:t>
            </w:r>
            <w:r>
              <w:rPr>
                <w:rFonts w:cs="楷体"/>
              </w:rPr>
              <w:t>国</w:t>
            </w:r>
          </w:p>
        </w:tc>
        <w:tc>
          <w:tcPr>
            <w:tcW w:w="2835" w:type="dxa"/>
            <w:vAlign w:val="center"/>
          </w:tcPr>
          <w:p w14:paraId="671012EC" w14:textId="77777777" w:rsidR="006B4107" w:rsidRDefault="004E70C7">
            <w:pPr>
              <w:jc w:val="both"/>
              <w:rPr>
                <w:rFonts w:cs="楷体"/>
              </w:rPr>
            </w:pPr>
            <w:r>
              <w:rPr>
                <w:rFonts w:cs="楷体" w:hint="eastAsia"/>
              </w:rPr>
              <w:t>同受最终控股公司控制</w:t>
            </w:r>
          </w:p>
        </w:tc>
      </w:tr>
      <w:tr w:rsidR="006B4107" w14:paraId="3195BFF2" w14:textId="77777777">
        <w:trPr>
          <w:trHeight w:val="288"/>
          <w:jc w:val="center"/>
        </w:trPr>
        <w:tc>
          <w:tcPr>
            <w:tcW w:w="3964" w:type="dxa"/>
            <w:vAlign w:val="center"/>
          </w:tcPr>
          <w:p w14:paraId="606494C3" w14:textId="77777777" w:rsidR="006B4107" w:rsidRDefault="004E70C7">
            <w:pPr>
              <w:jc w:val="both"/>
            </w:pPr>
            <w:r>
              <w:rPr>
                <w:rFonts w:hint="eastAsia"/>
              </w:rPr>
              <w:t>远鼎实业（上海）有限公司</w:t>
            </w:r>
          </w:p>
        </w:tc>
        <w:tc>
          <w:tcPr>
            <w:tcW w:w="1418" w:type="dxa"/>
            <w:vAlign w:val="center"/>
          </w:tcPr>
          <w:p w14:paraId="0DABF328" w14:textId="77777777" w:rsidR="006B4107" w:rsidRDefault="004E70C7">
            <w:pPr>
              <w:jc w:val="center"/>
              <w:rPr>
                <w:rFonts w:cs="楷体"/>
              </w:rPr>
            </w:pPr>
            <w:r>
              <w:rPr>
                <w:rFonts w:cs="楷体" w:hint="eastAsia"/>
              </w:rPr>
              <w:t>中</w:t>
            </w:r>
            <w:r>
              <w:rPr>
                <w:rFonts w:cs="楷体"/>
              </w:rPr>
              <w:t>国</w:t>
            </w:r>
          </w:p>
        </w:tc>
        <w:tc>
          <w:tcPr>
            <w:tcW w:w="2835" w:type="dxa"/>
            <w:vAlign w:val="center"/>
          </w:tcPr>
          <w:p w14:paraId="189BF1BE" w14:textId="77777777" w:rsidR="006B4107" w:rsidRDefault="004E70C7">
            <w:pPr>
              <w:jc w:val="both"/>
              <w:rPr>
                <w:rFonts w:cs="楷体"/>
              </w:rPr>
            </w:pPr>
            <w:r>
              <w:rPr>
                <w:rFonts w:cs="楷体" w:hint="eastAsia"/>
              </w:rPr>
              <w:t>同受最终控股公司控制</w:t>
            </w:r>
          </w:p>
        </w:tc>
      </w:tr>
      <w:tr w:rsidR="006B4107" w14:paraId="033B99EF" w14:textId="77777777">
        <w:trPr>
          <w:trHeight w:val="288"/>
          <w:jc w:val="center"/>
        </w:trPr>
        <w:tc>
          <w:tcPr>
            <w:tcW w:w="3964" w:type="dxa"/>
            <w:vAlign w:val="center"/>
          </w:tcPr>
          <w:p w14:paraId="58F16A0C" w14:textId="77777777" w:rsidR="006B4107" w:rsidRDefault="004E70C7">
            <w:pPr>
              <w:jc w:val="both"/>
              <w:rPr>
                <w:rFonts w:cs="楷体"/>
              </w:rPr>
            </w:pPr>
            <w:r>
              <w:rPr>
                <w:rFonts w:hint="eastAsia"/>
              </w:rPr>
              <w:t>远纺工业（扬州）有限公司</w:t>
            </w:r>
          </w:p>
        </w:tc>
        <w:tc>
          <w:tcPr>
            <w:tcW w:w="1418" w:type="dxa"/>
            <w:vAlign w:val="center"/>
          </w:tcPr>
          <w:p w14:paraId="407E44F9" w14:textId="77777777" w:rsidR="006B4107" w:rsidRDefault="004E70C7">
            <w:pPr>
              <w:jc w:val="center"/>
              <w:rPr>
                <w:rFonts w:cs="楷体"/>
              </w:rPr>
            </w:pPr>
            <w:r>
              <w:rPr>
                <w:rFonts w:cs="楷体" w:hint="eastAsia"/>
              </w:rPr>
              <w:t>中</w:t>
            </w:r>
            <w:r>
              <w:rPr>
                <w:rFonts w:cs="楷体"/>
              </w:rPr>
              <w:t>国</w:t>
            </w:r>
          </w:p>
        </w:tc>
        <w:tc>
          <w:tcPr>
            <w:tcW w:w="2835" w:type="dxa"/>
            <w:vAlign w:val="center"/>
          </w:tcPr>
          <w:p w14:paraId="4728CC8A" w14:textId="77777777" w:rsidR="006B4107" w:rsidRDefault="004E70C7">
            <w:pPr>
              <w:jc w:val="both"/>
              <w:rPr>
                <w:rFonts w:cs="楷体"/>
              </w:rPr>
            </w:pPr>
            <w:r>
              <w:rPr>
                <w:rFonts w:cs="楷体" w:hint="eastAsia"/>
              </w:rPr>
              <w:t>同受最终控股公司控制</w:t>
            </w:r>
          </w:p>
        </w:tc>
      </w:tr>
    </w:tbl>
    <w:p w14:paraId="208D2A76" w14:textId="77777777" w:rsidR="006B4107" w:rsidRDefault="004E70C7">
      <w:pPr>
        <w:jc w:val="both"/>
      </w:pPr>
      <w:r>
        <w:rPr>
          <w:rFonts w:cs="STXihei,Italic"/>
          <w:i/>
          <w:iCs/>
          <w:sz w:val="16"/>
          <w:szCs w:val="16"/>
        </w:rPr>
        <w:t>信息来源：</w:t>
      </w:r>
      <w:proofErr w:type="gramStart"/>
      <w:r>
        <w:rPr>
          <w:rFonts w:cs="STXihei,Italic" w:hint="eastAsia"/>
          <w:i/>
          <w:iCs/>
          <w:sz w:val="16"/>
          <w:szCs w:val="16"/>
        </w:rPr>
        <w:t>远化物流</w:t>
      </w:r>
      <w:proofErr w:type="gramEnd"/>
      <w:r>
        <w:rPr>
          <w:rFonts w:cs="STXihei,Italic"/>
          <w:i/>
          <w:iCs/>
          <w:sz w:val="16"/>
          <w:szCs w:val="16"/>
        </w:rPr>
        <w:t>2023</w:t>
      </w:r>
      <w:r>
        <w:rPr>
          <w:rFonts w:cs="STXihei,Italic"/>
          <w:i/>
          <w:iCs/>
          <w:sz w:val="16"/>
          <w:szCs w:val="16"/>
        </w:rPr>
        <w:t>年度审计报告</w:t>
      </w:r>
    </w:p>
    <w:p w14:paraId="62A2B308" w14:textId="77777777" w:rsidR="006B4107" w:rsidRDefault="004E70C7">
      <w:pPr>
        <w:pStyle w:val="2"/>
        <w:rPr>
          <w:rFonts w:ascii="Arial Narrow" w:eastAsia="仿宋_GB2312" w:hAnsi="Arial Narrow"/>
          <w:b w:val="0"/>
          <w:bCs w:val="0"/>
          <w:color w:val="002060"/>
          <w:sz w:val="22"/>
          <w:szCs w:val="22"/>
        </w:rPr>
      </w:pPr>
      <w:bookmarkStart w:id="279" w:name="_Toc140761305"/>
      <w:bookmarkStart w:id="280" w:name="_Toc185598838"/>
      <w:bookmarkEnd w:id="277"/>
      <w:bookmarkEnd w:id="278"/>
      <w:r>
        <w:rPr>
          <w:rFonts w:ascii="Arial Narrow" w:eastAsia="仿宋_GB2312" w:hAnsi="Arial Narrow"/>
          <w:b w:val="0"/>
          <w:bCs w:val="0"/>
          <w:color w:val="002060"/>
          <w:sz w:val="22"/>
          <w:szCs w:val="22"/>
        </w:rPr>
        <w:t>主要关联交易</w:t>
      </w:r>
      <w:bookmarkEnd w:id="279"/>
      <w:bookmarkEnd w:id="280"/>
    </w:p>
    <w:p w14:paraId="16BB134C" w14:textId="77777777" w:rsidR="006B4107" w:rsidRDefault="004E70C7">
      <w:pPr>
        <w:spacing w:beforeLines="50" w:before="180" w:afterLines="50" w:after="180" w:line="360" w:lineRule="auto"/>
        <w:ind w:firstLineChars="200" w:firstLine="440"/>
        <w:jc w:val="both"/>
        <w:rPr>
          <w:rFonts w:cs="Arial Unicode MS"/>
        </w:rPr>
      </w:pPr>
      <w:bookmarkStart w:id="281" w:name="_Toc48317137"/>
      <w:bookmarkStart w:id="282" w:name="_Toc520786966"/>
      <w:bookmarkStart w:id="283" w:name="_Toc48317434"/>
      <w:bookmarkStart w:id="284" w:name="_Toc466642567"/>
      <w:r>
        <w:rPr>
          <w:rFonts w:cs="Arial Unicode MS"/>
        </w:rPr>
        <w:t>评估期间，</w:t>
      </w:r>
      <w:proofErr w:type="gramStart"/>
      <w:r>
        <w:rPr>
          <w:rFonts w:cs="Arial Unicode MS" w:hint="eastAsia"/>
        </w:rPr>
        <w:t>远化物流</w:t>
      </w:r>
      <w:proofErr w:type="gramEnd"/>
      <w:r>
        <w:rPr>
          <w:rFonts w:cs="Arial Unicode MS"/>
        </w:rPr>
        <w:t>主要涉及关联</w:t>
      </w:r>
      <w:r>
        <w:rPr>
          <w:rFonts w:cs="Arial Unicode MS" w:hint="eastAsia"/>
        </w:rPr>
        <w:t>劳务及关联租赁</w:t>
      </w:r>
      <w:r>
        <w:rPr>
          <w:rFonts w:cs="Arial Unicode MS"/>
        </w:rPr>
        <w:t>。主要关联交易金额及类型如下图所示：</w:t>
      </w:r>
    </w:p>
    <w:p w14:paraId="21E018D6" w14:textId="77777777" w:rsidR="006B4107" w:rsidRDefault="004E70C7">
      <w:pPr>
        <w:pStyle w:val="a6"/>
        <w:ind w:left="420" w:hanging="420"/>
        <w:jc w:val="center"/>
        <w:rPr>
          <w:rFonts w:ascii="仿宋" w:eastAsia="仿宋" w:hAnsi="仿宋"/>
        </w:rPr>
      </w:pPr>
      <w:r>
        <w:rPr>
          <w:rFonts w:ascii="仿宋" w:eastAsia="仿宋" w:hAnsi="仿宋"/>
        </w:rPr>
        <w:t>图表</w:t>
      </w:r>
      <w:r>
        <w:rPr>
          <w:rFonts w:eastAsia="仿宋" w:cs="Arial Narrow"/>
        </w:rPr>
        <w:t>12</w:t>
      </w:r>
      <w:r>
        <w:rPr>
          <w:rFonts w:ascii="仿宋" w:eastAsia="仿宋" w:hAnsi="仿宋"/>
        </w:rPr>
        <w:t>：关联交易汇总情况表</w:t>
      </w:r>
    </w:p>
    <w:tbl>
      <w:tblPr>
        <w:tblStyle w:val="3-31"/>
        <w:tblW w:w="82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3"/>
        <w:gridCol w:w="4020"/>
        <w:gridCol w:w="2625"/>
      </w:tblGrid>
      <w:tr w:rsidR="006B4107" w14:paraId="0379EF65" w14:textId="77777777" w:rsidTr="006B4107">
        <w:trPr>
          <w:cnfStyle w:val="100000000000" w:firstRow="1" w:lastRow="0" w:firstColumn="0" w:lastColumn="0" w:oddVBand="0" w:evenVBand="0" w:oddHBand="0" w:evenHBand="0" w:firstRowFirstColumn="0" w:firstRowLastColumn="0" w:lastRowFirstColumn="0" w:lastRowLastColumn="0"/>
          <w:trHeight w:hRule="exact" w:val="413"/>
          <w:tblHeader/>
          <w:jc w:val="center"/>
        </w:trPr>
        <w:tc>
          <w:tcPr>
            <w:cnfStyle w:val="001000000100" w:firstRow="0" w:lastRow="0" w:firstColumn="1" w:lastColumn="0" w:oddVBand="0" w:evenVBand="0" w:oddHBand="0" w:evenHBand="0" w:firstRowFirstColumn="1" w:firstRowLastColumn="0" w:lastRowFirstColumn="0" w:lastRowLastColumn="0"/>
            <w:tcW w:w="1653" w:type="dxa"/>
            <w:shd w:val="clear" w:color="auto" w:fill="002060"/>
            <w:vAlign w:val="center"/>
          </w:tcPr>
          <w:p w14:paraId="2D25957F" w14:textId="77777777" w:rsidR="006B4107" w:rsidRDefault="004E70C7">
            <w:pPr>
              <w:jc w:val="center"/>
              <w:rPr>
                <w:rFonts w:ascii="仿宋" w:eastAsia="仿宋" w:hAnsi="仿宋"/>
              </w:rPr>
            </w:pPr>
            <w:r>
              <w:rPr>
                <w:rFonts w:ascii="仿宋" w:eastAsia="仿宋" w:hAnsi="仿宋"/>
                <w:bCs w:val="0"/>
                <w:color w:val="FFFFFF"/>
              </w:rPr>
              <w:t>项目</w:t>
            </w:r>
          </w:p>
        </w:tc>
        <w:tc>
          <w:tcPr>
            <w:tcW w:w="4020" w:type="dxa"/>
            <w:shd w:val="clear" w:color="auto" w:fill="002060"/>
            <w:vAlign w:val="center"/>
          </w:tcPr>
          <w:p w14:paraId="15E4F51E" w14:textId="77777777" w:rsidR="006B4107" w:rsidRDefault="004E70C7">
            <w:pPr>
              <w:jc w:val="center"/>
              <w:cnfStyle w:val="100000000000" w:firstRow="1" w:lastRow="0" w:firstColumn="0" w:lastColumn="0" w:oddVBand="0" w:evenVBand="0" w:oddHBand="0" w:evenHBand="0" w:firstRowFirstColumn="0" w:firstRowLastColumn="0" w:lastRowFirstColumn="0" w:lastRowLastColumn="0"/>
              <w:rPr>
                <w:rFonts w:ascii="仿宋" w:eastAsia="仿宋" w:hAnsi="仿宋"/>
              </w:rPr>
            </w:pPr>
            <w:r>
              <w:rPr>
                <w:rFonts w:ascii="仿宋" w:eastAsia="仿宋" w:hAnsi="仿宋"/>
                <w:bCs w:val="0"/>
                <w:color w:val="FFFFFF"/>
              </w:rPr>
              <w:t>公司名称</w:t>
            </w:r>
          </w:p>
        </w:tc>
        <w:tc>
          <w:tcPr>
            <w:tcW w:w="2625" w:type="dxa"/>
            <w:shd w:val="clear" w:color="auto" w:fill="002060"/>
            <w:vAlign w:val="center"/>
          </w:tcPr>
          <w:p w14:paraId="0B9C3A6C" w14:textId="77777777" w:rsidR="006B4107" w:rsidRDefault="004E70C7">
            <w:pPr>
              <w:jc w:val="center"/>
              <w:cnfStyle w:val="100000000000" w:firstRow="1" w:lastRow="0" w:firstColumn="0" w:lastColumn="0" w:oddVBand="0" w:evenVBand="0" w:oddHBand="0" w:evenHBand="0" w:firstRowFirstColumn="0" w:firstRowLastColumn="0" w:lastRowFirstColumn="0" w:lastRowLastColumn="0"/>
              <w:rPr>
                <w:rFonts w:ascii="仿宋" w:eastAsia="仿宋" w:hAnsi="仿宋"/>
              </w:rPr>
            </w:pPr>
            <w:r>
              <w:rPr>
                <w:rFonts w:ascii="仿宋" w:eastAsia="仿宋" w:hAnsi="仿宋"/>
                <w:bCs w:val="0"/>
                <w:color w:val="FFFFFF"/>
              </w:rPr>
              <w:t>2023</w:t>
            </w:r>
            <w:r>
              <w:rPr>
                <w:rFonts w:ascii="仿宋" w:eastAsia="仿宋" w:hAnsi="仿宋"/>
                <w:bCs w:val="0"/>
                <w:color w:val="FFFFFF"/>
              </w:rPr>
              <w:t>年度</w:t>
            </w:r>
          </w:p>
        </w:tc>
      </w:tr>
      <w:tr w:rsidR="006B4107" w14:paraId="338455D4" w14:textId="77777777" w:rsidTr="006B4107">
        <w:trPr>
          <w:trHeight w:hRule="exact" w:val="284"/>
          <w:jc w:val="center"/>
        </w:trPr>
        <w:tc>
          <w:tcPr>
            <w:cnfStyle w:val="001000000000" w:firstRow="0" w:lastRow="0" w:firstColumn="1" w:lastColumn="0" w:oddVBand="0" w:evenVBand="0" w:oddHBand="0" w:evenHBand="0" w:firstRowFirstColumn="0" w:firstRowLastColumn="0" w:lastRowFirstColumn="0" w:lastRowLastColumn="0"/>
            <w:tcW w:w="1653" w:type="dxa"/>
            <w:vMerge w:val="restart"/>
            <w:vAlign w:val="center"/>
          </w:tcPr>
          <w:p w14:paraId="77E1A4F8" w14:textId="77777777" w:rsidR="006B4107" w:rsidRDefault="004E70C7">
            <w:pPr>
              <w:jc w:val="both"/>
            </w:pPr>
            <w:bookmarkStart w:id="285" w:name="_Hlk185499602"/>
            <w:r>
              <w:rPr>
                <w:rFonts w:hint="eastAsia"/>
                <w:b w:val="0"/>
                <w:bCs w:val="0"/>
                <w:color w:val="000000"/>
              </w:rPr>
              <w:t>提供服务</w:t>
            </w:r>
          </w:p>
        </w:tc>
        <w:tc>
          <w:tcPr>
            <w:tcW w:w="4020" w:type="dxa"/>
          </w:tcPr>
          <w:p w14:paraId="2682AF89" w14:textId="77777777" w:rsidR="006B4107" w:rsidRDefault="004E70C7">
            <w:pPr>
              <w:jc w:val="both"/>
              <w:cnfStyle w:val="000000000000" w:firstRow="0" w:lastRow="0" w:firstColumn="0" w:lastColumn="0" w:oddVBand="0" w:evenVBand="0" w:oddHBand="0" w:evenHBand="0" w:firstRowFirstColumn="0" w:firstRowLastColumn="0" w:lastRowFirstColumn="0" w:lastRowLastColumn="0"/>
            </w:pPr>
            <w:r>
              <w:rPr>
                <w:rFonts w:hint="eastAsia"/>
              </w:rPr>
              <w:t>远纺工业（上海）有限公司</w:t>
            </w:r>
          </w:p>
        </w:tc>
        <w:tc>
          <w:tcPr>
            <w:tcW w:w="2625" w:type="dxa"/>
          </w:tcPr>
          <w:p w14:paraId="7E94F4E8" w14:textId="77777777" w:rsidR="006B4107" w:rsidRDefault="004E70C7">
            <w:pPr>
              <w:jc w:val="right"/>
              <w:cnfStyle w:val="000000000000" w:firstRow="0" w:lastRow="0" w:firstColumn="0" w:lastColumn="0" w:oddVBand="0" w:evenVBand="0" w:oddHBand="0" w:evenHBand="0" w:firstRowFirstColumn="0" w:firstRowLastColumn="0" w:lastRowFirstColumn="0" w:lastRowLastColumn="0"/>
            </w:pPr>
            <w:r>
              <w:t>39,421,373.25</w:t>
            </w:r>
          </w:p>
        </w:tc>
      </w:tr>
      <w:tr w:rsidR="006B4107" w14:paraId="77246532" w14:textId="77777777" w:rsidTr="006B4107">
        <w:trPr>
          <w:trHeight w:hRule="exact" w:val="284"/>
          <w:jc w:val="center"/>
        </w:trPr>
        <w:tc>
          <w:tcPr>
            <w:cnfStyle w:val="001000000000" w:firstRow="0" w:lastRow="0" w:firstColumn="1" w:lastColumn="0" w:oddVBand="0" w:evenVBand="0" w:oddHBand="0" w:evenHBand="0" w:firstRowFirstColumn="0" w:firstRowLastColumn="0" w:lastRowFirstColumn="0" w:lastRowLastColumn="0"/>
            <w:tcW w:w="1653" w:type="dxa"/>
            <w:vMerge/>
            <w:vAlign w:val="center"/>
          </w:tcPr>
          <w:p w14:paraId="76DD6F11" w14:textId="77777777" w:rsidR="006B4107" w:rsidRDefault="006B4107">
            <w:pPr>
              <w:jc w:val="both"/>
            </w:pPr>
          </w:p>
        </w:tc>
        <w:tc>
          <w:tcPr>
            <w:tcW w:w="4020" w:type="dxa"/>
          </w:tcPr>
          <w:p w14:paraId="27FAE334" w14:textId="77777777" w:rsidR="006B4107" w:rsidRDefault="004E70C7">
            <w:pPr>
              <w:jc w:val="both"/>
              <w:cnfStyle w:val="000000000000" w:firstRow="0" w:lastRow="0" w:firstColumn="0" w:lastColumn="0" w:oddVBand="0" w:evenVBand="0" w:oddHBand="0" w:evenHBand="0" w:firstRowFirstColumn="0" w:firstRowLastColumn="0" w:lastRowFirstColumn="0" w:lastRowLastColumn="0"/>
            </w:pPr>
            <w:proofErr w:type="gramStart"/>
            <w:r>
              <w:rPr>
                <w:rFonts w:hint="eastAsia"/>
              </w:rPr>
              <w:t>远东联</w:t>
            </w:r>
            <w:proofErr w:type="gramEnd"/>
            <w:r>
              <w:rPr>
                <w:rFonts w:hint="eastAsia"/>
              </w:rPr>
              <w:t>石化（扬州）有限公司</w:t>
            </w:r>
          </w:p>
        </w:tc>
        <w:tc>
          <w:tcPr>
            <w:tcW w:w="2625" w:type="dxa"/>
          </w:tcPr>
          <w:p w14:paraId="5EEAF776" w14:textId="77777777" w:rsidR="006B4107" w:rsidRDefault="004E70C7">
            <w:pPr>
              <w:jc w:val="right"/>
              <w:cnfStyle w:val="000000000000" w:firstRow="0" w:lastRow="0" w:firstColumn="0" w:lastColumn="0" w:oddVBand="0" w:evenVBand="0" w:oddHBand="0" w:evenHBand="0" w:firstRowFirstColumn="0" w:firstRowLastColumn="0" w:lastRowFirstColumn="0" w:lastRowLastColumn="0"/>
            </w:pPr>
            <w:r>
              <w:t>7,874,729.68</w:t>
            </w:r>
          </w:p>
        </w:tc>
      </w:tr>
      <w:tr w:rsidR="006B4107" w14:paraId="466BE04D" w14:textId="77777777" w:rsidTr="006B4107">
        <w:trPr>
          <w:trHeight w:hRule="exact" w:val="284"/>
          <w:jc w:val="center"/>
        </w:trPr>
        <w:tc>
          <w:tcPr>
            <w:cnfStyle w:val="001000000000" w:firstRow="0" w:lastRow="0" w:firstColumn="1" w:lastColumn="0" w:oddVBand="0" w:evenVBand="0" w:oddHBand="0" w:evenHBand="0" w:firstRowFirstColumn="0" w:firstRowLastColumn="0" w:lastRowFirstColumn="0" w:lastRowLastColumn="0"/>
            <w:tcW w:w="1653" w:type="dxa"/>
            <w:vMerge/>
            <w:vAlign w:val="center"/>
          </w:tcPr>
          <w:p w14:paraId="4A4B2E9E" w14:textId="77777777" w:rsidR="006B4107" w:rsidRDefault="006B4107">
            <w:pPr>
              <w:jc w:val="both"/>
            </w:pPr>
          </w:p>
        </w:tc>
        <w:tc>
          <w:tcPr>
            <w:tcW w:w="4020" w:type="dxa"/>
          </w:tcPr>
          <w:p w14:paraId="41483C30" w14:textId="77777777" w:rsidR="006B4107" w:rsidRDefault="004E70C7">
            <w:pPr>
              <w:jc w:val="both"/>
              <w:cnfStyle w:val="000000000000" w:firstRow="0" w:lastRow="0" w:firstColumn="0" w:lastColumn="0" w:oddVBand="0" w:evenVBand="0" w:oddHBand="0" w:evenHBand="0" w:firstRowFirstColumn="0" w:firstRowLastColumn="0" w:lastRowFirstColumn="0" w:lastRowLastColumn="0"/>
            </w:pPr>
            <w:proofErr w:type="gramStart"/>
            <w:r>
              <w:rPr>
                <w:rFonts w:hint="eastAsia"/>
              </w:rPr>
              <w:t>远东仪</w:t>
            </w:r>
            <w:proofErr w:type="gramEnd"/>
            <w:r>
              <w:rPr>
                <w:rFonts w:hint="eastAsia"/>
              </w:rPr>
              <w:t>化石化（扬州）有限公司</w:t>
            </w:r>
          </w:p>
        </w:tc>
        <w:tc>
          <w:tcPr>
            <w:tcW w:w="2625" w:type="dxa"/>
          </w:tcPr>
          <w:p w14:paraId="0B39E0A5" w14:textId="77777777" w:rsidR="006B4107" w:rsidRDefault="004E70C7">
            <w:pPr>
              <w:jc w:val="right"/>
              <w:cnfStyle w:val="000000000000" w:firstRow="0" w:lastRow="0" w:firstColumn="0" w:lastColumn="0" w:oddVBand="0" w:evenVBand="0" w:oddHBand="0" w:evenHBand="0" w:firstRowFirstColumn="0" w:firstRowLastColumn="0" w:lastRowFirstColumn="0" w:lastRowLastColumn="0"/>
            </w:pPr>
            <w:r>
              <w:t>567,346.22</w:t>
            </w:r>
          </w:p>
        </w:tc>
      </w:tr>
      <w:tr w:rsidR="006B4107" w14:paraId="6F31110A" w14:textId="77777777" w:rsidTr="006B4107">
        <w:trPr>
          <w:trHeight w:hRule="exact" w:val="284"/>
          <w:jc w:val="center"/>
        </w:trPr>
        <w:tc>
          <w:tcPr>
            <w:cnfStyle w:val="001000000000" w:firstRow="0" w:lastRow="0" w:firstColumn="1" w:lastColumn="0" w:oddVBand="0" w:evenVBand="0" w:oddHBand="0" w:evenHBand="0" w:firstRowFirstColumn="0" w:firstRowLastColumn="0" w:lastRowFirstColumn="0" w:lastRowLastColumn="0"/>
            <w:tcW w:w="1653" w:type="dxa"/>
            <w:vMerge/>
            <w:vAlign w:val="center"/>
          </w:tcPr>
          <w:p w14:paraId="3388B2F4" w14:textId="77777777" w:rsidR="006B4107" w:rsidRDefault="006B4107">
            <w:pPr>
              <w:jc w:val="both"/>
            </w:pPr>
          </w:p>
        </w:tc>
        <w:tc>
          <w:tcPr>
            <w:tcW w:w="4020" w:type="dxa"/>
          </w:tcPr>
          <w:p w14:paraId="1E461156" w14:textId="77777777" w:rsidR="006B4107" w:rsidRDefault="004E70C7">
            <w:pPr>
              <w:jc w:val="both"/>
              <w:cnfStyle w:val="000000000000" w:firstRow="0" w:lastRow="0" w:firstColumn="0" w:lastColumn="0" w:oddVBand="0" w:evenVBand="0" w:oddHBand="0" w:evenHBand="0" w:firstRowFirstColumn="0" w:firstRowLastColumn="0" w:lastRowFirstColumn="0" w:lastRowLastColumn="0"/>
              <w:rPr>
                <w:color w:val="000000"/>
              </w:rPr>
            </w:pPr>
            <w:r>
              <w:rPr>
                <w:rFonts w:hint="eastAsia"/>
              </w:rPr>
              <w:t>远鼎实业（上海）有限公司</w:t>
            </w:r>
          </w:p>
        </w:tc>
        <w:tc>
          <w:tcPr>
            <w:tcW w:w="2625" w:type="dxa"/>
          </w:tcPr>
          <w:p w14:paraId="0113C9CB" w14:textId="77777777" w:rsidR="006B4107" w:rsidRDefault="004E70C7">
            <w:pPr>
              <w:jc w:val="right"/>
              <w:cnfStyle w:val="000000000000" w:firstRow="0" w:lastRow="0" w:firstColumn="0" w:lastColumn="0" w:oddVBand="0" w:evenVBand="0" w:oddHBand="0" w:evenHBand="0" w:firstRowFirstColumn="0" w:firstRowLastColumn="0" w:lastRowFirstColumn="0" w:lastRowLastColumn="0"/>
              <w:rPr>
                <w:color w:val="000000"/>
              </w:rPr>
            </w:pPr>
            <w:r>
              <w:t>48,161.32</w:t>
            </w:r>
          </w:p>
        </w:tc>
      </w:tr>
      <w:tr w:rsidR="006B4107" w14:paraId="5E2A24EE" w14:textId="77777777" w:rsidTr="006B4107">
        <w:trPr>
          <w:trHeight w:hRule="exact" w:val="284"/>
          <w:jc w:val="center"/>
        </w:trPr>
        <w:tc>
          <w:tcPr>
            <w:cnfStyle w:val="001000000000" w:firstRow="0" w:lastRow="0" w:firstColumn="1" w:lastColumn="0" w:oddVBand="0" w:evenVBand="0" w:oddHBand="0" w:evenHBand="0" w:firstRowFirstColumn="0" w:firstRowLastColumn="0" w:lastRowFirstColumn="0" w:lastRowLastColumn="0"/>
            <w:tcW w:w="1653" w:type="dxa"/>
            <w:vMerge/>
            <w:vAlign w:val="center"/>
          </w:tcPr>
          <w:p w14:paraId="4867917D" w14:textId="77777777" w:rsidR="006B4107" w:rsidRDefault="006B4107">
            <w:pPr>
              <w:jc w:val="both"/>
            </w:pPr>
          </w:p>
        </w:tc>
        <w:tc>
          <w:tcPr>
            <w:tcW w:w="4020" w:type="dxa"/>
          </w:tcPr>
          <w:p w14:paraId="48453A28" w14:textId="77777777" w:rsidR="006B4107" w:rsidRDefault="004E70C7">
            <w:pPr>
              <w:jc w:val="both"/>
              <w:cnfStyle w:val="000000000000" w:firstRow="0" w:lastRow="0" w:firstColumn="0" w:lastColumn="0" w:oddVBand="0" w:evenVBand="0" w:oddHBand="0" w:evenHBand="0" w:firstRowFirstColumn="0" w:firstRowLastColumn="0" w:lastRowFirstColumn="0" w:lastRowLastColumn="0"/>
            </w:pPr>
            <w:r>
              <w:rPr>
                <w:rFonts w:hint="eastAsia"/>
              </w:rPr>
              <w:t>远纺工业（扬州）有限公司</w:t>
            </w:r>
          </w:p>
        </w:tc>
        <w:tc>
          <w:tcPr>
            <w:tcW w:w="2625" w:type="dxa"/>
          </w:tcPr>
          <w:p w14:paraId="22D4F0E4" w14:textId="77777777" w:rsidR="006B4107" w:rsidRDefault="004E70C7">
            <w:pPr>
              <w:jc w:val="right"/>
              <w:cnfStyle w:val="000000000000" w:firstRow="0" w:lastRow="0" w:firstColumn="0" w:lastColumn="0" w:oddVBand="0" w:evenVBand="0" w:oddHBand="0" w:evenHBand="0" w:firstRowFirstColumn="0" w:firstRowLastColumn="0" w:lastRowFirstColumn="0" w:lastRowLastColumn="0"/>
            </w:pPr>
            <w:r>
              <w:t>4,056.60</w:t>
            </w:r>
          </w:p>
        </w:tc>
      </w:tr>
      <w:bookmarkEnd w:id="285"/>
      <w:tr w:rsidR="006B4107" w14:paraId="7EE96FD0" w14:textId="77777777" w:rsidTr="006B4107">
        <w:trPr>
          <w:trHeight w:hRule="exact" w:val="284"/>
          <w:jc w:val="center"/>
        </w:trPr>
        <w:tc>
          <w:tcPr>
            <w:cnfStyle w:val="001000000000" w:firstRow="0" w:lastRow="0" w:firstColumn="1" w:lastColumn="0" w:oddVBand="0" w:evenVBand="0" w:oddHBand="0" w:evenHBand="0" w:firstRowFirstColumn="0" w:firstRowLastColumn="0" w:lastRowFirstColumn="0" w:lastRowLastColumn="0"/>
            <w:tcW w:w="1653" w:type="dxa"/>
            <w:vMerge/>
            <w:vAlign w:val="center"/>
          </w:tcPr>
          <w:p w14:paraId="11D7B0F4" w14:textId="77777777" w:rsidR="006B4107" w:rsidRDefault="006B4107">
            <w:pPr>
              <w:jc w:val="both"/>
            </w:pPr>
          </w:p>
        </w:tc>
        <w:tc>
          <w:tcPr>
            <w:tcW w:w="4020" w:type="dxa"/>
            <w:vAlign w:val="center"/>
          </w:tcPr>
          <w:p w14:paraId="1AAC4919" w14:textId="77777777" w:rsidR="006B4107" w:rsidRDefault="004E70C7">
            <w:pPr>
              <w:jc w:val="both"/>
              <w:cnfStyle w:val="000000000000" w:firstRow="0" w:lastRow="0" w:firstColumn="0" w:lastColumn="0" w:oddVBand="0" w:evenVBand="0" w:oddHBand="0" w:evenHBand="0" w:firstRowFirstColumn="0" w:firstRowLastColumn="0" w:lastRowFirstColumn="0" w:lastRowLastColumn="0"/>
            </w:pPr>
            <w:r>
              <w:rPr>
                <w:b/>
                <w:bCs/>
                <w:color w:val="000000"/>
              </w:rPr>
              <w:t>总计</w:t>
            </w:r>
          </w:p>
        </w:tc>
        <w:tc>
          <w:tcPr>
            <w:tcW w:w="2625" w:type="dxa"/>
            <w:vAlign w:val="center"/>
          </w:tcPr>
          <w:p w14:paraId="5E7D105C" w14:textId="77777777" w:rsidR="006B4107" w:rsidRDefault="004E70C7">
            <w:pPr>
              <w:jc w:val="right"/>
              <w:cnfStyle w:val="000000000000" w:firstRow="0" w:lastRow="0" w:firstColumn="0" w:lastColumn="0" w:oddVBand="0" w:evenVBand="0" w:oddHBand="0" w:evenHBand="0" w:firstRowFirstColumn="0" w:firstRowLastColumn="0" w:lastRowFirstColumn="0" w:lastRowLastColumn="0"/>
            </w:pPr>
            <w:r>
              <w:rPr>
                <w:b/>
                <w:bCs/>
                <w:color w:val="000000"/>
              </w:rPr>
              <w:t>47,915,667.07</w:t>
            </w:r>
          </w:p>
        </w:tc>
      </w:tr>
      <w:tr w:rsidR="006B4107" w14:paraId="4B44AA6C" w14:textId="77777777" w:rsidTr="006B4107">
        <w:trPr>
          <w:trHeight w:hRule="exact" w:val="284"/>
          <w:jc w:val="center"/>
        </w:trPr>
        <w:tc>
          <w:tcPr>
            <w:cnfStyle w:val="001000000000" w:firstRow="0" w:lastRow="0" w:firstColumn="1" w:lastColumn="0" w:oddVBand="0" w:evenVBand="0" w:oddHBand="0" w:evenHBand="0" w:firstRowFirstColumn="0" w:firstRowLastColumn="0" w:lastRowFirstColumn="0" w:lastRowLastColumn="0"/>
            <w:tcW w:w="1653" w:type="dxa"/>
            <w:vMerge w:val="restart"/>
            <w:vAlign w:val="center"/>
          </w:tcPr>
          <w:p w14:paraId="5C7368F6" w14:textId="77777777" w:rsidR="006B4107" w:rsidRDefault="004E70C7">
            <w:pPr>
              <w:jc w:val="both"/>
            </w:pPr>
            <w:r>
              <w:rPr>
                <w:rFonts w:hint="eastAsia"/>
                <w:b w:val="0"/>
                <w:bCs w:val="0"/>
                <w:color w:val="000000"/>
              </w:rPr>
              <w:t>接受服务</w:t>
            </w:r>
          </w:p>
        </w:tc>
        <w:tc>
          <w:tcPr>
            <w:tcW w:w="4020" w:type="dxa"/>
          </w:tcPr>
          <w:p w14:paraId="528E7C82" w14:textId="77777777" w:rsidR="006B4107" w:rsidRDefault="004E70C7">
            <w:pPr>
              <w:jc w:val="both"/>
              <w:cnfStyle w:val="000000000000" w:firstRow="0" w:lastRow="0" w:firstColumn="0" w:lastColumn="0" w:oddVBand="0" w:evenVBand="0" w:oddHBand="0" w:evenHBand="0" w:firstRowFirstColumn="0" w:firstRowLastColumn="0" w:lastRowFirstColumn="0" w:lastRowLastColumn="0"/>
            </w:pPr>
            <w:r>
              <w:rPr>
                <w:rFonts w:hint="eastAsia"/>
              </w:rPr>
              <w:t>远纺工业（上海）有限公司</w:t>
            </w:r>
          </w:p>
        </w:tc>
        <w:tc>
          <w:tcPr>
            <w:tcW w:w="2625" w:type="dxa"/>
          </w:tcPr>
          <w:p w14:paraId="3F4B6A95" w14:textId="77777777" w:rsidR="006B4107" w:rsidRDefault="004E70C7">
            <w:pPr>
              <w:jc w:val="right"/>
              <w:cnfStyle w:val="000000000000" w:firstRow="0" w:lastRow="0" w:firstColumn="0" w:lastColumn="0" w:oddVBand="0" w:evenVBand="0" w:oddHBand="0" w:evenHBand="0" w:firstRowFirstColumn="0" w:firstRowLastColumn="0" w:lastRowFirstColumn="0" w:lastRowLastColumn="0"/>
            </w:pPr>
            <w:r>
              <w:t>110,503.80</w:t>
            </w:r>
          </w:p>
        </w:tc>
      </w:tr>
      <w:tr w:rsidR="006B4107" w14:paraId="06B67EDD" w14:textId="77777777" w:rsidTr="006B4107">
        <w:trPr>
          <w:trHeight w:hRule="exact" w:val="284"/>
          <w:jc w:val="center"/>
        </w:trPr>
        <w:tc>
          <w:tcPr>
            <w:cnfStyle w:val="001000000000" w:firstRow="0" w:lastRow="0" w:firstColumn="1" w:lastColumn="0" w:oddVBand="0" w:evenVBand="0" w:oddHBand="0" w:evenHBand="0" w:firstRowFirstColumn="0" w:firstRowLastColumn="0" w:lastRowFirstColumn="0" w:lastRowLastColumn="0"/>
            <w:tcW w:w="1653" w:type="dxa"/>
            <w:vMerge/>
            <w:vAlign w:val="center"/>
          </w:tcPr>
          <w:p w14:paraId="244AD856" w14:textId="77777777" w:rsidR="006B4107" w:rsidRDefault="006B4107">
            <w:pPr>
              <w:jc w:val="both"/>
            </w:pPr>
          </w:p>
        </w:tc>
        <w:tc>
          <w:tcPr>
            <w:tcW w:w="4020" w:type="dxa"/>
            <w:vAlign w:val="center"/>
          </w:tcPr>
          <w:p w14:paraId="665A32AE" w14:textId="77777777" w:rsidR="006B4107" w:rsidRDefault="004E70C7">
            <w:pPr>
              <w:jc w:val="both"/>
              <w:cnfStyle w:val="000000000000" w:firstRow="0" w:lastRow="0" w:firstColumn="0" w:lastColumn="0" w:oddVBand="0" w:evenVBand="0" w:oddHBand="0" w:evenHBand="0" w:firstRowFirstColumn="0" w:firstRowLastColumn="0" w:lastRowFirstColumn="0" w:lastRowLastColumn="0"/>
            </w:pPr>
            <w:r>
              <w:rPr>
                <w:b/>
                <w:bCs/>
                <w:color w:val="000000"/>
              </w:rPr>
              <w:t>总计</w:t>
            </w:r>
          </w:p>
        </w:tc>
        <w:tc>
          <w:tcPr>
            <w:tcW w:w="2625" w:type="dxa"/>
            <w:vAlign w:val="center"/>
          </w:tcPr>
          <w:p w14:paraId="2D573C71" w14:textId="77777777" w:rsidR="006B4107" w:rsidRDefault="004E70C7">
            <w:pPr>
              <w:jc w:val="right"/>
              <w:cnfStyle w:val="000000000000" w:firstRow="0" w:lastRow="0" w:firstColumn="0" w:lastColumn="0" w:oddVBand="0" w:evenVBand="0" w:oddHBand="0" w:evenHBand="0" w:firstRowFirstColumn="0" w:firstRowLastColumn="0" w:lastRowFirstColumn="0" w:lastRowLastColumn="0"/>
            </w:pPr>
            <w:r>
              <w:rPr>
                <w:b/>
                <w:bCs/>
                <w:color w:val="000000"/>
              </w:rPr>
              <w:t>110,503.80</w:t>
            </w:r>
          </w:p>
        </w:tc>
      </w:tr>
      <w:tr w:rsidR="006B4107" w14:paraId="6314425A" w14:textId="77777777" w:rsidTr="006B4107">
        <w:trPr>
          <w:trHeight w:hRule="exact" w:val="284"/>
          <w:jc w:val="center"/>
        </w:trPr>
        <w:tc>
          <w:tcPr>
            <w:cnfStyle w:val="001000000000" w:firstRow="0" w:lastRow="0" w:firstColumn="1" w:lastColumn="0" w:oddVBand="0" w:evenVBand="0" w:oddHBand="0" w:evenHBand="0" w:firstRowFirstColumn="0" w:firstRowLastColumn="0" w:lastRowFirstColumn="0" w:lastRowLastColumn="0"/>
            <w:tcW w:w="1653" w:type="dxa"/>
            <w:vAlign w:val="center"/>
          </w:tcPr>
          <w:p w14:paraId="222DA686" w14:textId="77777777" w:rsidR="006B4107" w:rsidRDefault="004E70C7">
            <w:pPr>
              <w:jc w:val="both"/>
            </w:pPr>
            <w:r>
              <w:rPr>
                <w:rFonts w:hint="eastAsia"/>
                <w:b w:val="0"/>
                <w:bCs w:val="0"/>
                <w:color w:val="000000"/>
              </w:rPr>
              <w:t>租金支出</w:t>
            </w:r>
          </w:p>
        </w:tc>
        <w:tc>
          <w:tcPr>
            <w:tcW w:w="4020" w:type="dxa"/>
            <w:vAlign w:val="center"/>
          </w:tcPr>
          <w:p w14:paraId="4C5A2C09" w14:textId="77777777" w:rsidR="006B4107" w:rsidRDefault="004E70C7">
            <w:pPr>
              <w:jc w:val="both"/>
              <w:cnfStyle w:val="000000000000" w:firstRow="0" w:lastRow="0" w:firstColumn="0" w:lastColumn="0" w:oddVBand="0" w:evenVBand="0" w:oddHBand="0" w:evenHBand="0" w:firstRowFirstColumn="0" w:firstRowLastColumn="0" w:lastRowFirstColumn="0" w:lastRowLastColumn="0"/>
            </w:pPr>
            <w:r>
              <w:rPr>
                <w:rFonts w:hint="eastAsia"/>
                <w:color w:val="000000"/>
              </w:rPr>
              <w:t>远纺工业（上海）有限公司</w:t>
            </w:r>
          </w:p>
        </w:tc>
        <w:tc>
          <w:tcPr>
            <w:tcW w:w="2625" w:type="dxa"/>
            <w:vAlign w:val="center"/>
          </w:tcPr>
          <w:p w14:paraId="3A582871" w14:textId="77777777" w:rsidR="006B4107" w:rsidRDefault="004E70C7">
            <w:pPr>
              <w:jc w:val="right"/>
              <w:cnfStyle w:val="000000000000" w:firstRow="0" w:lastRow="0" w:firstColumn="0" w:lastColumn="0" w:oddVBand="0" w:evenVBand="0" w:oddHBand="0" w:evenHBand="0" w:firstRowFirstColumn="0" w:firstRowLastColumn="0" w:lastRowFirstColumn="0" w:lastRowLastColumn="0"/>
              <w:rPr>
                <w:b/>
                <w:bCs/>
              </w:rPr>
            </w:pPr>
            <w:r>
              <w:rPr>
                <w:b/>
                <w:bCs/>
                <w:color w:val="000000"/>
              </w:rPr>
              <w:t xml:space="preserve">432,000.00  </w:t>
            </w:r>
          </w:p>
        </w:tc>
      </w:tr>
    </w:tbl>
    <w:p w14:paraId="1B426597" w14:textId="77777777" w:rsidR="006B4107" w:rsidRDefault="004E70C7">
      <w:pPr>
        <w:jc w:val="both"/>
        <w:rPr>
          <w:rFonts w:cs="STXihei,Italic"/>
          <w:i/>
          <w:iCs/>
          <w:sz w:val="16"/>
          <w:szCs w:val="16"/>
        </w:rPr>
      </w:pPr>
      <w:r>
        <w:rPr>
          <w:rFonts w:cs="STXihei,Italic"/>
          <w:i/>
          <w:iCs/>
          <w:sz w:val="16"/>
          <w:szCs w:val="16"/>
        </w:rPr>
        <w:t>信息来源：</w:t>
      </w:r>
      <w:proofErr w:type="gramStart"/>
      <w:r>
        <w:rPr>
          <w:rFonts w:cs="STXihei,Italic" w:hint="eastAsia"/>
          <w:i/>
          <w:iCs/>
          <w:sz w:val="16"/>
          <w:szCs w:val="16"/>
        </w:rPr>
        <w:t>远化物流</w:t>
      </w:r>
      <w:proofErr w:type="gramEnd"/>
      <w:r>
        <w:rPr>
          <w:rFonts w:cs="STXihei,Italic" w:hint="eastAsia"/>
          <w:i/>
          <w:iCs/>
          <w:sz w:val="16"/>
          <w:szCs w:val="16"/>
        </w:rPr>
        <w:t>2023</w:t>
      </w:r>
      <w:r>
        <w:rPr>
          <w:rFonts w:cs="STXihei,Italic" w:hint="eastAsia"/>
          <w:i/>
          <w:iCs/>
          <w:sz w:val="16"/>
          <w:szCs w:val="16"/>
        </w:rPr>
        <w:t>年度审计报告</w:t>
      </w:r>
    </w:p>
    <w:p w14:paraId="5D402519" w14:textId="77777777" w:rsidR="006B4107" w:rsidRDefault="004E70C7">
      <w:pPr>
        <w:pStyle w:val="2"/>
        <w:rPr>
          <w:rFonts w:ascii="Arial Narrow" w:eastAsia="仿宋_GB2312" w:hAnsi="Arial Narrow"/>
          <w:b w:val="0"/>
          <w:bCs w:val="0"/>
          <w:color w:val="002060"/>
          <w:sz w:val="22"/>
          <w:szCs w:val="22"/>
        </w:rPr>
      </w:pPr>
      <w:bookmarkStart w:id="286" w:name="_Toc140761306"/>
      <w:bookmarkStart w:id="287" w:name="_Toc47455417"/>
      <w:bookmarkStart w:id="288" w:name="_Toc185598839"/>
      <w:r>
        <w:rPr>
          <w:rFonts w:ascii="Arial Narrow" w:eastAsia="仿宋_GB2312" w:hAnsi="Arial Narrow"/>
          <w:b w:val="0"/>
          <w:bCs w:val="0"/>
          <w:color w:val="002060"/>
          <w:sz w:val="22"/>
          <w:szCs w:val="22"/>
        </w:rPr>
        <w:t>关联</w:t>
      </w:r>
      <w:bookmarkEnd w:id="286"/>
      <w:bookmarkEnd w:id="287"/>
      <w:r>
        <w:rPr>
          <w:rFonts w:ascii="Arial Narrow" w:eastAsia="仿宋_GB2312" w:hAnsi="Arial Narrow" w:hint="eastAsia"/>
          <w:b w:val="0"/>
          <w:bCs w:val="0"/>
          <w:color w:val="002060"/>
          <w:sz w:val="22"/>
          <w:szCs w:val="22"/>
        </w:rPr>
        <w:t>劳务</w:t>
      </w:r>
      <w:bookmarkEnd w:id="288"/>
    </w:p>
    <w:p w14:paraId="00DC28B9" w14:textId="77777777" w:rsidR="006B4107" w:rsidRDefault="004E70C7">
      <w:pPr>
        <w:pStyle w:val="afa"/>
        <w:spacing w:before="180" w:after="180"/>
        <w:jc w:val="both"/>
        <w:rPr>
          <w:rFonts w:ascii="Arial Narrow" w:eastAsia="仿宋_GB2312" w:hAnsi="Arial Narrow" w:cs="楷体"/>
          <w:b w:val="0"/>
          <w:i w:val="0"/>
          <w:color w:val="002060"/>
          <w:sz w:val="22"/>
          <w:szCs w:val="22"/>
        </w:rPr>
      </w:pPr>
      <w:bookmarkStart w:id="289" w:name="_Toc47455418"/>
      <w:bookmarkStart w:id="290" w:name="_Toc185598840"/>
      <w:bookmarkStart w:id="291" w:name="_Toc140761307"/>
      <w:r>
        <w:rPr>
          <w:rFonts w:ascii="Arial Narrow" w:eastAsia="仿宋_GB2312" w:hAnsi="Arial Narrow" w:cs="楷体"/>
          <w:b w:val="0"/>
          <w:i w:val="0"/>
          <w:color w:val="002060"/>
          <w:sz w:val="22"/>
          <w:szCs w:val="22"/>
        </w:rPr>
        <w:t>4.3.1.</w:t>
      </w:r>
      <w:r>
        <w:rPr>
          <w:rFonts w:ascii="Arial Narrow" w:eastAsia="仿宋_GB2312" w:hAnsi="Arial Narrow" w:cs="楷体"/>
          <w:b w:val="0"/>
          <w:i w:val="0"/>
          <w:color w:val="002060"/>
          <w:sz w:val="22"/>
          <w:szCs w:val="22"/>
        </w:rPr>
        <w:t>交易流程</w:t>
      </w:r>
      <w:bookmarkEnd w:id="289"/>
      <w:bookmarkEnd w:id="290"/>
      <w:bookmarkEnd w:id="291"/>
    </w:p>
    <w:p w14:paraId="1912DF42" w14:textId="77777777" w:rsidR="006B4107" w:rsidRDefault="004E70C7">
      <w:pPr>
        <w:spacing w:beforeLines="50" w:before="180" w:afterLines="50" w:after="180" w:line="360" w:lineRule="auto"/>
        <w:ind w:firstLineChars="200" w:firstLine="440"/>
        <w:jc w:val="both"/>
        <w:rPr>
          <w:rFonts w:cs="Arial Unicode MS"/>
        </w:rPr>
      </w:pPr>
      <w:proofErr w:type="gramStart"/>
      <w:r>
        <w:rPr>
          <w:rFonts w:cs="Arial Unicode MS" w:hint="eastAsia"/>
        </w:rPr>
        <w:t>对于远化物流</w:t>
      </w:r>
      <w:proofErr w:type="gramEnd"/>
      <w:r>
        <w:rPr>
          <w:rFonts w:cs="Arial Unicode MS" w:hint="eastAsia"/>
        </w:rPr>
        <w:t>境内提供的服务，主要由各关联公司根据货物发运需求，</w:t>
      </w:r>
      <w:proofErr w:type="gramStart"/>
      <w:r>
        <w:rPr>
          <w:rFonts w:cs="Arial Unicode MS" w:hint="eastAsia"/>
        </w:rPr>
        <w:t>向远化物流</w:t>
      </w:r>
      <w:proofErr w:type="gramEnd"/>
      <w:r>
        <w:rPr>
          <w:rFonts w:cs="Arial Unicode MS" w:hint="eastAsia"/>
        </w:rPr>
        <w:t>下运输、车辆租赁或驾驶服务订单。</w:t>
      </w:r>
      <w:proofErr w:type="gramStart"/>
      <w:r>
        <w:rPr>
          <w:rFonts w:cs="Arial Unicode MS" w:hint="eastAsia"/>
        </w:rPr>
        <w:t>对于远化物流</w:t>
      </w:r>
      <w:proofErr w:type="gramEnd"/>
      <w:r>
        <w:rPr>
          <w:rFonts w:cs="Arial Unicode MS" w:hint="eastAsia"/>
        </w:rPr>
        <w:t>境内接受的服务，主要是由关联</w:t>
      </w:r>
      <w:proofErr w:type="gramStart"/>
      <w:r>
        <w:rPr>
          <w:rFonts w:cs="Arial Unicode MS" w:hint="eastAsia"/>
        </w:rPr>
        <w:t>方向远化物流</w:t>
      </w:r>
      <w:proofErr w:type="gramEnd"/>
      <w:r>
        <w:rPr>
          <w:rFonts w:cs="Arial Unicode MS" w:hint="eastAsia"/>
        </w:rPr>
        <w:t>提供行政管理支持服务。</w:t>
      </w:r>
    </w:p>
    <w:p w14:paraId="040B943D" w14:textId="77777777" w:rsidR="006B4107" w:rsidRDefault="004E70C7">
      <w:pPr>
        <w:spacing w:beforeLines="50" w:before="180" w:afterLines="50" w:after="180" w:line="360" w:lineRule="auto"/>
        <w:ind w:firstLineChars="200" w:firstLine="440"/>
        <w:jc w:val="both"/>
        <w:rPr>
          <w:rFonts w:cs="Arial Unicode MS"/>
        </w:rPr>
      </w:pPr>
      <w:bookmarkStart w:id="292" w:name="OLE_LINK10"/>
      <w:proofErr w:type="gramStart"/>
      <w:r>
        <w:rPr>
          <w:rFonts w:cs="Arial Unicode MS" w:hint="eastAsia"/>
        </w:rPr>
        <w:t>远化物流</w:t>
      </w:r>
      <w:proofErr w:type="gramEnd"/>
      <w:r>
        <w:rPr>
          <w:rFonts w:cs="Arial Unicode MS"/>
        </w:rPr>
        <w:t>的关联</w:t>
      </w:r>
      <w:r>
        <w:rPr>
          <w:rFonts w:cs="Arial Unicode MS" w:hint="eastAsia"/>
        </w:rPr>
        <w:t>劳务</w:t>
      </w:r>
      <w:r>
        <w:rPr>
          <w:rFonts w:cs="Arial Unicode MS"/>
        </w:rPr>
        <w:t>流程如下图所示：</w:t>
      </w:r>
      <w:bookmarkEnd w:id="292"/>
    </w:p>
    <w:p w14:paraId="4B429C0C" w14:textId="77777777" w:rsidR="006B4107" w:rsidRDefault="004E70C7">
      <w:pPr>
        <w:pStyle w:val="a6"/>
        <w:ind w:left="420" w:hanging="420"/>
        <w:jc w:val="center"/>
        <w:rPr>
          <w:rFonts w:ascii="仿宋" w:eastAsia="仿宋" w:hAnsi="仿宋"/>
        </w:rPr>
      </w:pPr>
      <w:bookmarkStart w:id="293" w:name="_Toc12286306"/>
      <w:r>
        <w:rPr>
          <w:rFonts w:ascii="仿宋" w:eastAsia="仿宋" w:hAnsi="仿宋"/>
        </w:rPr>
        <w:t>图表</w:t>
      </w:r>
      <w:r>
        <w:rPr>
          <w:rFonts w:eastAsia="仿宋" w:cs="Arial Narrow"/>
        </w:rPr>
        <w:t>13</w:t>
      </w:r>
      <w:r>
        <w:rPr>
          <w:rFonts w:ascii="仿宋" w:eastAsia="仿宋" w:hAnsi="仿宋"/>
        </w:rPr>
        <w:t>：关联</w:t>
      </w:r>
      <w:r>
        <w:rPr>
          <w:rFonts w:ascii="仿宋" w:eastAsia="仿宋" w:hAnsi="仿宋" w:hint="eastAsia"/>
        </w:rPr>
        <w:t>劳务</w:t>
      </w:r>
      <w:r>
        <w:rPr>
          <w:rFonts w:ascii="仿宋" w:eastAsia="仿宋" w:hAnsi="仿宋"/>
        </w:rPr>
        <w:t>交易流程图</w:t>
      </w:r>
    </w:p>
    <w:p w14:paraId="55695D2D" w14:textId="77777777" w:rsidR="006B4107" w:rsidRDefault="004E70C7">
      <w:pPr>
        <w:ind w:firstLineChars="200" w:firstLine="440"/>
      </w:pPr>
      <w:r>
        <w:rPr>
          <w:noProof/>
        </w:rPr>
        <w:drawing>
          <wp:inline distT="0" distB="0" distL="0" distR="0" wp14:anchorId="3732ACDB" wp14:editId="2E1E1651">
            <wp:extent cx="5008880" cy="1480185"/>
            <wp:effectExtent l="0" t="0" r="1270" b="571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5038054" cy="1488915"/>
                    </a:xfrm>
                    <a:prstGeom prst="rect">
                      <a:avLst/>
                    </a:prstGeom>
                    <a:noFill/>
                    <a:ln>
                      <a:noFill/>
                    </a:ln>
                  </pic:spPr>
                </pic:pic>
              </a:graphicData>
            </a:graphic>
          </wp:inline>
        </w:drawing>
      </w:r>
      <w:r>
        <w:t xml:space="preserve"> </w:t>
      </w:r>
    </w:p>
    <w:p w14:paraId="46285D37" w14:textId="77777777" w:rsidR="006B4107" w:rsidRDefault="004E70C7">
      <w:pPr>
        <w:pStyle w:val="afa"/>
        <w:spacing w:before="180" w:after="180"/>
        <w:jc w:val="both"/>
        <w:rPr>
          <w:rFonts w:ascii="Arial Narrow" w:eastAsia="仿宋_GB2312" w:hAnsi="Arial Narrow" w:cs="楷体"/>
          <w:b w:val="0"/>
          <w:i w:val="0"/>
          <w:color w:val="002060"/>
          <w:sz w:val="22"/>
          <w:szCs w:val="22"/>
        </w:rPr>
      </w:pPr>
      <w:bookmarkStart w:id="294" w:name="_Toc185598841"/>
      <w:bookmarkStart w:id="295" w:name="_Toc140761312"/>
      <w:bookmarkStart w:id="296" w:name="_Toc47455423"/>
      <w:bookmarkEnd w:id="293"/>
      <w:r>
        <w:rPr>
          <w:rFonts w:ascii="Arial Narrow" w:eastAsia="仿宋_GB2312" w:hAnsi="Arial Narrow" w:cs="楷体"/>
          <w:b w:val="0"/>
          <w:i w:val="0"/>
          <w:color w:val="002060"/>
          <w:sz w:val="22"/>
          <w:szCs w:val="22"/>
        </w:rPr>
        <w:t>4.3.2.</w:t>
      </w:r>
      <w:r>
        <w:rPr>
          <w:rFonts w:ascii="Arial Narrow" w:eastAsia="仿宋_GB2312" w:hAnsi="Arial Narrow" w:cs="楷体"/>
          <w:b w:val="0"/>
          <w:i w:val="0"/>
          <w:color w:val="002060"/>
          <w:sz w:val="22"/>
          <w:szCs w:val="22"/>
        </w:rPr>
        <w:t>交易明细</w:t>
      </w:r>
      <w:bookmarkEnd w:id="294"/>
      <w:bookmarkEnd w:id="295"/>
      <w:bookmarkEnd w:id="296"/>
    </w:p>
    <w:p w14:paraId="158CE6F7" w14:textId="77777777" w:rsidR="006B4107" w:rsidRDefault="004E70C7">
      <w:pPr>
        <w:spacing w:beforeLines="50" w:before="180" w:afterLines="50" w:after="180" w:line="360" w:lineRule="auto"/>
        <w:ind w:firstLineChars="200" w:firstLine="440"/>
        <w:jc w:val="both"/>
        <w:rPr>
          <w:rFonts w:cs="Arial Unicode MS"/>
        </w:rPr>
      </w:pPr>
      <w:r>
        <w:rPr>
          <w:rFonts w:cs="Arial Unicode MS"/>
        </w:rPr>
        <w:t>评估期间，</w:t>
      </w:r>
      <w:proofErr w:type="gramStart"/>
      <w:r>
        <w:rPr>
          <w:rFonts w:cs="Arial Unicode MS" w:hint="eastAsia"/>
        </w:rPr>
        <w:t>远化物流</w:t>
      </w:r>
      <w:proofErr w:type="gramEnd"/>
      <w:r>
        <w:rPr>
          <w:rFonts w:cs="Arial Unicode MS"/>
        </w:rPr>
        <w:t>关联劳务的关联方和交易金额如下表所示：</w:t>
      </w:r>
    </w:p>
    <w:p w14:paraId="59855F5B" w14:textId="77777777" w:rsidR="006B4107" w:rsidRDefault="004E70C7">
      <w:pPr>
        <w:pStyle w:val="a6"/>
        <w:ind w:left="420" w:hanging="420"/>
        <w:jc w:val="center"/>
        <w:rPr>
          <w:rFonts w:ascii="仿宋" w:eastAsia="仿宋" w:hAnsi="仿宋"/>
        </w:rPr>
      </w:pPr>
      <w:bookmarkStart w:id="297" w:name="OLE_LINK5"/>
      <w:r>
        <w:rPr>
          <w:rFonts w:ascii="仿宋" w:eastAsia="仿宋" w:hAnsi="仿宋"/>
        </w:rPr>
        <w:t>图表</w:t>
      </w:r>
      <w:r>
        <w:rPr>
          <w:rFonts w:eastAsia="仿宋" w:cs="Arial Narrow"/>
        </w:rPr>
        <w:t>14</w:t>
      </w:r>
      <w:r>
        <w:rPr>
          <w:rFonts w:ascii="仿宋" w:eastAsia="仿宋" w:hAnsi="仿宋"/>
        </w:rPr>
        <w:t>：</w:t>
      </w:r>
      <w:r>
        <w:rPr>
          <w:rFonts w:ascii="仿宋" w:eastAsia="仿宋" w:hAnsi="仿宋"/>
        </w:rPr>
        <w:t>2023</w:t>
      </w:r>
      <w:r>
        <w:rPr>
          <w:rFonts w:ascii="仿宋" w:eastAsia="仿宋" w:hAnsi="仿宋"/>
        </w:rPr>
        <w:t>年度关联劳务</w:t>
      </w:r>
      <w:r>
        <w:rPr>
          <w:rFonts w:ascii="仿宋" w:eastAsia="仿宋" w:hAnsi="仿宋" w:hint="eastAsia"/>
        </w:rPr>
        <w:t>收入</w:t>
      </w:r>
      <w:r>
        <w:rPr>
          <w:rFonts w:ascii="仿宋" w:eastAsia="仿宋" w:hAnsi="仿宋"/>
        </w:rPr>
        <w:t>明细表</w:t>
      </w:r>
    </w:p>
    <w:tbl>
      <w:tblPr>
        <w:tblW w:w="82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4"/>
        <w:gridCol w:w="3827"/>
        <w:gridCol w:w="1418"/>
        <w:gridCol w:w="1422"/>
      </w:tblGrid>
      <w:tr w:rsidR="006B4107" w14:paraId="17657D7E" w14:textId="77777777">
        <w:trPr>
          <w:trHeight w:val="105"/>
          <w:tblHeader/>
          <w:jc w:val="center"/>
        </w:trPr>
        <w:tc>
          <w:tcPr>
            <w:tcW w:w="5381" w:type="dxa"/>
            <w:gridSpan w:val="2"/>
            <w:tcBorders>
              <w:top w:val="single" w:sz="4" w:space="0" w:color="auto"/>
              <w:left w:val="single" w:sz="4" w:space="0" w:color="auto"/>
              <w:bottom w:val="single" w:sz="4" w:space="0" w:color="auto"/>
              <w:right w:val="single" w:sz="4" w:space="0" w:color="auto"/>
            </w:tcBorders>
            <w:shd w:val="clear" w:color="auto" w:fill="002060"/>
            <w:vAlign w:val="center"/>
          </w:tcPr>
          <w:bookmarkEnd w:id="297"/>
          <w:p w14:paraId="6CA806CA" w14:textId="77777777" w:rsidR="006B4107" w:rsidRDefault="004E70C7">
            <w:pPr>
              <w:jc w:val="center"/>
              <w:rPr>
                <w:rFonts w:ascii="仿宋" w:eastAsia="仿宋" w:hAnsi="仿宋" w:cs="楷体"/>
                <w:b/>
                <w:color w:val="FFFFFF" w:themeColor="background1"/>
              </w:rPr>
            </w:pPr>
            <w:r>
              <w:rPr>
                <w:rFonts w:ascii="仿宋" w:eastAsia="仿宋" w:hAnsi="仿宋" w:cs="楷体"/>
                <w:b/>
                <w:color w:val="FFFFFF" w:themeColor="background1"/>
              </w:rPr>
              <w:t>关联方名称</w:t>
            </w:r>
          </w:p>
        </w:tc>
        <w:tc>
          <w:tcPr>
            <w:tcW w:w="1418" w:type="dxa"/>
            <w:tcBorders>
              <w:top w:val="single" w:sz="4" w:space="0" w:color="auto"/>
              <w:left w:val="single" w:sz="4" w:space="0" w:color="auto"/>
              <w:bottom w:val="single" w:sz="4" w:space="0" w:color="auto"/>
              <w:right w:val="single" w:sz="4" w:space="0" w:color="auto"/>
            </w:tcBorders>
            <w:shd w:val="clear" w:color="auto" w:fill="002060"/>
            <w:vAlign w:val="center"/>
          </w:tcPr>
          <w:p w14:paraId="05196055" w14:textId="77777777" w:rsidR="006B4107" w:rsidRDefault="004E70C7">
            <w:pPr>
              <w:jc w:val="center"/>
              <w:rPr>
                <w:rFonts w:ascii="仿宋" w:eastAsia="仿宋" w:hAnsi="仿宋" w:cs="楷体"/>
                <w:b/>
                <w:color w:val="FFFFFF" w:themeColor="background1"/>
              </w:rPr>
            </w:pPr>
            <w:r>
              <w:rPr>
                <w:rFonts w:ascii="仿宋" w:eastAsia="仿宋" w:hAnsi="仿宋" w:cs="楷体"/>
                <w:b/>
                <w:color w:val="FFFFFF" w:themeColor="background1"/>
              </w:rPr>
              <w:t>交易金额</w:t>
            </w:r>
          </w:p>
        </w:tc>
        <w:tc>
          <w:tcPr>
            <w:tcW w:w="1422" w:type="dxa"/>
            <w:tcBorders>
              <w:top w:val="single" w:sz="4" w:space="0" w:color="auto"/>
              <w:left w:val="single" w:sz="4" w:space="0" w:color="auto"/>
              <w:bottom w:val="single" w:sz="4" w:space="0" w:color="auto"/>
              <w:right w:val="single" w:sz="4" w:space="0" w:color="auto"/>
            </w:tcBorders>
            <w:shd w:val="clear" w:color="auto" w:fill="002060"/>
            <w:vAlign w:val="center"/>
          </w:tcPr>
          <w:p w14:paraId="3991548D" w14:textId="77777777" w:rsidR="006B4107" w:rsidRDefault="004E70C7">
            <w:pPr>
              <w:jc w:val="center"/>
              <w:rPr>
                <w:rFonts w:ascii="仿宋" w:eastAsia="仿宋" w:hAnsi="仿宋" w:cs="楷体"/>
                <w:b/>
                <w:color w:val="FFFFFF" w:themeColor="background1"/>
              </w:rPr>
            </w:pPr>
            <w:r>
              <w:rPr>
                <w:rFonts w:ascii="仿宋" w:eastAsia="仿宋" w:hAnsi="仿宋" w:cs="楷体"/>
                <w:b/>
                <w:color w:val="FFFFFF" w:themeColor="background1"/>
              </w:rPr>
              <w:t>占主营业务收入比重</w:t>
            </w:r>
            <w:r>
              <w:rPr>
                <w:rFonts w:ascii="仿宋" w:eastAsia="仿宋" w:hAnsi="仿宋" w:cs="楷体"/>
                <w:b/>
                <w:color w:val="FFFFFF" w:themeColor="background1"/>
              </w:rPr>
              <w:t>(%)</w:t>
            </w:r>
          </w:p>
        </w:tc>
      </w:tr>
      <w:tr w:rsidR="006B4107" w14:paraId="0C1ED9C9" w14:textId="77777777">
        <w:trPr>
          <w:trHeight w:val="238"/>
          <w:jc w:val="center"/>
        </w:trPr>
        <w:tc>
          <w:tcPr>
            <w:tcW w:w="1554"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2B8BFD34" w14:textId="77777777" w:rsidR="006B4107" w:rsidRDefault="004E70C7">
            <w:pPr>
              <w:autoSpaceDE w:val="0"/>
              <w:autoSpaceDN w:val="0"/>
              <w:adjustRightInd w:val="0"/>
              <w:jc w:val="both"/>
              <w:rPr>
                <w:rFonts w:cs="宋体"/>
                <w:color w:val="000000"/>
              </w:rPr>
            </w:pPr>
            <w:r>
              <w:rPr>
                <w:rFonts w:cs="宋体"/>
                <w:color w:val="000000"/>
              </w:rPr>
              <w:t>境内劳务收入</w:t>
            </w:r>
          </w:p>
        </w:tc>
        <w:tc>
          <w:tcPr>
            <w:tcW w:w="3827" w:type="dxa"/>
            <w:tcBorders>
              <w:top w:val="single" w:sz="4" w:space="0" w:color="auto"/>
              <w:left w:val="single" w:sz="4" w:space="0" w:color="auto"/>
              <w:bottom w:val="single" w:sz="4" w:space="0" w:color="auto"/>
              <w:right w:val="single" w:sz="4" w:space="0" w:color="auto"/>
            </w:tcBorders>
            <w:shd w:val="clear" w:color="auto" w:fill="auto"/>
          </w:tcPr>
          <w:p w14:paraId="347D70BC" w14:textId="77777777" w:rsidR="006B4107" w:rsidRDefault="004E70C7">
            <w:pPr>
              <w:autoSpaceDE w:val="0"/>
              <w:autoSpaceDN w:val="0"/>
              <w:adjustRightInd w:val="0"/>
              <w:jc w:val="both"/>
              <w:rPr>
                <w:rFonts w:cs="宋体"/>
                <w:color w:val="000000"/>
              </w:rPr>
            </w:pPr>
            <w:r>
              <w:rPr>
                <w:rFonts w:hint="eastAsia"/>
              </w:rPr>
              <w:t>远纺工业（上海）有限公司</w:t>
            </w:r>
          </w:p>
        </w:tc>
        <w:tc>
          <w:tcPr>
            <w:tcW w:w="1418" w:type="dxa"/>
            <w:tcBorders>
              <w:top w:val="single" w:sz="4" w:space="0" w:color="auto"/>
              <w:left w:val="single" w:sz="4" w:space="0" w:color="auto"/>
              <w:bottom w:val="single" w:sz="4" w:space="0" w:color="auto"/>
              <w:right w:val="single" w:sz="4" w:space="0" w:color="auto"/>
            </w:tcBorders>
            <w:shd w:val="clear" w:color="auto" w:fill="auto"/>
          </w:tcPr>
          <w:p w14:paraId="4B5AA2A7" w14:textId="77777777" w:rsidR="006B4107" w:rsidRDefault="004E70C7">
            <w:pPr>
              <w:autoSpaceDE w:val="0"/>
              <w:autoSpaceDN w:val="0"/>
              <w:adjustRightInd w:val="0"/>
              <w:jc w:val="right"/>
              <w:rPr>
                <w:rFonts w:cs="宋体"/>
                <w:color w:val="000000"/>
              </w:rPr>
            </w:pPr>
            <w:r>
              <w:rPr>
                <w:rFonts w:hint="eastAsia"/>
              </w:rPr>
              <w:t>39,421,373.25</w:t>
            </w:r>
          </w:p>
        </w:tc>
        <w:tc>
          <w:tcPr>
            <w:tcW w:w="1422" w:type="dxa"/>
            <w:tcBorders>
              <w:top w:val="single" w:sz="4" w:space="0" w:color="auto"/>
              <w:left w:val="single" w:sz="4" w:space="0" w:color="auto"/>
              <w:bottom w:val="single" w:sz="4" w:space="0" w:color="auto"/>
              <w:right w:val="single" w:sz="4" w:space="0" w:color="auto"/>
            </w:tcBorders>
            <w:shd w:val="clear" w:color="auto" w:fill="auto"/>
            <w:vAlign w:val="center"/>
          </w:tcPr>
          <w:p w14:paraId="6F1ED002" w14:textId="77777777" w:rsidR="006B4107" w:rsidRDefault="004E70C7">
            <w:pPr>
              <w:autoSpaceDE w:val="0"/>
              <w:autoSpaceDN w:val="0"/>
              <w:adjustRightInd w:val="0"/>
              <w:jc w:val="right"/>
              <w:rPr>
                <w:rFonts w:cs="宋体"/>
                <w:color w:val="000000"/>
              </w:rPr>
            </w:pPr>
            <w:r>
              <w:rPr>
                <w:rFonts w:cs="宋体"/>
                <w:color w:val="000000"/>
              </w:rPr>
              <w:t>81.05%</w:t>
            </w:r>
          </w:p>
        </w:tc>
      </w:tr>
      <w:tr w:rsidR="006B4107" w14:paraId="7DCB22A3" w14:textId="77777777">
        <w:trPr>
          <w:trHeight w:val="238"/>
          <w:jc w:val="center"/>
        </w:trPr>
        <w:tc>
          <w:tcPr>
            <w:tcW w:w="1554" w:type="dxa"/>
            <w:vMerge/>
            <w:tcBorders>
              <w:top w:val="single" w:sz="4" w:space="0" w:color="auto"/>
              <w:left w:val="single" w:sz="4" w:space="0" w:color="auto"/>
              <w:bottom w:val="single" w:sz="4" w:space="0" w:color="auto"/>
              <w:right w:val="single" w:sz="4" w:space="0" w:color="auto"/>
            </w:tcBorders>
            <w:shd w:val="clear" w:color="auto" w:fill="auto"/>
            <w:vAlign w:val="center"/>
          </w:tcPr>
          <w:p w14:paraId="1695ADA4" w14:textId="77777777" w:rsidR="006B4107" w:rsidRDefault="006B4107">
            <w:pPr>
              <w:autoSpaceDE w:val="0"/>
              <w:autoSpaceDN w:val="0"/>
              <w:adjustRightInd w:val="0"/>
              <w:jc w:val="both"/>
              <w:rPr>
                <w:rFonts w:cs="宋体"/>
                <w:color w:val="000000"/>
              </w:rPr>
            </w:pPr>
          </w:p>
        </w:tc>
        <w:tc>
          <w:tcPr>
            <w:tcW w:w="3827" w:type="dxa"/>
            <w:tcBorders>
              <w:top w:val="single" w:sz="4" w:space="0" w:color="auto"/>
              <w:left w:val="single" w:sz="4" w:space="0" w:color="auto"/>
              <w:bottom w:val="single" w:sz="4" w:space="0" w:color="auto"/>
              <w:right w:val="single" w:sz="4" w:space="0" w:color="auto"/>
            </w:tcBorders>
            <w:shd w:val="clear" w:color="auto" w:fill="auto"/>
          </w:tcPr>
          <w:p w14:paraId="07333A35" w14:textId="77777777" w:rsidR="006B4107" w:rsidRDefault="004E70C7">
            <w:pPr>
              <w:autoSpaceDE w:val="0"/>
              <w:autoSpaceDN w:val="0"/>
              <w:adjustRightInd w:val="0"/>
              <w:jc w:val="both"/>
              <w:rPr>
                <w:rFonts w:cs="宋体"/>
                <w:color w:val="000000"/>
              </w:rPr>
            </w:pPr>
            <w:proofErr w:type="gramStart"/>
            <w:r>
              <w:rPr>
                <w:rFonts w:hint="eastAsia"/>
              </w:rPr>
              <w:t>远东联</w:t>
            </w:r>
            <w:proofErr w:type="gramEnd"/>
            <w:r>
              <w:rPr>
                <w:rFonts w:hint="eastAsia"/>
              </w:rPr>
              <w:t>石化（扬州）有限公司</w:t>
            </w:r>
          </w:p>
        </w:tc>
        <w:tc>
          <w:tcPr>
            <w:tcW w:w="1418" w:type="dxa"/>
            <w:tcBorders>
              <w:top w:val="single" w:sz="4" w:space="0" w:color="auto"/>
              <w:left w:val="single" w:sz="4" w:space="0" w:color="auto"/>
              <w:bottom w:val="single" w:sz="4" w:space="0" w:color="auto"/>
              <w:right w:val="single" w:sz="4" w:space="0" w:color="auto"/>
            </w:tcBorders>
            <w:shd w:val="clear" w:color="auto" w:fill="auto"/>
          </w:tcPr>
          <w:p w14:paraId="534CBD9F" w14:textId="77777777" w:rsidR="006B4107" w:rsidRDefault="004E70C7">
            <w:pPr>
              <w:autoSpaceDE w:val="0"/>
              <w:autoSpaceDN w:val="0"/>
              <w:adjustRightInd w:val="0"/>
              <w:jc w:val="right"/>
              <w:rPr>
                <w:rFonts w:cs="宋体"/>
                <w:color w:val="000000"/>
              </w:rPr>
            </w:pPr>
            <w:r>
              <w:rPr>
                <w:rFonts w:hint="eastAsia"/>
              </w:rPr>
              <w:t>7,874,729.68</w:t>
            </w:r>
          </w:p>
        </w:tc>
        <w:tc>
          <w:tcPr>
            <w:tcW w:w="1422" w:type="dxa"/>
            <w:tcBorders>
              <w:top w:val="single" w:sz="4" w:space="0" w:color="auto"/>
              <w:left w:val="single" w:sz="4" w:space="0" w:color="auto"/>
              <w:bottom w:val="single" w:sz="4" w:space="0" w:color="auto"/>
              <w:right w:val="single" w:sz="4" w:space="0" w:color="auto"/>
            </w:tcBorders>
            <w:shd w:val="clear" w:color="auto" w:fill="auto"/>
            <w:vAlign w:val="center"/>
          </w:tcPr>
          <w:p w14:paraId="421369B5" w14:textId="77777777" w:rsidR="006B4107" w:rsidRDefault="004E70C7">
            <w:pPr>
              <w:autoSpaceDE w:val="0"/>
              <w:autoSpaceDN w:val="0"/>
              <w:adjustRightInd w:val="0"/>
              <w:jc w:val="right"/>
              <w:rPr>
                <w:rFonts w:cs="宋体"/>
                <w:color w:val="000000"/>
              </w:rPr>
            </w:pPr>
            <w:r>
              <w:rPr>
                <w:rFonts w:cs="宋体"/>
                <w:color w:val="000000"/>
              </w:rPr>
              <w:t>16.19%</w:t>
            </w:r>
          </w:p>
        </w:tc>
      </w:tr>
      <w:tr w:rsidR="006B4107" w14:paraId="14076E91" w14:textId="77777777">
        <w:trPr>
          <w:trHeight w:val="238"/>
          <w:jc w:val="center"/>
        </w:trPr>
        <w:tc>
          <w:tcPr>
            <w:tcW w:w="1554" w:type="dxa"/>
            <w:vMerge/>
            <w:tcBorders>
              <w:top w:val="single" w:sz="4" w:space="0" w:color="auto"/>
              <w:left w:val="single" w:sz="4" w:space="0" w:color="auto"/>
              <w:bottom w:val="single" w:sz="4" w:space="0" w:color="auto"/>
              <w:right w:val="single" w:sz="4" w:space="0" w:color="auto"/>
            </w:tcBorders>
            <w:shd w:val="clear" w:color="auto" w:fill="auto"/>
            <w:vAlign w:val="center"/>
          </w:tcPr>
          <w:p w14:paraId="74FCB7E7" w14:textId="77777777" w:rsidR="006B4107" w:rsidRDefault="006B4107">
            <w:pPr>
              <w:autoSpaceDE w:val="0"/>
              <w:autoSpaceDN w:val="0"/>
              <w:adjustRightInd w:val="0"/>
              <w:jc w:val="both"/>
              <w:rPr>
                <w:rFonts w:cs="宋体"/>
                <w:color w:val="000000"/>
              </w:rPr>
            </w:pPr>
          </w:p>
        </w:tc>
        <w:tc>
          <w:tcPr>
            <w:tcW w:w="3827" w:type="dxa"/>
            <w:tcBorders>
              <w:top w:val="single" w:sz="4" w:space="0" w:color="auto"/>
              <w:left w:val="single" w:sz="4" w:space="0" w:color="auto"/>
              <w:bottom w:val="single" w:sz="4" w:space="0" w:color="auto"/>
              <w:right w:val="single" w:sz="4" w:space="0" w:color="auto"/>
            </w:tcBorders>
            <w:shd w:val="clear" w:color="auto" w:fill="auto"/>
          </w:tcPr>
          <w:p w14:paraId="1E282051" w14:textId="77777777" w:rsidR="006B4107" w:rsidRDefault="004E70C7">
            <w:pPr>
              <w:autoSpaceDE w:val="0"/>
              <w:autoSpaceDN w:val="0"/>
              <w:adjustRightInd w:val="0"/>
              <w:jc w:val="both"/>
              <w:rPr>
                <w:rFonts w:cs="宋体"/>
                <w:color w:val="000000"/>
              </w:rPr>
            </w:pPr>
            <w:proofErr w:type="gramStart"/>
            <w:r>
              <w:rPr>
                <w:rFonts w:hint="eastAsia"/>
              </w:rPr>
              <w:t>远东仪</w:t>
            </w:r>
            <w:proofErr w:type="gramEnd"/>
            <w:r>
              <w:rPr>
                <w:rFonts w:hint="eastAsia"/>
              </w:rPr>
              <w:t>化石化（扬州）有限公司</w:t>
            </w:r>
          </w:p>
        </w:tc>
        <w:tc>
          <w:tcPr>
            <w:tcW w:w="1418" w:type="dxa"/>
            <w:tcBorders>
              <w:top w:val="single" w:sz="4" w:space="0" w:color="auto"/>
              <w:left w:val="single" w:sz="4" w:space="0" w:color="auto"/>
              <w:bottom w:val="single" w:sz="4" w:space="0" w:color="auto"/>
              <w:right w:val="single" w:sz="4" w:space="0" w:color="auto"/>
            </w:tcBorders>
            <w:shd w:val="clear" w:color="auto" w:fill="auto"/>
          </w:tcPr>
          <w:p w14:paraId="046C7F99" w14:textId="77777777" w:rsidR="006B4107" w:rsidRDefault="004E70C7">
            <w:pPr>
              <w:autoSpaceDE w:val="0"/>
              <w:autoSpaceDN w:val="0"/>
              <w:adjustRightInd w:val="0"/>
              <w:jc w:val="right"/>
              <w:rPr>
                <w:rFonts w:cs="宋体"/>
                <w:color w:val="000000"/>
              </w:rPr>
            </w:pPr>
            <w:r>
              <w:rPr>
                <w:rFonts w:hint="eastAsia"/>
              </w:rPr>
              <w:t>567,346.22</w:t>
            </w:r>
          </w:p>
        </w:tc>
        <w:tc>
          <w:tcPr>
            <w:tcW w:w="1422" w:type="dxa"/>
            <w:tcBorders>
              <w:top w:val="single" w:sz="4" w:space="0" w:color="auto"/>
              <w:left w:val="single" w:sz="4" w:space="0" w:color="auto"/>
              <w:bottom w:val="single" w:sz="4" w:space="0" w:color="auto"/>
              <w:right w:val="single" w:sz="4" w:space="0" w:color="auto"/>
            </w:tcBorders>
            <w:shd w:val="clear" w:color="auto" w:fill="auto"/>
            <w:vAlign w:val="center"/>
          </w:tcPr>
          <w:p w14:paraId="5167BE96" w14:textId="77777777" w:rsidR="006B4107" w:rsidRDefault="004E70C7">
            <w:pPr>
              <w:autoSpaceDE w:val="0"/>
              <w:autoSpaceDN w:val="0"/>
              <w:adjustRightInd w:val="0"/>
              <w:jc w:val="right"/>
              <w:rPr>
                <w:rFonts w:cs="宋体"/>
                <w:color w:val="000000"/>
              </w:rPr>
            </w:pPr>
            <w:r>
              <w:rPr>
                <w:rFonts w:cs="宋体"/>
                <w:color w:val="000000"/>
              </w:rPr>
              <w:t>1.17%</w:t>
            </w:r>
          </w:p>
        </w:tc>
      </w:tr>
      <w:tr w:rsidR="006B4107" w14:paraId="1367FC54" w14:textId="77777777">
        <w:trPr>
          <w:trHeight w:val="238"/>
          <w:jc w:val="center"/>
        </w:trPr>
        <w:tc>
          <w:tcPr>
            <w:tcW w:w="1554" w:type="dxa"/>
            <w:vMerge/>
            <w:tcBorders>
              <w:top w:val="single" w:sz="4" w:space="0" w:color="auto"/>
              <w:left w:val="single" w:sz="4" w:space="0" w:color="auto"/>
              <w:bottom w:val="single" w:sz="4" w:space="0" w:color="auto"/>
              <w:right w:val="single" w:sz="4" w:space="0" w:color="auto"/>
            </w:tcBorders>
            <w:shd w:val="clear" w:color="auto" w:fill="auto"/>
            <w:vAlign w:val="center"/>
          </w:tcPr>
          <w:p w14:paraId="7C295DA1" w14:textId="77777777" w:rsidR="006B4107" w:rsidRDefault="006B4107">
            <w:pPr>
              <w:autoSpaceDE w:val="0"/>
              <w:autoSpaceDN w:val="0"/>
              <w:adjustRightInd w:val="0"/>
              <w:jc w:val="both"/>
              <w:rPr>
                <w:rFonts w:cs="宋体"/>
                <w:color w:val="000000"/>
              </w:rPr>
            </w:pPr>
          </w:p>
        </w:tc>
        <w:tc>
          <w:tcPr>
            <w:tcW w:w="3827" w:type="dxa"/>
            <w:tcBorders>
              <w:top w:val="single" w:sz="4" w:space="0" w:color="auto"/>
              <w:left w:val="single" w:sz="4" w:space="0" w:color="auto"/>
              <w:bottom w:val="single" w:sz="4" w:space="0" w:color="auto"/>
              <w:right w:val="single" w:sz="4" w:space="0" w:color="auto"/>
            </w:tcBorders>
            <w:shd w:val="clear" w:color="auto" w:fill="auto"/>
          </w:tcPr>
          <w:p w14:paraId="59F9E917" w14:textId="77777777" w:rsidR="006B4107" w:rsidRDefault="004E70C7">
            <w:pPr>
              <w:autoSpaceDE w:val="0"/>
              <w:autoSpaceDN w:val="0"/>
              <w:adjustRightInd w:val="0"/>
              <w:jc w:val="both"/>
            </w:pPr>
            <w:r>
              <w:rPr>
                <w:rFonts w:hint="eastAsia"/>
              </w:rPr>
              <w:t>远鼎实业（上海）有限公司</w:t>
            </w:r>
          </w:p>
        </w:tc>
        <w:tc>
          <w:tcPr>
            <w:tcW w:w="1418" w:type="dxa"/>
            <w:tcBorders>
              <w:top w:val="single" w:sz="4" w:space="0" w:color="auto"/>
              <w:left w:val="single" w:sz="4" w:space="0" w:color="auto"/>
              <w:bottom w:val="single" w:sz="4" w:space="0" w:color="auto"/>
              <w:right w:val="single" w:sz="4" w:space="0" w:color="auto"/>
            </w:tcBorders>
            <w:shd w:val="clear" w:color="auto" w:fill="auto"/>
          </w:tcPr>
          <w:p w14:paraId="636FFE15" w14:textId="77777777" w:rsidR="006B4107" w:rsidRDefault="004E70C7">
            <w:pPr>
              <w:autoSpaceDE w:val="0"/>
              <w:autoSpaceDN w:val="0"/>
              <w:adjustRightInd w:val="0"/>
              <w:jc w:val="right"/>
            </w:pPr>
            <w:r>
              <w:rPr>
                <w:rFonts w:hint="eastAsia"/>
              </w:rPr>
              <w:t>48,161.32</w:t>
            </w:r>
          </w:p>
        </w:tc>
        <w:tc>
          <w:tcPr>
            <w:tcW w:w="1422" w:type="dxa"/>
            <w:tcBorders>
              <w:top w:val="single" w:sz="4" w:space="0" w:color="auto"/>
              <w:left w:val="single" w:sz="4" w:space="0" w:color="auto"/>
              <w:bottom w:val="single" w:sz="4" w:space="0" w:color="auto"/>
              <w:right w:val="single" w:sz="4" w:space="0" w:color="auto"/>
            </w:tcBorders>
            <w:shd w:val="clear" w:color="auto" w:fill="auto"/>
            <w:vAlign w:val="center"/>
          </w:tcPr>
          <w:p w14:paraId="5A734697" w14:textId="77777777" w:rsidR="006B4107" w:rsidRDefault="004E70C7">
            <w:pPr>
              <w:autoSpaceDE w:val="0"/>
              <w:autoSpaceDN w:val="0"/>
              <w:adjustRightInd w:val="0"/>
              <w:jc w:val="right"/>
              <w:rPr>
                <w:rFonts w:cs="宋体"/>
                <w:color w:val="000000"/>
              </w:rPr>
            </w:pPr>
            <w:r>
              <w:rPr>
                <w:rFonts w:cs="宋体" w:hint="eastAsia"/>
                <w:color w:val="000000"/>
              </w:rPr>
              <w:t>0</w:t>
            </w:r>
            <w:r>
              <w:rPr>
                <w:rFonts w:cs="宋体"/>
                <w:color w:val="000000"/>
              </w:rPr>
              <w:t>.10%</w:t>
            </w:r>
          </w:p>
        </w:tc>
      </w:tr>
      <w:tr w:rsidR="006B4107" w14:paraId="17159349" w14:textId="77777777">
        <w:trPr>
          <w:trHeight w:val="238"/>
          <w:jc w:val="center"/>
        </w:trPr>
        <w:tc>
          <w:tcPr>
            <w:tcW w:w="1554" w:type="dxa"/>
            <w:vMerge/>
            <w:tcBorders>
              <w:top w:val="single" w:sz="4" w:space="0" w:color="auto"/>
              <w:left w:val="single" w:sz="4" w:space="0" w:color="auto"/>
              <w:bottom w:val="single" w:sz="4" w:space="0" w:color="auto"/>
              <w:right w:val="single" w:sz="4" w:space="0" w:color="auto"/>
            </w:tcBorders>
            <w:shd w:val="clear" w:color="auto" w:fill="auto"/>
            <w:vAlign w:val="center"/>
          </w:tcPr>
          <w:p w14:paraId="1747E475" w14:textId="77777777" w:rsidR="006B4107" w:rsidRDefault="006B4107">
            <w:pPr>
              <w:autoSpaceDE w:val="0"/>
              <w:autoSpaceDN w:val="0"/>
              <w:adjustRightInd w:val="0"/>
              <w:jc w:val="both"/>
              <w:rPr>
                <w:rFonts w:cs="宋体"/>
                <w:color w:val="000000"/>
              </w:rPr>
            </w:pPr>
          </w:p>
        </w:tc>
        <w:tc>
          <w:tcPr>
            <w:tcW w:w="3827" w:type="dxa"/>
            <w:tcBorders>
              <w:top w:val="single" w:sz="4" w:space="0" w:color="auto"/>
              <w:left w:val="single" w:sz="4" w:space="0" w:color="auto"/>
              <w:bottom w:val="single" w:sz="4" w:space="0" w:color="auto"/>
              <w:right w:val="single" w:sz="4" w:space="0" w:color="auto"/>
            </w:tcBorders>
            <w:shd w:val="clear" w:color="auto" w:fill="auto"/>
          </w:tcPr>
          <w:p w14:paraId="3C1409FC" w14:textId="77777777" w:rsidR="006B4107" w:rsidRDefault="004E70C7">
            <w:pPr>
              <w:autoSpaceDE w:val="0"/>
              <w:autoSpaceDN w:val="0"/>
              <w:adjustRightInd w:val="0"/>
              <w:jc w:val="both"/>
            </w:pPr>
            <w:r>
              <w:rPr>
                <w:rFonts w:hint="eastAsia"/>
              </w:rPr>
              <w:t>远纺工业（扬州）有限公司</w:t>
            </w:r>
          </w:p>
        </w:tc>
        <w:tc>
          <w:tcPr>
            <w:tcW w:w="1418" w:type="dxa"/>
            <w:tcBorders>
              <w:top w:val="single" w:sz="4" w:space="0" w:color="auto"/>
              <w:left w:val="single" w:sz="4" w:space="0" w:color="auto"/>
              <w:bottom w:val="single" w:sz="4" w:space="0" w:color="auto"/>
              <w:right w:val="single" w:sz="4" w:space="0" w:color="auto"/>
            </w:tcBorders>
            <w:shd w:val="clear" w:color="auto" w:fill="auto"/>
          </w:tcPr>
          <w:p w14:paraId="67CFEC33" w14:textId="77777777" w:rsidR="006B4107" w:rsidRDefault="004E70C7">
            <w:pPr>
              <w:autoSpaceDE w:val="0"/>
              <w:autoSpaceDN w:val="0"/>
              <w:adjustRightInd w:val="0"/>
              <w:jc w:val="right"/>
            </w:pPr>
            <w:r>
              <w:rPr>
                <w:rFonts w:hint="eastAsia"/>
              </w:rPr>
              <w:t>4,056.60</w:t>
            </w:r>
          </w:p>
        </w:tc>
        <w:tc>
          <w:tcPr>
            <w:tcW w:w="1422" w:type="dxa"/>
            <w:tcBorders>
              <w:top w:val="single" w:sz="4" w:space="0" w:color="auto"/>
              <w:left w:val="single" w:sz="4" w:space="0" w:color="auto"/>
              <w:bottom w:val="single" w:sz="4" w:space="0" w:color="auto"/>
              <w:right w:val="single" w:sz="4" w:space="0" w:color="auto"/>
            </w:tcBorders>
            <w:shd w:val="clear" w:color="auto" w:fill="auto"/>
            <w:vAlign w:val="center"/>
          </w:tcPr>
          <w:p w14:paraId="2EA550B2" w14:textId="77777777" w:rsidR="006B4107" w:rsidRDefault="004E70C7">
            <w:pPr>
              <w:autoSpaceDE w:val="0"/>
              <w:autoSpaceDN w:val="0"/>
              <w:adjustRightInd w:val="0"/>
              <w:jc w:val="right"/>
              <w:rPr>
                <w:rFonts w:cs="宋体"/>
                <w:color w:val="000000"/>
              </w:rPr>
            </w:pPr>
            <w:r>
              <w:rPr>
                <w:rFonts w:cs="宋体" w:hint="eastAsia"/>
                <w:color w:val="000000"/>
              </w:rPr>
              <w:t>0</w:t>
            </w:r>
            <w:r>
              <w:rPr>
                <w:rFonts w:cs="宋体"/>
                <w:color w:val="000000"/>
              </w:rPr>
              <w:t>.01%</w:t>
            </w:r>
          </w:p>
        </w:tc>
      </w:tr>
      <w:tr w:rsidR="006B4107" w14:paraId="7A5FC973"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38"/>
          <w:jc w:val="center"/>
        </w:trPr>
        <w:tc>
          <w:tcPr>
            <w:tcW w:w="1554" w:type="dxa"/>
            <w:vMerge/>
            <w:tcBorders>
              <w:top w:val="single" w:sz="4" w:space="0" w:color="auto"/>
              <w:left w:val="single" w:sz="4" w:space="0" w:color="auto"/>
              <w:bottom w:val="single" w:sz="4" w:space="0" w:color="auto"/>
              <w:right w:val="single" w:sz="4" w:space="0" w:color="auto"/>
            </w:tcBorders>
            <w:shd w:val="clear" w:color="auto" w:fill="auto"/>
            <w:vAlign w:val="center"/>
          </w:tcPr>
          <w:p w14:paraId="31C00A19" w14:textId="77777777" w:rsidR="006B4107" w:rsidRDefault="006B4107">
            <w:pPr>
              <w:autoSpaceDE w:val="0"/>
              <w:autoSpaceDN w:val="0"/>
              <w:adjustRightInd w:val="0"/>
              <w:jc w:val="both"/>
              <w:rPr>
                <w:rFonts w:cs="宋体"/>
                <w:color w:val="000000"/>
              </w:rPr>
            </w:pPr>
          </w:p>
        </w:tc>
        <w:tc>
          <w:tcPr>
            <w:tcW w:w="3827" w:type="dxa"/>
            <w:tcBorders>
              <w:top w:val="single" w:sz="4" w:space="0" w:color="auto"/>
              <w:left w:val="single" w:sz="4" w:space="0" w:color="auto"/>
              <w:bottom w:val="single" w:sz="4" w:space="0" w:color="auto"/>
              <w:right w:val="single" w:sz="4" w:space="0" w:color="auto"/>
            </w:tcBorders>
            <w:shd w:val="clear" w:color="auto" w:fill="auto"/>
            <w:vAlign w:val="center"/>
          </w:tcPr>
          <w:p w14:paraId="2F502BDD" w14:textId="77777777" w:rsidR="006B4107" w:rsidRDefault="004E70C7">
            <w:pPr>
              <w:autoSpaceDE w:val="0"/>
              <w:autoSpaceDN w:val="0"/>
              <w:adjustRightInd w:val="0"/>
              <w:jc w:val="both"/>
              <w:rPr>
                <w:rFonts w:ascii="仿宋" w:eastAsia="仿宋" w:hAnsi="仿宋" w:cs="宋体"/>
                <w:b/>
                <w:color w:val="000000"/>
              </w:rPr>
            </w:pPr>
            <w:r>
              <w:rPr>
                <w:rFonts w:ascii="仿宋" w:eastAsia="仿宋" w:hAnsi="仿宋" w:cs="宋体"/>
                <w:b/>
                <w:color w:val="000000"/>
              </w:rPr>
              <w:t>境内劳务收入合计</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31AF7B67" w14:textId="77777777" w:rsidR="006B4107" w:rsidRDefault="004E70C7">
            <w:pPr>
              <w:autoSpaceDE w:val="0"/>
              <w:autoSpaceDN w:val="0"/>
              <w:adjustRightInd w:val="0"/>
              <w:jc w:val="right"/>
              <w:rPr>
                <w:rFonts w:cs="宋体"/>
                <w:b/>
                <w:color w:val="000000"/>
              </w:rPr>
            </w:pPr>
            <w:r>
              <w:rPr>
                <w:rFonts w:cs="宋体"/>
                <w:b/>
                <w:color w:val="000000"/>
              </w:rPr>
              <w:t>47,915,667.07</w:t>
            </w:r>
          </w:p>
        </w:tc>
        <w:tc>
          <w:tcPr>
            <w:tcW w:w="1422" w:type="dxa"/>
            <w:tcBorders>
              <w:top w:val="single" w:sz="4" w:space="0" w:color="auto"/>
              <w:left w:val="single" w:sz="4" w:space="0" w:color="auto"/>
              <w:bottom w:val="single" w:sz="4" w:space="0" w:color="auto"/>
              <w:right w:val="single" w:sz="4" w:space="0" w:color="auto"/>
            </w:tcBorders>
            <w:shd w:val="clear" w:color="auto" w:fill="auto"/>
            <w:vAlign w:val="center"/>
          </w:tcPr>
          <w:p w14:paraId="341DE826" w14:textId="77777777" w:rsidR="006B4107" w:rsidRDefault="004E70C7">
            <w:pPr>
              <w:autoSpaceDE w:val="0"/>
              <w:autoSpaceDN w:val="0"/>
              <w:adjustRightInd w:val="0"/>
              <w:jc w:val="right"/>
              <w:rPr>
                <w:rFonts w:cs="宋体"/>
                <w:b/>
                <w:bCs/>
                <w:color w:val="000000"/>
              </w:rPr>
            </w:pPr>
            <w:r>
              <w:rPr>
                <w:b/>
                <w:bCs/>
              </w:rPr>
              <w:t>98.51%</w:t>
            </w:r>
          </w:p>
        </w:tc>
      </w:tr>
      <w:tr w:rsidR="006B4107" w14:paraId="2CF1E501"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38"/>
          <w:jc w:val="center"/>
        </w:trPr>
        <w:tc>
          <w:tcPr>
            <w:tcW w:w="538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7C04434" w14:textId="77777777" w:rsidR="006B4107" w:rsidRDefault="004E70C7">
            <w:pPr>
              <w:autoSpaceDE w:val="0"/>
              <w:autoSpaceDN w:val="0"/>
              <w:adjustRightInd w:val="0"/>
              <w:jc w:val="both"/>
              <w:rPr>
                <w:rFonts w:ascii="仿宋" w:eastAsia="仿宋" w:hAnsi="仿宋" w:cs="宋体"/>
                <w:b/>
                <w:color w:val="000000"/>
              </w:rPr>
            </w:pPr>
            <w:r>
              <w:rPr>
                <w:rFonts w:ascii="仿宋" w:eastAsia="仿宋" w:hAnsi="仿宋" w:cs="宋体"/>
                <w:b/>
                <w:color w:val="000000"/>
              </w:rPr>
              <w:lastRenderedPageBreak/>
              <w:t>交易总计</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36054972" w14:textId="77777777" w:rsidR="006B4107" w:rsidRDefault="004E70C7">
            <w:pPr>
              <w:autoSpaceDE w:val="0"/>
              <w:autoSpaceDN w:val="0"/>
              <w:adjustRightInd w:val="0"/>
              <w:jc w:val="right"/>
              <w:rPr>
                <w:rFonts w:cs="宋体"/>
                <w:b/>
                <w:color w:val="000000"/>
              </w:rPr>
            </w:pPr>
            <w:r>
              <w:rPr>
                <w:rFonts w:cs="宋体"/>
                <w:b/>
                <w:color w:val="000000"/>
              </w:rPr>
              <w:t>47,915,667.07</w:t>
            </w:r>
          </w:p>
        </w:tc>
        <w:tc>
          <w:tcPr>
            <w:tcW w:w="1422" w:type="dxa"/>
            <w:tcBorders>
              <w:top w:val="single" w:sz="4" w:space="0" w:color="auto"/>
              <w:left w:val="single" w:sz="4" w:space="0" w:color="auto"/>
              <w:bottom w:val="single" w:sz="4" w:space="0" w:color="auto"/>
              <w:right w:val="single" w:sz="4" w:space="0" w:color="auto"/>
            </w:tcBorders>
            <w:shd w:val="clear" w:color="auto" w:fill="auto"/>
            <w:vAlign w:val="center"/>
          </w:tcPr>
          <w:p w14:paraId="03DF69FE" w14:textId="77777777" w:rsidR="006B4107" w:rsidRDefault="004E70C7">
            <w:pPr>
              <w:autoSpaceDE w:val="0"/>
              <w:autoSpaceDN w:val="0"/>
              <w:adjustRightInd w:val="0"/>
              <w:jc w:val="right"/>
              <w:rPr>
                <w:rFonts w:cs="宋体"/>
                <w:b/>
                <w:bCs/>
                <w:color w:val="000000"/>
              </w:rPr>
            </w:pPr>
            <w:r>
              <w:rPr>
                <w:b/>
                <w:bCs/>
              </w:rPr>
              <w:t>98.51%</w:t>
            </w:r>
          </w:p>
        </w:tc>
      </w:tr>
    </w:tbl>
    <w:p w14:paraId="56EB25E3" w14:textId="77777777" w:rsidR="006B4107" w:rsidRDefault="004E70C7">
      <w:pPr>
        <w:jc w:val="both"/>
        <w:rPr>
          <w:rFonts w:cs="STXihei,Italic"/>
          <w:i/>
          <w:iCs/>
          <w:sz w:val="16"/>
          <w:szCs w:val="16"/>
        </w:rPr>
      </w:pPr>
      <w:r>
        <w:rPr>
          <w:rFonts w:cs="STXihei,Italic"/>
          <w:i/>
          <w:iCs/>
          <w:sz w:val="16"/>
          <w:szCs w:val="16"/>
        </w:rPr>
        <w:t>信息来源：</w:t>
      </w:r>
      <w:proofErr w:type="gramStart"/>
      <w:r>
        <w:rPr>
          <w:rFonts w:cs="STXihei,Italic" w:hint="eastAsia"/>
          <w:i/>
          <w:iCs/>
          <w:sz w:val="16"/>
          <w:szCs w:val="16"/>
        </w:rPr>
        <w:t>远化物流</w:t>
      </w:r>
      <w:proofErr w:type="gramEnd"/>
      <w:r>
        <w:rPr>
          <w:rFonts w:cs="STXihei,Italic"/>
          <w:i/>
          <w:iCs/>
          <w:sz w:val="16"/>
          <w:szCs w:val="16"/>
        </w:rPr>
        <w:t>2023</w:t>
      </w:r>
      <w:r>
        <w:rPr>
          <w:rFonts w:cs="STXihei,Italic"/>
          <w:i/>
          <w:iCs/>
          <w:sz w:val="16"/>
          <w:szCs w:val="16"/>
        </w:rPr>
        <w:t>年度审计报告及关联业务往来报告表</w:t>
      </w:r>
    </w:p>
    <w:p w14:paraId="16195D18" w14:textId="77777777" w:rsidR="006B4107" w:rsidRDefault="006B4107">
      <w:pPr>
        <w:jc w:val="both"/>
        <w:rPr>
          <w:rFonts w:cs="STXihei,Italic"/>
          <w:i/>
          <w:iCs/>
          <w:sz w:val="16"/>
          <w:szCs w:val="16"/>
        </w:rPr>
      </w:pPr>
    </w:p>
    <w:p w14:paraId="66151D36" w14:textId="77777777" w:rsidR="006B4107" w:rsidRDefault="004E70C7">
      <w:pPr>
        <w:pStyle w:val="a6"/>
        <w:ind w:left="420" w:hanging="420"/>
        <w:jc w:val="center"/>
        <w:rPr>
          <w:rFonts w:ascii="仿宋" w:eastAsia="仿宋" w:hAnsi="仿宋"/>
        </w:rPr>
      </w:pPr>
      <w:r>
        <w:rPr>
          <w:rFonts w:ascii="仿宋" w:eastAsia="仿宋" w:hAnsi="仿宋"/>
        </w:rPr>
        <w:t>图表</w:t>
      </w:r>
      <w:r>
        <w:rPr>
          <w:rFonts w:eastAsia="仿宋" w:cs="Arial Narrow"/>
        </w:rPr>
        <w:t>15</w:t>
      </w:r>
      <w:r>
        <w:rPr>
          <w:rFonts w:ascii="仿宋" w:eastAsia="仿宋" w:hAnsi="仿宋"/>
        </w:rPr>
        <w:t>：</w:t>
      </w:r>
      <w:r>
        <w:rPr>
          <w:rFonts w:ascii="仿宋" w:eastAsia="仿宋" w:hAnsi="仿宋"/>
        </w:rPr>
        <w:t>2023</w:t>
      </w:r>
      <w:r>
        <w:rPr>
          <w:rFonts w:ascii="仿宋" w:eastAsia="仿宋" w:hAnsi="仿宋"/>
        </w:rPr>
        <w:t>年度关联劳务</w:t>
      </w:r>
      <w:r>
        <w:rPr>
          <w:rFonts w:ascii="仿宋" w:eastAsia="仿宋" w:hAnsi="仿宋" w:hint="eastAsia"/>
        </w:rPr>
        <w:t>支出</w:t>
      </w:r>
      <w:r>
        <w:rPr>
          <w:rFonts w:ascii="仿宋" w:eastAsia="仿宋" w:hAnsi="仿宋"/>
        </w:rPr>
        <w:t>明细表</w:t>
      </w:r>
    </w:p>
    <w:tbl>
      <w:tblPr>
        <w:tblW w:w="82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4"/>
        <w:gridCol w:w="3827"/>
        <w:gridCol w:w="1418"/>
        <w:gridCol w:w="1422"/>
      </w:tblGrid>
      <w:tr w:rsidR="006B4107" w14:paraId="278BBF14" w14:textId="77777777">
        <w:trPr>
          <w:trHeight w:val="105"/>
          <w:jc w:val="center"/>
        </w:trPr>
        <w:tc>
          <w:tcPr>
            <w:tcW w:w="5381" w:type="dxa"/>
            <w:gridSpan w:val="2"/>
            <w:tcBorders>
              <w:top w:val="single" w:sz="4" w:space="0" w:color="auto"/>
              <w:left w:val="single" w:sz="4" w:space="0" w:color="auto"/>
              <w:bottom w:val="single" w:sz="4" w:space="0" w:color="auto"/>
              <w:right w:val="single" w:sz="4" w:space="0" w:color="auto"/>
            </w:tcBorders>
            <w:shd w:val="clear" w:color="auto" w:fill="002060"/>
            <w:vAlign w:val="center"/>
          </w:tcPr>
          <w:p w14:paraId="530E82FF" w14:textId="77777777" w:rsidR="006B4107" w:rsidRDefault="004E70C7">
            <w:pPr>
              <w:jc w:val="center"/>
              <w:rPr>
                <w:rFonts w:ascii="仿宋" w:eastAsia="仿宋" w:hAnsi="仿宋" w:cs="楷体"/>
                <w:b/>
                <w:color w:val="FFFFFF" w:themeColor="background1"/>
              </w:rPr>
            </w:pPr>
            <w:r>
              <w:rPr>
                <w:rFonts w:ascii="仿宋" w:eastAsia="仿宋" w:hAnsi="仿宋" w:cs="楷体"/>
                <w:b/>
                <w:color w:val="FFFFFF" w:themeColor="background1"/>
              </w:rPr>
              <w:t>关联方名称</w:t>
            </w:r>
          </w:p>
        </w:tc>
        <w:tc>
          <w:tcPr>
            <w:tcW w:w="1418" w:type="dxa"/>
            <w:tcBorders>
              <w:top w:val="single" w:sz="4" w:space="0" w:color="auto"/>
              <w:left w:val="single" w:sz="4" w:space="0" w:color="auto"/>
              <w:bottom w:val="single" w:sz="4" w:space="0" w:color="auto"/>
              <w:right w:val="single" w:sz="4" w:space="0" w:color="auto"/>
            </w:tcBorders>
            <w:shd w:val="clear" w:color="auto" w:fill="002060"/>
            <w:vAlign w:val="center"/>
          </w:tcPr>
          <w:p w14:paraId="6EC45D6E" w14:textId="77777777" w:rsidR="006B4107" w:rsidRDefault="004E70C7">
            <w:pPr>
              <w:jc w:val="center"/>
              <w:rPr>
                <w:rFonts w:ascii="仿宋" w:eastAsia="仿宋" w:hAnsi="仿宋" w:cs="楷体"/>
                <w:b/>
                <w:color w:val="FFFFFF" w:themeColor="background1"/>
              </w:rPr>
            </w:pPr>
            <w:r>
              <w:rPr>
                <w:rFonts w:ascii="仿宋" w:eastAsia="仿宋" w:hAnsi="仿宋" w:cs="楷体"/>
                <w:b/>
                <w:color w:val="FFFFFF" w:themeColor="background1"/>
              </w:rPr>
              <w:t>交易金额</w:t>
            </w:r>
          </w:p>
        </w:tc>
        <w:tc>
          <w:tcPr>
            <w:tcW w:w="1422" w:type="dxa"/>
            <w:tcBorders>
              <w:top w:val="single" w:sz="4" w:space="0" w:color="auto"/>
              <w:left w:val="single" w:sz="4" w:space="0" w:color="auto"/>
              <w:bottom w:val="single" w:sz="4" w:space="0" w:color="auto"/>
              <w:right w:val="single" w:sz="4" w:space="0" w:color="auto"/>
            </w:tcBorders>
            <w:shd w:val="clear" w:color="auto" w:fill="002060"/>
            <w:vAlign w:val="center"/>
          </w:tcPr>
          <w:p w14:paraId="7E413B45" w14:textId="77777777" w:rsidR="006B4107" w:rsidRDefault="004E70C7">
            <w:pPr>
              <w:jc w:val="center"/>
              <w:rPr>
                <w:rFonts w:ascii="仿宋" w:eastAsia="仿宋" w:hAnsi="仿宋" w:cs="楷体"/>
                <w:b/>
                <w:color w:val="FFFFFF" w:themeColor="background1"/>
              </w:rPr>
            </w:pPr>
            <w:r>
              <w:rPr>
                <w:rFonts w:ascii="仿宋" w:eastAsia="仿宋" w:hAnsi="仿宋" w:cs="楷体"/>
                <w:b/>
                <w:color w:val="FFFFFF" w:themeColor="background1"/>
              </w:rPr>
              <w:t>占主营业务</w:t>
            </w:r>
            <w:r>
              <w:rPr>
                <w:rFonts w:ascii="仿宋" w:eastAsia="仿宋" w:hAnsi="仿宋" w:cs="楷体" w:hint="eastAsia"/>
                <w:b/>
                <w:color w:val="FFFFFF" w:themeColor="background1"/>
              </w:rPr>
              <w:t>支出</w:t>
            </w:r>
            <w:r>
              <w:rPr>
                <w:rFonts w:ascii="仿宋" w:eastAsia="仿宋" w:hAnsi="仿宋" w:cs="楷体"/>
                <w:b/>
                <w:color w:val="FFFFFF" w:themeColor="background1"/>
              </w:rPr>
              <w:t>比重</w:t>
            </w:r>
            <w:r>
              <w:rPr>
                <w:rFonts w:ascii="仿宋" w:eastAsia="仿宋" w:hAnsi="仿宋" w:cs="楷体"/>
                <w:b/>
                <w:color w:val="FFFFFF" w:themeColor="background1"/>
              </w:rPr>
              <w:t>(%)</w:t>
            </w:r>
          </w:p>
        </w:tc>
      </w:tr>
      <w:tr w:rsidR="006B4107" w14:paraId="478AFCDF" w14:textId="77777777">
        <w:trPr>
          <w:trHeight w:val="238"/>
          <w:jc w:val="center"/>
        </w:trPr>
        <w:tc>
          <w:tcPr>
            <w:tcW w:w="1554"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372E233B" w14:textId="77777777" w:rsidR="006B4107" w:rsidRDefault="004E70C7">
            <w:pPr>
              <w:autoSpaceDE w:val="0"/>
              <w:autoSpaceDN w:val="0"/>
              <w:adjustRightInd w:val="0"/>
              <w:jc w:val="both"/>
              <w:rPr>
                <w:rFonts w:cs="宋体"/>
                <w:color w:val="000000"/>
              </w:rPr>
            </w:pPr>
            <w:r>
              <w:rPr>
                <w:rFonts w:cs="宋体" w:hint="eastAsia"/>
                <w:color w:val="000000"/>
              </w:rPr>
              <w:t>境内劳务支出</w:t>
            </w:r>
          </w:p>
        </w:tc>
        <w:tc>
          <w:tcPr>
            <w:tcW w:w="3827" w:type="dxa"/>
            <w:tcBorders>
              <w:top w:val="single" w:sz="4" w:space="0" w:color="auto"/>
              <w:left w:val="single" w:sz="4" w:space="0" w:color="auto"/>
              <w:bottom w:val="single" w:sz="4" w:space="0" w:color="auto"/>
              <w:right w:val="single" w:sz="4" w:space="0" w:color="auto"/>
            </w:tcBorders>
            <w:shd w:val="clear" w:color="auto" w:fill="auto"/>
          </w:tcPr>
          <w:p w14:paraId="000A546C" w14:textId="77777777" w:rsidR="006B4107" w:rsidRDefault="004E70C7">
            <w:pPr>
              <w:autoSpaceDE w:val="0"/>
              <w:autoSpaceDN w:val="0"/>
              <w:adjustRightInd w:val="0"/>
              <w:jc w:val="both"/>
              <w:rPr>
                <w:rFonts w:cs="宋体"/>
                <w:color w:val="000000"/>
              </w:rPr>
            </w:pPr>
            <w:r>
              <w:rPr>
                <w:rFonts w:hint="eastAsia"/>
              </w:rPr>
              <w:t>远纺工业（上海）有限公司</w:t>
            </w:r>
          </w:p>
        </w:tc>
        <w:tc>
          <w:tcPr>
            <w:tcW w:w="1418" w:type="dxa"/>
            <w:tcBorders>
              <w:top w:val="single" w:sz="4" w:space="0" w:color="auto"/>
              <w:left w:val="single" w:sz="4" w:space="0" w:color="auto"/>
              <w:bottom w:val="single" w:sz="4" w:space="0" w:color="auto"/>
              <w:right w:val="single" w:sz="4" w:space="0" w:color="auto"/>
            </w:tcBorders>
            <w:shd w:val="clear" w:color="auto" w:fill="auto"/>
          </w:tcPr>
          <w:p w14:paraId="27555960" w14:textId="77777777" w:rsidR="006B4107" w:rsidRDefault="004E70C7">
            <w:pPr>
              <w:autoSpaceDE w:val="0"/>
              <w:autoSpaceDN w:val="0"/>
              <w:adjustRightInd w:val="0"/>
              <w:jc w:val="right"/>
              <w:rPr>
                <w:rFonts w:cs="宋体"/>
                <w:color w:val="000000"/>
              </w:rPr>
            </w:pPr>
            <w:r>
              <w:rPr>
                <w:rFonts w:hint="eastAsia"/>
              </w:rPr>
              <w:t>110,503.80</w:t>
            </w:r>
          </w:p>
        </w:tc>
        <w:tc>
          <w:tcPr>
            <w:tcW w:w="1422" w:type="dxa"/>
            <w:tcBorders>
              <w:top w:val="single" w:sz="4" w:space="0" w:color="auto"/>
              <w:left w:val="single" w:sz="4" w:space="0" w:color="auto"/>
              <w:bottom w:val="single" w:sz="4" w:space="0" w:color="auto"/>
              <w:right w:val="single" w:sz="4" w:space="0" w:color="auto"/>
            </w:tcBorders>
            <w:shd w:val="clear" w:color="auto" w:fill="auto"/>
            <w:vAlign w:val="center"/>
          </w:tcPr>
          <w:p w14:paraId="10527CD0" w14:textId="77777777" w:rsidR="006B4107" w:rsidRDefault="004E70C7">
            <w:pPr>
              <w:autoSpaceDE w:val="0"/>
              <w:autoSpaceDN w:val="0"/>
              <w:adjustRightInd w:val="0"/>
              <w:jc w:val="right"/>
              <w:rPr>
                <w:rFonts w:cs="宋体"/>
                <w:color w:val="000000"/>
              </w:rPr>
            </w:pPr>
            <w:r>
              <w:rPr>
                <w:rFonts w:cs="宋体"/>
                <w:color w:val="000000"/>
              </w:rPr>
              <w:t>0.24%</w:t>
            </w:r>
          </w:p>
        </w:tc>
      </w:tr>
      <w:tr w:rsidR="006B4107" w14:paraId="377118FF" w14:textId="77777777">
        <w:trPr>
          <w:trHeight w:val="238"/>
          <w:jc w:val="center"/>
        </w:trPr>
        <w:tc>
          <w:tcPr>
            <w:tcW w:w="1554" w:type="dxa"/>
            <w:vMerge/>
            <w:tcBorders>
              <w:top w:val="single" w:sz="4" w:space="0" w:color="auto"/>
              <w:left w:val="single" w:sz="4" w:space="0" w:color="auto"/>
              <w:bottom w:val="single" w:sz="4" w:space="0" w:color="auto"/>
              <w:right w:val="single" w:sz="4" w:space="0" w:color="auto"/>
            </w:tcBorders>
            <w:shd w:val="clear" w:color="auto" w:fill="auto"/>
            <w:vAlign w:val="center"/>
          </w:tcPr>
          <w:p w14:paraId="3A13D187" w14:textId="77777777" w:rsidR="006B4107" w:rsidRDefault="006B4107">
            <w:pPr>
              <w:autoSpaceDE w:val="0"/>
              <w:autoSpaceDN w:val="0"/>
              <w:adjustRightInd w:val="0"/>
              <w:jc w:val="both"/>
              <w:rPr>
                <w:rFonts w:cs="宋体"/>
                <w:color w:val="000000"/>
              </w:rPr>
            </w:pPr>
          </w:p>
        </w:tc>
        <w:tc>
          <w:tcPr>
            <w:tcW w:w="3827" w:type="dxa"/>
            <w:tcBorders>
              <w:top w:val="single" w:sz="4" w:space="0" w:color="auto"/>
              <w:left w:val="single" w:sz="4" w:space="0" w:color="auto"/>
              <w:bottom w:val="single" w:sz="4" w:space="0" w:color="auto"/>
              <w:right w:val="single" w:sz="4" w:space="0" w:color="auto"/>
            </w:tcBorders>
            <w:shd w:val="clear" w:color="auto" w:fill="auto"/>
          </w:tcPr>
          <w:p w14:paraId="2559EBB5" w14:textId="77777777" w:rsidR="006B4107" w:rsidRDefault="004E70C7">
            <w:pPr>
              <w:autoSpaceDE w:val="0"/>
              <w:autoSpaceDN w:val="0"/>
              <w:adjustRightInd w:val="0"/>
              <w:jc w:val="both"/>
              <w:rPr>
                <w:rFonts w:ascii="仿宋" w:eastAsia="仿宋" w:hAnsi="仿宋" w:cs="宋体"/>
                <w:b/>
                <w:bCs/>
                <w:color w:val="000000"/>
              </w:rPr>
            </w:pPr>
            <w:r>
              <w:rPr>
                <w:rFonts w:hint="eastAsia"/>
                <w:b/>
                <w:bCs/>
              </w:rPr>
              <w:t>境内劳务支出合计</w:t>
            </w:r>
          </w:p>
        </w:tc>
        <w:tc>
          <w:tcPr>
            <w:tcW w:w="1418" w:type="dxa"/>
            <w:tcBorders>
              <w:top w:val="single" w:sz="4" w:space="0" w:color="auto"/>
              <w:left w:val="single" w:sz="4" w:space="0" w:color="auto"/>
              <w:bottom w:val="single" w:sz="4" w:space="0" w:color="auto"/>
              <w:right w:val="single" w:sz="4" w:space="0" w:color="auto"/>
            </w:tcBorders>
            <w:shd w:val="clear" w:color="auto" w:fill="auto"/>
          </w:tcPr>
          <w:p w14:paraId="05B4330F" w14:textId="77777777" w:rsidR="006B4107" w:rsidRDefault="004E70C7">
            <w:pPr>
              <w:autoSpaceDE w:val="0"/>
              <w:autoSpaceDN w:val="0"/>
              <w:adjustRightInd w:val="0"/>
              <w:jc w:val="right"/>
              <w:rPr>
                <w:rFonts w:cs="宋体"/>
                <w:b/>
                <w:bCs/>
                <w:color w:val="000000"/>
              </w:rPr>
            </w:pPr>
            <w:r>
              <w:rPr>
                <w:b/>
                <w:bCs/>
              </w:rPr>
              <w:t>110,503.80</w:t>
            </w:r>
          </w:p>
        </w:tc>
        <w:tc>
          <w:tcPr>
            <w:tcW w:w="1422" w:type="dxa"/>
            <w:tcBorders>
              <w:top w:val="single" w:sz="4" w:space="0" w:color="auto"/>
              <w:left w:val="single" w:sz="4" w:space="0" w:color="auto"/>
              <w:bottom w:val="single" w:sz="4" w:space="0" w:color="auto"/>
              <w:right w:val="single" w:sz="4" w:space="0" w:color="auto"/>
            </w:tcBorders>
            <w:shd w:val="clear" w:color="auto" w:fill="auto"/>
            <w:vAlign w:val="center"/>
          </w:tcPr>
          <w:p w14:paraId="6D1771AE" w14:textId="77777777" w:rsidR="006B4107" w:rsidRDefault="004E70C7">
            <w:pPr>
              <w:autoSpaceDE w:val="0"/>
              <w:autoSpaceDN w:val="0"/>
              <w:adjustRightInd w:val="0"/>
              <w:jc w:val="right"/>
              <w:rPr>
                <w:rFonts w:cs="宋体"/>
                <w:b/>
                <w:bCs/>
                <w:color w:val="000000"/>
              </w:rPr>
            </w:pPr>
            <w:r>
              <w:rPr>
                <w:b/>
                <w:bCs/>
              </w:rPr>
              <w:t>0.24%</w:t>
            </w:r>
          </w:p>
        </w:tc>
      </w:tr>
      <w:tr w:rsidR="006B4107" w14:paraId="09C721C9"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38"/>
          <w:jc w:val="center"/>
        </w:trPr>
        <w:tc>
          <w:tcPr>
            <w:tcW w:w="538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8D8C0FD" w14:textId="77777777" w:rsidR="006B4107" w:rsidRDefault="004E70C7">
            <w:pPr>
              <w:autoSpaceDE w:val="0"/>
              <w:autoSpaceDN w:val="0"/>
              <w:adjustRightInd w:val="0"/>
              <w:jc w:val="both"/>
              <w:rPr>
                <w:rFonts w:ascii="仿宋" w:eastAsia="仿宋" w:hAnsi="仿宋" w:cs="宋体"/>
                <w:b/>
                <w:color w:val="000000"/>
              </w:rPr>
            </w:pPr>
            <w:r>
              <w:rPr>
                <w:rFonts w:ascii="仿宋" w:eastAsia="仿宋" w:hAnsi="仿宋" w:cs="宋体"/>
                <w:b/>
                <w:color w:val="000000"/>
              </w:rPr>
              <w:t>交易总计</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7E704EEC" w14:textId="77777777" w:rsidR="006B4107" w:rsidRDefault="004E70C7">
            <w:pPr>
              <w:autoSpaceDE w:val="0"/>
              <w:autoSpaceDN w:val="0"/>
              <w:adjustRightInd w:val="0"/>
              <w:jc w:val="right"/>
              <w:rPr>
                <w:rFonts w:cs="宋体"/>
                <w:b/>
                <w:color w:val="000000"/>
              </w:rPr>
            </w:pPr>
            <w:r>
              <w:rPr>
                <w:rFonts w:cs="宋体"/>
                <w:b/>
                <w:color w:val="000000"/>
              </w:rPr>
              <w:t>110,503.80</w:t>
            </w:r>
          </w:p>
        </w:tc>
        <w:tc>
          <w:tcPr>
            <w:tcW w:w="1422" w:type="dxa"/>
            <w:tcBorders>
              <w:top w:val="single" w:sz="4" w:space="0" w:color="auto"/>
              <w:left w:val="single" w:sz="4" w:space="0" w:color="auto"/>
              <w:bottom w:val="single" w:sz="4" w:space="0" w:color="auto"/>
              <w:right w:val="single" w:sz="4" w:space="0" w:color="auto"/>
            </w:tcBorders>
            <w:shd w:val="clear" w:color="auto" w:fill="auto"/>
            <w:vAlign w:val="center"/>
          </w:tcPr>
          <w:p w14:paraId="3590A999" w14:textId="77777777" w:rsidR="006B4107" w:rsidRDefault="004E70C7">
            <w:pPr>
              <w:autoSpaceDE w:val="0"/>
              <w:autoSpaceDN w:val="0"/>
              <w:adjustRightInd w:val="0"/>
              <w:jc w:val="right"/>
              <w:rPr>
                <w:rFonts w:cs="宋体"/>
                <w:b/>
                <w:bCs/>
                <w:color w:val="000000"/>
              </w:rPr>
            </w:pPr>
            <w:r>
              <w:rPr>
                <w:b/>
                <w:bCs/>
              </w:rPr>
              <w:t>0.24%</w:t>
            </w:r>
          </w:p>
        </w:tc>
      </w:tr>
    </w:tbl>
    <w:p w14:paraId="3767CF45" w14:textId="77777777" w:rsidR="006B4107" w:rsidRDefault="004E70C7">
      <w:pPr>
        <w:jc w:val="both"/>
        <w:rPr>
          <w:rFonts w:cs="STXihei,Italic"/>
          <w:i/>
          <w:iCs/>
          <w:sz w:val="16"/>
          <w:szCs w:val="16"/>
        </w:rPr>
      </w:pPr>
      <w:r>
        <w:rPr>
          <w:rFonts w:cs="STXihei,Italic"/>
          <w:i/>
          <w:iCs/>
          <w:sz w:val="16"/>
          <w:szCs w:val="16"/>
        </w:rPr>
        <w:t>信息来源：</w:t>
      </w:r>
      <w:proofErr w:type="gramStart"/>
      <w:r>
        <w:rPr>
          <w:rFonts w:cs="STXihei,Italic" w:hint="eastAsia"/>
          <w:i/>
          <w:iCs/>
          <w:sz w:val="16"/>
          <w:szCs w:val="16"/>
        </w:rPr>
        <w:t>远化物流</w:t>
      </w:r>
      <w:proofErr w:type="gramEnd"/>
      <w:r>
        <w:rPr>
          <w:rFonts w:cs="STXihei,Italic"/>
          <w:i/>
          <w:iCs/>
          <w:sz w:val="16"/>
          <w:szCs w:val="16"/>
        </w:rPr>
        <w:t>2023</w:t>
      </w:r>
      <w:r>
        <w:rPr>
          <w:rFonts w:cs="STXihei,Italic"/>
          <w:i/>
          <w:iCs/>
          <w:sz w:val="16"/>
          <w:szCs w:val="16"/>
        </w:rPr>
        <w:t>年度审计报告及关联业务往来报告表</w:t>
      </w:r>
    </w:p>
    <w:p w14:paraId="24876D33" w14:textId="77777777" w:rsidR="006B4107" w:rsidRDefault="004E70C7">
      <w:pPr>
        <w:pStyle w:val="afa"/>
        <w:tabs>
          <w:tab w:val="left" w:pos="2364"/>
        </w:tabs>
        <w:spacing w:before="180" w:after="180"/>
        <w:jc w:val="both"/>
        <w:rPr>
          <w:rFonts w:ascii="Arial Narrow" w:eastAsia="仿宋_GB2312" w:hAnsi="Arial Narrow" w:cs="楷体"/>
          <w:b w:val="0"/>
          <w:i w:val="0"/>
          <w:color w:val="002060"/>
          <w:sz w:val="22"/>
          <w:szCs w:val="22"/>
        </w:rPr>
      </w:pPr>
      <w:bookmarkStart w:id="298" w:name="_Toc140761313"/>
      <w:bookmarkStart w:id="299" w:name="_Toc185598842"/>
      <w:bookmarkStart w:id="300" w:name="_Toc47455427"/>
      <w:r>
        <w:rPr>
          <w:rFonts w:ascii="Arial Narrow" w:eastAsia="仿宋_GB2312" w:hAnsi="Arial Narrow" w:cs="楷体"/>
          <w:b w:val="0"/>
          <w:i w:val="0"/>
          <w:color w:val="002060"/>
          <w:sz w:val="22"/>
          <w:szCs w:val="22"/>
        </w:rPr>
        <w:t>4.3.3.</w:t>
      </w:r>
      <w:r>
        <w:rPr>
          <w:rFonts w:ascii="Arial Narrow" w:eastAsia="仿宋_GB2312" w:hAnsi="Arial Narrow" w:cs="楷体"/>
          <w:b w:val="0"/>
          <w:i w:val="0"/>
          <w:color w:val="002060"/>
          <w:sz w:val="22"/>
          <w:szCs w:val="22"/>
        </w:rPr>
        <w:t>交易定价政策</w:t>
      </w:r>
      <w:bookmarkEnd w:id="298"/>
      <w:bookmarkEnd w:id="299"/>
      <w:bookmarkEnd w:id="300"/>
      <w:r>
        <w:rPr>
          <w:rFonts w:ascii="Arial Narrow" w:eastAsia="仿宋_GB2312" w:hAnsi="Arial Narrow" w:cs="楷体"/>
          <w:b w:val="0"/>
          <w:i w:val="0"/>
          <w:color w:val="002060"/>
          <w:sz w:val="22"/>
          <w:szCs w:val="22"/>
        </w:rPr>
        <w:tab/>
      </w:r>
    </w:p>
    <w:p w14:paraId="7A74FCEA" w14:textId="77777777" w:rsidR="006B4107" w:rsidRDefault="004E70C7">
      <w:pPr>
        <w:spacing w:beforeLines="50" w:before="180" w:afterLines="50" w:after="180" w:line="360" w:lineRule="auto"/>
        <w:ind w:firstLineChars="200" w:firstLine="440"/>
        <w:jc w:val="both"/>
        <w:rPr>
          <w:rFonts w:cs="Arial Unicode MS"/>
        </w:rPr>
      </w:pPr>
      <w:r>
        <w:rPr>
          <w:rFonts w:cs="Arial Unicode MS"/>
        </w:rPr>
        <w:t>在关联劳务交易方面，</w:t>
      </w:r>
      <w:proofErr w:type="gramStart"/>
      <w:r>
        <w:rPr>
          <w:rFonts w:cs="Arial Unicode MS" w:hint="eastAsia"/>
        </w:rPr>
        <w:t>远化物流</w:t>
      </w:r>
      <w:proofErr w:type="gramEnd"/>
      <w:r>
        <w:rPr>
          <w:rFonts w:cs="Arial Unicode MS"/>
        </w:rPr>
        <w:t>与关联方之间的服务交易按照</w:t>
      </w:r>
      <w:r>
        <w:rPr>
          <w:rFonts w:cs="Arial Unicode MS" w:hint="eastAsia"/>
        </w:rPr>
        <w:t>市场价格</w:t>
      </w:r>
      <w:r>
        <w:rPr>
          <w:rFonts w:cs="Arial Unicode MS"/>
        </w:rPr>
        <w:t>确定服务费金额。</w:t>
      </w:r>
    </w:p>
    <w:p w14:paraId="75179078" w14:textId="77777777" w:rsidR="006B4107" w:rsidRDefault="004E70C7">
      <w:pPr>
        <w:pStyle w:val="2"/>
        <w:rPr>
          <w:rFonts w:ascii="Arial Narrow" w:eastAsia="仿宋_GB2312" w:hAnsi="Arial Narrow" w:cs="楷体"/>
          <w:b w:val="0"/>
          <w:iCs w:val="0"/>
          <w:color w:val="002060"/>
          <w:sz w:val="22"/>
          <w:szCs w:val="22"/>
        </w:rPr>
      </w:pPr>
      <w:bookmarkStart w:id="301" w:name="_Toc50477768"/>
      <w:bookmarkStart w:id="302" w:name="_Toc489951874"/>
      <w:bookmarkStart w:id="303" w:name="_Toc50039040"/>
      <w:bookmarkStart w:id="304" w:name="_Toc50039054"/>
      <w:bookmarkStart w:id="305" w:name="_Toc50477783"/>
      <w:bookmarkStart w:id="306" w:name="_Toc50039020"/>
      <w:bookmarkStart w:id="307" w:name="_Toc77181503"/>
      <w:bookmarkStart w:id="308" w:name="_Toc77182242"/>
      <w:bookmarkStart w:id="309" w:name="_Toc489951825"/>
      <w:bookmarkStart w:id="310" w:name="_Toc489951892"/>
      <w:bookmarkStart w:id="311" w:name="_Toc50477750"/>
      <w:bookmarkStart w:id="312" w:name="_Toc489951902"/>
      <w:bookmarkStart w:id="313" w:name="_Toc50039002"/>
      <w:bookmarkStart w:id="314" w:name="_Toc77182241"/>
      <w:bookmarkStart w:id="315" w:name="_Toc49961739"/>
      <w:bookmarkStart w:id="316" w:name="_Toc50477751"/>
      <w:bookmarkStart w:id="317" w:name="_Toc50039035"/>
      <w:bookmarkStart w:id="318" w:name="_Toc489951918"/>
      <w:bookmarkStart w:id="319" w:name="_Toc50039030"/>
      <w:bookmarkStart w:id="320" w:name="_Toc489951831"/>
      <w:bookmarkStart w:id="321" w:name="_Toc78820025"/>
      <w:bookmarkStart w:id="322" w:name="_Toc50477749"/>
      <w:bookmarkStart w:id="323" w:name="_Toc50039025"/>
      <w:bookmarkStart w:id="324" w:name="_Toc489951864"/>
      <w:bookmarkStart w:id="325" w:name="_Toc50477802"/>
      <w:bookmarkStart w:id="326" w:name="_Toc50039000"/>
      <w:bookmarkStart w:id="327" w:name="_Toc489951827"/>
      <w:bookmarkStart w:id="328" w:name="_Toc50039003"/>
      <w:bookmarkStart w:id="329" w:name="_Toc489951814"/>
      <w:bookmarkStart w:id="330" w:name="_Toc49961749"/>
      <w:bookmarkStart w:id="331" w:name="_Toc77181502"/>
      <w:bookmarkStart w:id="332" w:name="_Toc489951829"/>
      <w:bookmarkStart w:id="333" w:name="_Toc49961723"/>
      <w:bookmarkStart w:id="334" w:name="_Toc489951830"/>
      <w:bookmarkStart w:id="335" w:name="_Toc489951816"/>
      <w:bookmarkStart w:id="336" w:name="_Toc50477778"/>
      <w:bookmarkStart w:id="337" w:name="_Toc489951820"/>
      <w:bookmarkStart w:id="338" w:name="_Toc50477773"/>
      <w:bookmarkStart w:id="339" w:name="_Toc49961744"/>
      <w:bookmarkStart w:id="340" w:name="_Toc489951823"/>
      <w:bookmarkStart w:id="341" w:name="_Toc49961759"/>
      <w:bookmarkStart w:id="342" w:name="_Toc489951844"/>
      <w:bookmarkStart w:id="343" w:name="_Toc489951859"/>
      <w:bookmarkStart w:id="344" w:name="_Toc489951815"/>
      <w:bookmarkStart w:id="345" w:name="_Toc78820022"/>
      <w:bookmarkStart w:id="346" w:name="_Toc77182243"/>
      <w:bookmarkStart w:id="347" w:name="_Toc489951819"/>
      <w:bookmarkStart w:id="348" w:name="_Toc49961719"/>
      <w:bookmarkStart w:id="349" w:name="_Toc489951917"/>
      <w:bookmarkStart w:id="350" w:name="_Toc50039001"/>
      <w:bookmarkStart w:id="351" w:name="_Toc489951824"/>
      <w:bookmarkStart w:id="352" w:name="_Toc489951828"/>
      <w:bookmarkStart w:id="353" w:name="_Toc489951887"/>
      <w:bookmarkStart w:id="354" w:name="_Toc50039004"/>
      <w:bookmarkStart w:id="355" w:name="_Toc50039015"/>
      <w:bookmarkStart w:id="356" w:name="_Toc49961721"/>
      <w:bookmarkStart w:id="357" w:name="_Toc49961734"/>
      <w:bookmarkStart w:id="358" w:name="_Toc78820024"/>
      <w:bookmarkStart w:id="359" w:name="_Toc50477752"/>
      <w:bookmarkStart w:id="360" w:name="_Toc50477763"/>
      <w:bookmarkStart w:id="361" w:name="_Toc49961773"/>
      <w:bookmarkStart w:id="362" w:name="_Toc50477788"/>
      <w:bookmarkStart w:id="363" w:name="_Toc49961754"/>
      <w:bookmarkStart w:id="364" w:name="_Toc49961720"/>
      <w:bookmarkStart w:id="365" w:name="_Toc489951826"/>
      <w:bookmarkStart w:id="366" w:name="_Toc77181504"/>
      <w:bookmarkStart w:id="367" w:name="_Toc489951822"/>
      <w:bookmarkStart w:id="368" w:name="_Toc489951907"/>
      <w:bookmarkStart w:id="369" w:name="_Toc489951849"/>
      <w:bookmarkStart w:id="370" w:name="_Toc49961722"/>
      <w:bookmarkStart w:id="371" w:name="_Toc50477748"/>
      <w:bookmarkStart w:id="372" w:name="_Toc140761315"/>
      <w:bookmarkStart w:id="373" w:name="_Toc185598845"/>
      <w:bookmarkEnd w:id="281"/>
      <w:bookmarkEnd w:id="282"/>
      <w:bookmarkEnd w:id="283"/>
      <w:bookmarkEnd w:id="284"/>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r>
        <w:rPr>
          <w:rFonts w:ascii="Arial Narrow" w:eastAsia="仿宋_GB2312" w:hAnsi="Arial Narrow" w:cs="楷体"/>
          <w:b w:val="0"/>
          <w:iCs w:val="0"/>
          <w:color w:val="002060"/>
          <w:sz w:val="22"/>
          <w:szCs w:val="22"/>
        </w:rPr>
        <w:t>关联</w:t>
      </w:r>
      <w:bookmarkEnd w:id="372"/>
      <w:r>
        <w:rPr>
          <w:rFonts w:ascii="Arial Narrow" w:eastAsia="仿宋_GB2312" w:hAnsi="Arial Narrow" w:cs="楷体" w:hint="eastAsia"/>
          <w:b w:val="0"/>
          <w:iCs w:val="0"/>
          <w:color w:val="002060"/>
          <w:sz w:val="22"/>
          <w:szCs w:val="22"/>
        </w:rPr>
        <w:t>租赁</w:t>
      </w:r>
      <w:bookmarkEnd w:id="373"/>
    </w:p>
    <w:p w14:paraId="240E485A" w14:textId="77777777" w:rsidR="006B4107" w:rsidRDefault="004E70C7">
      <w:pPr>
        <w:spacing w:beforeLines="50" w:before="180" w:afterLines="50" w:after="180" w:line="360" w:lineRule="auto"/>
        <w:ind w:firstLineChars="200" w:firstLine="440"/>
        <w:jc w:val="both"/>
        <w:rPr>
          <w:rFonts w:cs="Arial Unicode MS"/>
        </w:rPr>
      </w:pPr>
      <w:bookmarkStart w:id="374" w:name="_Toc522205786"/>
      <w:bookmarkEnd w:id="374"/>
      <w:proofErr w:type="gramStart"/>
      <w:r>
        <w:rPr>
          <w:rFonts w:cs="Arial Unicode MS" w:hint="eastAsia"/>
        </w:rPr>
        <w:t>远化物流</w:t>
      </w:r>
      <w:proofErr w:type="gramEnd"/>
      <w:r>
        <w:rPr>
          <w:rFonts w:cs="Arial Unicode MS" w:hint="eastAsia"/>
        </w:rPr>
        <w:t>从境内关联方租赁厂房。</w:t>
      </w:r>
      <w:proofErr w:type="gramStart"/>
      <w:r>
        <w:rPr>
          <w:rFonts w:cs="Arial Unicode MS" w:hint="eastAsia"/>
        </w:rPr>
        <w:t>2</w:t>
      </w:r>
      <w:r>
        <w:rPr>
          <w:rFonts w:cs="Arial Unicode MS"/>
        </w:rPr>
        <w:t>023</w:t>
      </w:r>
      <w:r>
        <w:rPr>
          <w:rFonts w:cs="Arial Unicode MS" w:hint="eastAsia"/>
        </w:rPr>
        <w:t>年度远化物流</w:t>
      </w:r>
      <w:proofErr w:type="gramEnd"/>
      <w:r>
        <w:rPr>
          <w:rFonts w:cs="Arial Unicode MS" w:hint="eastAsia"/>
        </w:rPr>
        <w:t>相应支付租金</w:t>
      </w:r>
      <w:r>
        <w:rPr>
          <w:rFonts w:cs="Arial Unicode MS"/>
        </w:rPr>
        <w:t>432,000.00</w:t>
      </w:r>
      <w:r>
        <w:rPr>
          <w:rFonts w:cs="Arial Unicode MS" w:hint="eastAsia"/>
        </w:rPr>
        <w:t>元。</w:t>
      </w:r>
    </w:p>
    <w:p w14:paraId="52FA68CE" w14:textId="77777777" w:rsidR="006B4107" w:rsidRDefault="004E70C7">
      <w:pPr>
        <w:pStyle w:val="2"/>
        <w:rPr>
          <w:rFonts w:ascii="Arial Narrow" w:eastAsia="仿宋_GB2312" w:hAnsi="Arial Narrow" w:cs="楷体"/>
          <w:b w:val="0"/>
          <w:iCs w:val="0"/>
          <w:color w:val="002060"/>
          <w:sz w:val="22"/>
          <w:szCs w:val="22"/>
        </w:rPr>
      </w:pPr>
      <w:bookmarkStart w:id="375" w:name="_Toc185598850"/>
      <w:bookmarkStart w:id="376" w:name="_Toc47455429"/>
      <w:bookmarkStart w:id="377" w:name="_Toc140761317"/>
      <w:r>
        <w:rPr>
          <w:rFonts w:ascii="Arial Narrow" w:eastAsia="仿宋_GB2312" w:hAnsi="Arial Narrow" w:cs="楷体"/>
          <w:b w:val="0"/>
          <w:iCs w:val="0"/>
          <w:color w:val="002060"/>
          <w:sz w:val="22"/>
          <w:szCs w:val="22"/>
        </w:rPr>
        <w:t>关联交易合同及执行汇总</w:t>
      </w:r>
      <w:bookmarkStart w:id="378" w:name="_Toc12351294"/>
      <w:bookmarkStart w:id="379" w:name="_Toc12351295"/>
      <w:bookmarkStart w:id="380" w:name="_Toc12351293"/>
      <w:bookmarkEnd w:id="375"/>
      <w:bookmarkEnd w:id="376"/>
      <w:bookmarkEnd w:id="377"/>
      <w:bookmarkEnd w:id="378"/>
      <w:bookmarkEnd w:id="379"/>
      <w:bookmarkEnd w:id="380"/>
    </w:p>
    <w:p w14:paraId="6B9384F2" w14:textId="77777777" w:rsidR="006B4107" w:rsidRDefault="004E70C7">
      <w:pPr>
        <w:spacing w:beforeLines="50" w:before="180" w:afterLines="50" w:after="180" w:line="360" w:lineRule="auto"/>
        <w:ind w:firstLineChars="200" w:firstLine="440"/>
        <w:jc w:val="both"/>
        <w:rPr>
          <w:rFonts w:cs="Arial Unicode MS"/>
        </w:rPr>
      </w:pPr>
      <w:r>
        <w:rPr>
          <w:rFonts w:cs="Arial Unicode MS"/>
        </w:rPr>
        <w:t>评估期间，</w:t>
      </w:r>
      <w:proofErr w:type="gramStart"/>
      <w:r>
        <w:rPr>
          <w:rFonts w:cs="Arial Unicode MS" w:hint="eastAsia"/>
        </w:rPr>
        <w:t>远化物流</w:t>
      </w:r>
      <w:proofErr w:type="gramEnd"/>
      <w:r>
        <w:rPr>
          <w:rFonts w:cs="Arial Unicode MS"/>
        </w:rPr>
        <w:t>与关联方均依据协议中的条款和约定履行各自的责任和义务。</w:t>
      </w:r>
    </w:p>
    <w:p w14:paraId="15601727" w14:textId="77777777" w:rsidR="006B4107" w:rsidRDefault="004E70C7">
      <w:pPr>
        <w:pStyle w:val="2"/>
        <w:rPr>
          <w:rFonts w:ascii="Arial Narrow" w:eastAsia="仿宋_GB2312" w:hAnsi="Arial Narrow"/>
          <w:iCs w:val="0"/>
          <w:color w:val="002060"/>
        </w:rPr>
      </w:pPr>
      <w:bookmarkStart w:id="381" w:name="_Toc77182247"/>
      <w:bookmarkStart w:id="382" w:name="_Toc78820029"/>
      <w:bookmarkStart w:id="383" w:name="_Toc77181508"/>
      <w:bookmarkStart w:id="384" w:name="_Toc185598851"/>
      <w:bookmarkStart w:id="385" w:name="_Toc140761318"/>
      <w:bookmarkEnd w:id="381"/>
      <w:bookmarkEnd w:id="382"/>
      <w:bookmarkEnd w:id="383"/>
      <w:r>
        <w:rPr>
          <w:rFonts w:ascii="Arial Narrow" w:eastAsia="仿宋_GB2312" w:hAnsi="Arial Narrow" w:cs="楷体"/>
          <w:b w:val="0"/>
          <w:iCs w:val="0"/>
          <w:color w:val="002060"/>
          <w:sz w:val="22"/>
          <w:szCs w:val="22"/>
        </w:rPr>
        <w:t>与企业关联交易直接相关的预约定价安排和其他税收裁定</w:t>
      </w:r>
      <w:bookmarkEnd w:id="384"/>
      <w:bookmarkEnd w:id="385"/>
    </w:p>
    <w:p w14:paraId="2264E18D" w14:textId="77777777" w:rsidR="006B4107" w:rsidRDefault="004E70C7">
      <w:pPr>
        <w:spacing w:beforeLines="50" w:before="180" w:afterLines="50" w:after="180" w:line="360" w:lineRule="auto"/>
        <w:ind w:firstLineChars="200" w:firstLine="440"/>
        <w:jc w:val="both"/>
        <w:rPr>
          <w:rFonts w:cs="Arial Unicode MS"/>
        </w:rPr>
      </w:pPr>
      <w:bookmarkStart w:id="386" w:name="_Toc489951924"/>
      <w:bookmarkStart w:id="387" w:name="_Toc489951925"/>
      <w:bookmarkStart w:id="388" w:name="_Toc489951927"/>
      <w:bookmarkStart w:id="389" w:name="_Toc522205790"/>
      <w:bookmarkStart w:id="390" w:name="_Toc522205789"/>
      <w:bookmarkEnd w:id="386"/>
      <w:bookmarkEnd w:id="387"/>
      <w:bookmarkEnd w:id="388"/>
      <w:bookmarkEnd w:id="389"/>
      <w:bookmarkEnd w:id="390"/>
      <w:r>
        <w:rPr>
          <w:rFonts w:cs="Arial Unicode MS"/>
        </w:rPr>
        <w:t>评估期间，</w:t>
      </w:r>
      <w:proofErr w:type="gramStart"/>
      <w:r>
        <w:rPr>
          <w:rFonts w:cs="Arial Unicode MS" w:hint="eastAsia"/>
        </w:rPr>
        <w:t>远化物流</w:t>
      </w:r>
      <w:proofErr w:type="gramEnd"/>
      <w:r>
        <w:rPr>
          <w:rFonts w:cs="Arial Unicode MS"/>
        </w:rPr>
        <w:t>无与企业关联交易直接相关的预约定价安排和</w:t>
      </w:r>
      <w:proofErr w:type="gramStart"/>
      <w:r>
        <w:rPr>
          <w:rFonts w:cs="Arial Unicode MS"/>
        </w:rPr>
        <w:t>作出</w:t>
      </w:r>
      <w:proofErr w:type="gramEnd"/>
      <w:r>
        <w:rPr>
          <w:rFonts w:cs="Arial Unicode MS"/>
        </w:rPr>
        <w:t>的其他税收裁定。</w:t>
      </w:r>
    </w:p>
    <w:p w14:paraId="132DA269" w14:textId="77777777" w:rsidR="006B4107" w:rsidRDefault="004E70C7">
      <w:pPr>
        <w:pStyle w:val="2"/>
        <w:rPr>
          <w:rFonts w:ascii="Arial Narrow" w:eastAsia="仿宋_GB2312" w:hAnsi="Arial Narrow"/>
          <w:iCs w:val="0"/>
          <w:color w:val="002060"/>
        </w:rPr>
      </w:pPr>
      <w:bookmarkStart w:id="391" w:name="_Toc140761319"/>
      <w:bookmarkStart w:id="392" w:name="_Toc185598852"/>
      <w:bookmarkStart w:id="393" w:name="_Toc50651943"/>
      <w:r>
        <w:rPr>
          <w:rFonts w:ascii="Arial Narrow" w:eastAsia="仿宋_GB2312" w:hAnsi="Arial Narrow" w:cs="楷体"/>
          <w:b w:val="0"/>
          <w:iCs w:val="0"/>
          <w:color w:val="002060"/>
          <w:sz w:val="22"/>
          <w:szCs w:val="22"/>
        </w:rPr>
        <w:t>关联交易财务状况</w:t>
      </w:r>
      <w:bookmarkEnd w:id="391"/>
      <w:bookmarkEnd w:id="392"/>
      <w:bookmarkEnd w:id="393"/>
    </w:p>
    <w:p w14:paraId="58BC54DC" w14:textId="77777777" w:rsidR="006B4107" w:rsidRDefault="004E70C7">
      <w:pPr>
        <w:spacing w:beforeLines="50" w:before="180" w:afterLines="50" w:after="180" w:line="360" w:lineRule="auto"/>
        <w:ind w:firstLineChars="200" w:firstLine="440"/>
        <w:jc w:val="both"/>
        <w:rPr>
          <w:rFonts w:cs="Arial Unicode MS"/>
        </w:rPr>
      </w:pPr>
      <w:proofErr w:type="gramStart"/>
      <w:r>
        <w:rPr>
          <w:rFonts w:cs="Arial Unicode MS" w:hint="eastAsia"/>
        </w:rPr>
        <w:t>远化物流</w:t>
      </w:r>
      <w:proofErr w:type="gramEnd"/>
      <w:r>
        <w:rPr>
          <w:rFonts w:cs="Arial Unicode MS"/>
        </w:rPr>
        <w:t>按照客户类型进行收入划分，即根据客户是否是境内公司将销售收入明确划分成境内关联交易收入和境外关联交易收入。具体拆分数据详见附件</w:t>
      </w:r>
      <w:r>
        <w:rPr>
          <w:rFonts w:cs="Arial Unicode MS"/>
        </w:rPr>
        <w:t>2</w:t>
      </w:r>
      <w:r>
        <w:rPr>
          <w:rFonts w:cs="Arial Unicode MS"/>
        </w:rPr>
        <w:t>《企业年度关联交易财务状况分析表》。</w:t>
      </w:r>
    </w:p>
    <w:p w14:paraId="4C105709" w14:textId="77777777" w:rsidR="006B4107" w:rsidRDefault="004E70C7">
      <w:pPr>
        <w:spacing w:beforeLines="50" w:before="180" w:afterLines="50" w:after="180" w:line="360" w:lineRule="auto"/>
        <w:ind w:firstLineChars="200" w:firstLine="440"/>
        <w:jc w:val="both"/>
        <w:rPr>
          <w:rFonts w:cs="Arial Unicode MS"/>
        </w:rPr>
      </w:pPr>
      <w:proofErr w:type="gramStart"/>
      <w:r>
        <w:rPr>
          <w:rFonts w:cs="Arial Unicode MS" w:hint="eastAsia"/>
        </w:rPr>
        <w:lastRenderedPageBreak/>
        <w:t>远</w:t>
      </w:r>
      <w:r>
        <w:rPr>
          <w:rFonts w:cs="Arial Unicode MS" w:hint="eastAsia"/>
        </w:rPr>
        <w:t>化物流</w:t>
      </w:r>
      <w:proofErr w:type="gramEnd"/>
      <w:r>
        <w:rPr>
          <w:rFonts w:cs="Arial Unicode MS"/>
        </w:rPr>
        <w:t>原则上根据实际情况在不同的交易类型中归集、划分成本和费用，对于不能按照实际情况划分的成本和费用，</w:t>
      </w:r>
      <w:proofErr w:type="gramStart"/>
      <w:r>
        <w:rPr>
          <w:rFonts w:cs="Arial Unicode MS" w:hint="eastAsia"/>
        </w:rPr>
        <w:t>远化物流</w:t>
      </w:r>
      <w:proofErr w:type="gramEnd"/>
      <w:r>
        <w:rPr>
          <w:rFonts w:cs="Arial Unicode MS"/>
        </w:rPr>
        <w:t>按照合理比例进行划分。</w:t>
      </w:r>
    </w:p>
    <w:p w14:paraId="29E7C951" w14:textId="77777777" w:rsidR="006B4107" w:rsidRDefault="004E70C7">
      <w:pPr>
        <w:pStyle w:val="2"/>
        <w:rPr>
          <w:rFonts w:ascii="Arial Narrow" w:eastAsia="仿宋_GB2312" w:hAnsi="Arial Narrow" w:cs="楷体"/>
          <w:b w:val="0"/>
          <w:iCs w:val="0"/>
          <w:color w:val="002060"/>
          <w:sz w:val="22"/>
          <w:szCs w:val="22"/>
        </w:rPr>
      </w:pPr>
      <w:bookmarkStart w:id="394" w:name="_Toc77182250"/>
      <w:bookmarkStart w:id="395" w:name="_Toc77181512"/>
      <w:bookmarkStart w:id="396" w:name="_Toc77181511"/>
      <w:bookmarkStart w:id="397" w:name="_Toc78820032"/>
      <w:bookmarkStart w:id="398" w:name="_Toc78820033"/>
      <w:bookmarkStart w:id="399" w:name="_Toc77182251"/>
      <w:bookmarkStart w:id="400" w:name="_Toc140761320"/>
      <w:bookmarkStart w:id="401" w:name="_Toc185598853"/>
      <w:bookmarkEnd w:id="394"/>
      <w:bookmarkEnd w:id="395"/>
      <w:bookmarkEnd w:id="396"/>
      <w:bookmarkEnd w:id="397"/>
      <w:bookmarkEnd w:id="398"/>
      <w:bookmarkEnd w:id="399"/>
      <w:r>
        <w:rPr>
          <w:rFonts w:ascii="Arial Narrow" w:eastAsia="仿宋_GB2312" w:hAnsi="Arial Narrow" w:cs="楷体"/>
          <w:b w:val="0"/>
          <w:iCs w:val="0"/>
          <w:color w:val="002060"/>
          <w:sz w:val="22"/>
          <w:szCs w:val="22"/>
        </w:rPr>
        <w:t>结论</w:t>
      </w:r>
      <w:bookmarkEnd w:id="400"/>
      <w:bookmarkEnd w:id="401"/>
    </w:p>
    <w:p w14:paraId="3C22E21F" w14:textId="77777777" w:rsidR="006B4107" w:rsidRDefault="004E70C7">
      <w:pPr>
        <w:spacing w:beforeLines="50" w:before="180" w:afterLines="50" w:after="180" w:line="360" w:lineRule="auto"/>
        <w:ind w:firstLineChars="200" w:firstLine="440"/>
        <w:jc w:val="both"/>
        <w:rPr>
          <w:rStyle w:val="affc"/>
        </w:rPr>
      </w:pPr>
      <w:r>
        <w:rPr>
          <w:rFonts w:cs="Arial Unicode MS"/>
        </w:rPr>
        <w:t>从理论上讲，在对企业的关联交易进行分析时，为了得到最为准确的可比数据，应该对各项关联交易进行逐一的分析和评估。但是，在很多情况下，企业各项关联交易间是紧密联系的，从而构成了企业的整体业务。在这种情况下，不应机械地把这些关联交易分割成单独的交易进行分别验证。</w:t>
      </w:r>
      <w:r>
        <w:rPr>
          <w:rStyle w:val="affc"/>
        </w:rPr>
        <w:footnoteReference w:id="8"/>
      </w:r>
    </w:p>
    <w:p w14:paraId="214993DC" w14:textId="77777777" w:rsidR="006B4107" w:rsidRDefault="004E70C7">
      <w:pPr>
        <w:spacing w:beforeLines="50" w:before="180" w:afterLines="50" w:after="180" w:line="360" w:lineRule="auto"/>
        <w:ind w:firstLineChars="200" w:firstLine="440"/>
        <w:jc w:val="both"/>
        <w:rPr>
          <w:rFonts w:cs="Arial Unicode MS"/>
        </w:rPr>
      </w:pPr>
      <w:r>
        <w:rPr>
          <w:rFonts w:cs="Arial Unicode MS"/>
        </w:rPr>
        <w:t>2023</w:t>
      </w:r>
      <w:r>
        <w:rPr>
          <w:rFonts w:cs="Arial Unicode MS"/>
        </w:rPr>
        <w:t>年度，</w:t>
      </w:r>
      <w:proofErr w:type="gramStart"/>
      <w:r>
        <w:rPr>
          <w:rFonts w:cs="Arial Unicode MS" w:hint="eastAsia"/>
        </w:rPr>
        <w:t>远化物流</w:t>
      </w:r>
      <w:proofErr w:type="gramEnd"/>
      <w:r>
        <w:rPr>
          <w:rFonts w:cs="Arial Unicode MS"/>
        </w:rPr>
        <w:t>的主要关联交易</w:t>
      </w:r>
      <w:r>
        <w:rPr>
          <w:rFonts w:cs="Arial Unicode MS" w:hint="eastAsia"/>
        </w:rPr>
        <w:t>包括关联劳务和关联租赁，这些关联交易的结果均</w:t>
      </w:r>
      <w:r>
        <w:rPr>
          <w:rFonts w:cs="Arial Unicode MS"/>
        </w:rPr>
        <w:t>已反映到成本费用中，</w:t>
      </w:r>
      <w:r>
        <w:rPr>
          <w:rFonts w:cs="Arial Unicode MS" w:hint="eastAsia"/>
        </w:rPr>
        <w:t>因此，</w:t>
      </w:r>
      <w:r>
        <w:rPr>
          <w:rFonts w:cs="Arial Unicode MS"/>
        </w:rPr>
        <w:t>本报告将不对其进行单独测试分析，而是</w:t>
      </w:r>
      <w:proofErr w:type="gramStart"/>
      <w:r>
        <w:rPr>
          <w:rFonts w:cs="Arial Unicode MS"/>
        </w:rPr>
        <w:t>对</w:t>
      </w:r>
      <w:r>
        <w:rPr>
          <w:rFonts w:cs="Arial Unicode MS" w:hint="eastAsia"/>
        </w:rPr>
        <w:t>远化物流</w:t>
      </w:r>
      <w:proofErr w:type="gramEnd"/>
      <w:r>
        <w:rPr>
          <w:rFonts w:cs="Arial Unicode MS"/>
        </w:rPr>
        <w:t>的关联交易作为一个整体去分析。</w:t>
      </w:r>
      <w:r>
        <w:rPr>
          <w:rFonts w:cs="Arial Unicode MS"/>
        </w:rPr>
        <w:br w:type="page"/>
      </w:r>
    </w:p>
    <w:p w14:paraId="1EBA152C" w14:textId="77777777" w:rsidR="006B4107" w:rsidRDefault="004E70C7">
      <w:pPr>
        <w:pStyle w:val="1"/>
        <w:rPr>
          <w:rFonts w:ascii="Arial Narrow" w:eastAsia="仿宋_GB2312" w:hAnsi="Arial Narrow"/>
          <w:b w:val="0"/>
          <w:bCs/>
          <w:color w:val="1E4517" w:themeColor="accent4" w:themeShade="80"/>
          <w:sz w:val="28"/>
          <w:szCs w:val="28"/>
        </w:rPr>
      </w:pPr>
      <w:bookmarkStart w:id="402" w:name="_Toc185598854"/>
      <w:bookmarkStart w:id="403" w:name="_Toc140761321"/>
      <w:r>
        <w:rPr>
          <w:rFonts w:ascii="Arial Narrow" w:eastAsia="仿宋_GB2312" w:hAnsi="Arial Narrow" w:cs="Arial Unicode MS"/>
          <w:b w:val="0"/>
          <w:bCs/>
          <w:color w:val="1E4517" w:themeColor="accent4" w:themeShade="80"/>
          <w:sz w:val="28"/>
          <w:szCs w:val="28"/>
        </w:rPr>
        <w:lastRenderedPageBreak/>
        <w:t>功能和风险分析</w:t>
      </w:r>
      <w:bookmarkEnd w:id="402"/>
      <w:bookmarkEnd w:id="403"/>
    </w:p>
    <w:p w14:paraId="63CAFFF1" w14:textId="77777777" w:rsidR="006B4107" w:rsidRDefault="004E70C7">
      <w:pPr>
        <w:pStyle w:val="2"/>
        <w:rPr>
          <w:rFonts w:ascii="Arial Narrow" w:eastAsia="仿宋_GB2312" w:hAnsi="Arial Narrow"/>
          <w:iCs w:val="0"/>
          <w:color w:val="002060"/>
        </w:rPr>
      </w:pPr>
      <w:bookmarkStart w:id="404" w:name="_Toc140761322"/>
      <w:bookmarkStart w:id="405" w:name="_Toc185598855"/>
      <w:r>
        <w:rPr>
          <w:rFonts w:ascii="Arial Narrow" w:eastAsia="仿宋_GB2312" w:hAnsi="Arial Narrow" w:cs="楷体"/>
          <w:b w:val="0"/>
          <w:iCs w:val="0"/>
          <w:color w:val="002060"/>
          <w:sz w:val="22"/>
          <w:szCs w:val="22"/>
        </w:rPr>
        <w:t>简介</w:t>
      </w:r>
      <w:bookmarkEnd w:id="404"/>
      <w:bookmarkEnd w:id="405"/>
    </w:p>
    <w:p w14:paraId="7DC99AE9" w14:textId="77777777" w:rsidR="006B4107" w:rsidRDefault="004E70C7">
      <w:pPr>
        <w:spacing w:beforeLines="50" w:before="180" w:afterLines="50" w:after="180" w:line="360" w:lineRule="auto"/>
        <w:ind w:firstLineChars="200" w:firstLine="440"/>
        <w:jc w:val="both"/>
        <w:rPr>
          <w:rFonts w:cs="楷体"/>
        </w:rPr>
      </w:pPr>
      <w:bookmarkStart w:id="406" w:name="_Toc48317266"/>
      <w:bookmarkStart w:id="407" w:name="_Toc48317453"/>
      <w:bookmarkStart w:id="408" w:name="_Toc48317269"/>
      <w:bookmarkStart w:id="409" w:name="_Toc48317268"/>
      <w:bookmarkStart w:id="410" w:name="_Toc48317146"/>
      <w:bookmarkStart w:id="411" w:name="_Toc48582984"/>
      <w:bookmarkStart w:id="412" w:name="_Toc48317265"/>
      <w:bookmarkStart w:id="413" w:name="_Toc48582573"/>
      <w:bookmarkStart w:id="414" w:name="_Toc48582572"/>
      <w:bookmarkStart w:id="415" w:name="_Toc48317148"/>
      <w:bookmarkStart w:id="416" w:name="_Toc48582574"/>
      <w:bookmarkStart w:id="417" w:name="_Toc48317147"/>
      <w:bookmarkStart w:id="418" w:name="_Toc48399589"/>
      <w:bookmarkStart w:id="419" w:name="_Toc48317150"/>
      <w:bookmarkStart w:id="420" w:name="_Toc48317267"/>
      <w:bookmarkStart w:id="421" w:name="_Toc48399590"/>
      <w:bookmarkStart w:id="422" w:name="_Toc48317451"/>
      <w:bookmarkStart w:id="423" w:name="_Toc48582986"/>
      <w:bookmarkStart w:id="424" w:name="_Toc48582985"/>
      <w:bookmarkStart w:id="425" w:name="_Toc48317452"/>
      <w:bookmarkStart w:id="426" w:name="_Toc48582988"/>
      <w:bookmarkStart w:id="427" w:name="_Toc48399588"/>
      <w:bookmarkStart w:id="428" w:name="_Toc48399592"/>
      <w:bookmarkStart w:id="429" w:name="_Toc48317454"/>
      <w:bookmarkStart w:id="430" w:name="_Toc48317450"/>
      <w:bookmarkStart w:id="431" w:name="_Toc48582987"/>
      <w:bookmarkStart w:id="432" w:name="_Toc48582571"/>
      <w:bookmarkStart w:id="433" w:name="_Toc48317149"/>
      <w:bookmarkStart w:id="434" w:name="_Toc48399591"/>
      <w:bookmarkStart w:id="435" w:name="_Toc48582575"/>
      <w:bookmarkStart w:id="436" w:name="_Toc48317151"/>
      <w:bookmarkStart w:id="437" w:name="_Toc4831745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r>
        <w:rPr>
          <w:rFonts w:cs="Arial Unicode MS"/>
        </w:rPr>
        <w:t>功能和风险分析有助于理解和验证相关的转让定价安排，也是中国转让定价法规规定必须进行的分析。功能和风险分析部分所收集的信息，将被用来分析评估期间的以下问题：</w:t>
      </w:r>
    </w:p>
    <w:p w14:paraId="3A48DF18" w14:textId="77777777" w:rsidR="006B4107" w:rsidRDefault="004E70C7">
      <w:pPr>
        <w:pStyle w:val="affd"/>
        <w:numPr>
          <w:ilvl w:val="0"/>
          <w:numId w:val="21"/>
        </w:numPr>
        <w:spacing w:beforeLines="50" w:before="180" w:afterLines="50" w:after="180" w:line="360" w:lineRule="auto"/>
        <w:ind w:right="113"/>
        <w:contextualSpacing w:val="0"/>
        <w:jc w:val="both"/>
        <w:rPr>
          <w:rFonts w:ascii="Arial Narrow" w:hAnsi="Arial Narrow" w:cs="Arial Unicode MS"/>
        </w:rPr>
      </w:pPr>
      <w:r>
        <w:rPr>
          <w:rFonts w:ascii="Arial Narrow" w:hAnsi="Arial Narrow" w:cs="Arial Unicode MS"/>
        </w:rPr>
        <w:t>企业及其关联</w:t>
      </w:r>
      <w:proofErr w:type="gramStart"/>
      <w:r>
        <w:rPr>
          <w:rFonts w:ascii="Arial Narrow" w:hAnsi="Arial Narrow" w:cs="Arial Unicode MS"/>
        </w:rPr>
        <w:t>方执行</w:t>
      </w:r>
      <w:proofErr w:type="gramEnd"/>
      <w:r>
        <w:rPr>
          <w:rFonts w:ascii="Arial Narrow" w:hAnsi="Arial Narrow" w:cs="Arial Unicode MS"/>
        </w:rPr>
        <w:t>的主要功能（包括种类和频繁程度）；</w:t>
      </w:r>
    </w:p>
    <w:p w14:paraId="18A37EB4" w14:textId="77777777" w:rsidR="006B4107" w:rsidRDefault="004E70C7">
      <w:pPr>
        <w:pStyle w:val="affd"/>
        <w:numPr>
          <w:ilvl w:val="0"/>
          <w:numId w:val="21"/>
        </w:numPr>
        <w:spacing w:beforeLines="50" w:before="180" w:afterLines="50" w:after="180" w:line="360" w:lineRule="auto"/>
        <w:ind w:right="113"/>
        <w:contextualSpacing w:val="0"/>
        <w:jc w:val="both"/>
        <w:rPr>
          <w:rFonts w:ascii="Arial Narrow" w:hAnsi="Arial Narrow" w:cs="Arial Unicode MS"/>
        </w:rPr>
      </w:pPr>
      <w:r>
        <w:rPr>
          <w:rFonts w:ascii="Arial Narrow" w:hAnsi="Arial Narrow" w:cs="Arial Unicode MS"/>
        </w:rPr>
        <w:t>企业及其关联方所承担的风险；</w:t>
      </w:r>
    </w:p>
    <w:p w14:paraId="534070D8" w14:textId="77777777" w:rsidR="006B4107" w:rsidRDefault="004E70C7">
      <w:pPr>
        <w:pStyle w:val="affd"/>
        <w:numPr>
          <w:ilvl w:val="0"/>
          <w:numId w:val="21"/>
        </w:numPr>
        <w:spacing w:beforeLines="50" w:before="180" w:afterLines="50" w:after="180" w:line="360" w:lineRule="auto"/>
        <w:ind w:right="113"/>
        <w:contextualSpacing w:val="0"/>
        <w:jc w:val="both"/>
        <w:rPr>
          <w:rFonts w:ascii="Arial Narrow" w:hAnsi="Arial Narrow" w:cs="Arial Unicode MS"/>
        </w:rPr>
      </w:pPr>
      <w:r>
        <w:rPr>
          <w:rFonts w:ascii="Arial Narrow" w:hAnsi="Arial Narrow" w:cs="Arial Unicode MS"/>
        </w:rPr>
        <w:t>企业及其关联方所使用的资产（包括有形资产和无形资产）。</w:t>
      </w:r>
    </w:p>
    <w:p w14:paraId="6A35E3CF" w14:textId="77777777" w:rsidR="006B4107" w:rsidRDefault="004E70C7">
      <w:pPr>
        <w:spacing w:beforeLines="50" w:before="180" w:afterLines="50" w:after="180" w:line="360" w:lineRule="auto"/>
        <w:ind w:firstLineChars="200" w:firstLine="440"/>
        <w:jc w:val="both"/>
        <w:rPr>
          <w:rFonts w:cs="楷体"/>
        </w:rPr>
      </w:pPr>
      <w:r>
        <w:rPr>
          <w:rFonts w:cs="Arial Unicode MS"/>
        </w:rPr>
        <w:t>在本报告的功能和风险分析部分，我们将</w:t>
      </w:r>
      <w:proofErr w:type="gramStart"/>
      <w:r>
        <w:rPr>
          <w:rFonts w:cs="Arial Unicode MS"/>
        </w:rPr>
        <w:t>对</w:t>
      </w:r>
      <w:r>
        <w:rPr>
          <w:rFonts w:cs="Arial Unicode MS" w:hint="eastAsia"/>
        </w:rPr>
        <w:t>远化物流</w:t>
      </w:r>
      <w:proofErr w:type="gramEnd"/>
      <w:r>
        <w:rPr>
          <w:rFonts w:cs="Arial Unicode MS"/>
        </w:rPr>
        <w:t>在受测关联交易中与其关联方之间形成的经济关系进行分析和评估。</w:t>
      </w:r>
    </w:p>
    <w:p w14:paraId="30717822" w14:textId="77777777" w:rsidR="006B4107" w:rsidRDefault="004E70C7">
      <w:pPr>
        <w:pStyle w:val="2"/>
        <w:rPr>
          <w:rFonts w:ascii="Arial Narrow" w:eastAsia="仿宋_GB2312" w:hAnsi="Arial Narrow"/>
          <w:iCs w:val="0"/>
          <w:color w:val="002060"/>
        </w:rPr>
      </w:pPr>
      <w:bookmarkStart w:id="438" w:name="_Toc140761323"/>
      <w:bookmarkStart w:id="439" w:name="_Toc185598856"/>
      <w:r>
        <w:rPr>
          <w:rFonts w:ascii="Arial Narrow" w:eastAsia="仿宋_GB2312" w:hAnsi="Arial Narrow" w:cs="楷体"/>
          <w:b w:val="0"/>
          <w:iCs w:val="0"/>
          <w:color w:val="002060"/>
          <w:sz w:val="22"/>
          <w:szCs w:val="22"/>
        </w:rPr>
        <w:t>功能及风险分析</w:t>
      </w:r>
      <w:bookmarkEnd w:id="436"/>
      <w:bookmarkEnd w:id="437"/>
      <w:bookmarkEnd w:id="438"/>
      <w:bookmarkEnd w:id="439"/>
    </w:p>
    <w:p w14:paraId="0C1A7477" w14:textId="77777777" w:rsidR="006B4107" w:rsidRDefault="004E70C7">
      <w:pPr>
        <w:pStyle w:val="3"/>
        <w:rPr>
          <w:rFonts w:ascii="Arial Narrow" w:eastAsia="仿宋_GB2312" w:hAnsi="Arial Narrow"/>
          <w:iCs w:val="0"/>
          <w:color w:val="002060"/>
        </w:rPr>
      </w:pPr>
      <w:bookmarkStart w:id="440" w:name="_Toc140761324"/>
      <w:bookmarkStart w:id="441" w:name="_Toc185598857"/>
      <w:bookmarkStart w:id="442" w:name="_Toc48317456"/>
      <w:r>
        <w:rPr>
          <w:rFonts w:ascii="Arial Narrow" w:eastAsia="仿宋_GB2312" w:hAnsi="Arial Narrow" w:cs="楷体"/>
          <w:b w:val="0"/>
          <w:iCs w:val="0"/>
          <w:color w:val="002060"/>
          <w:sz w:val="22"/>
          <w:szCs w:val="22"/>
        </w:rPr>
        <w:t>功能分析</w:t>
      </w:r>
      <w:bookmarkEnd w:id="440"/>
      <w:bookmarkEnd w:id="441"/>
      <w:bookmarkEnd w:id="442"/>
    </w:p>
    <w:p w14:paraId="6DF2B0FA" w14:textId="77777777" w:rsidR="006B4107" w:rsidRDefault="004E70C7">
      <w:pPr>
        <w:spacing w:beforeLines="50" w:before="180" w:afterLines="50" w:after="180" w:line="360" w:lineRule="auto"/>
        <w:ind w:firstLineChars="200" w:firstLine="440"/>
        <w:jc w:val="both"/>
        <w:rPr>
          <w:rFonts w:cs="Arial Unicode MS"/>
        </w:rPr>
      </w:pPr>
      <w:r>
        <w:rPr>
          <w:rFonts w:cs="Arial Unicode MS"/>
        </w:rPr>
        <w:t>此处我们将主要</w:t>
      </w:r>
      <w:proofErr w:type="gramStart"/>
      <w:r>
        <w:rPr>
          <w:rFonts w:cs="Arial Unicode MS"/>
        </w:rPr>
        <w:t>分析</w:t>
      </w:r>
      <w:r>
        <w:rPr>
          <w:rFonts w:cs="Arial Unicode MS" w:hint="eastAsia"/>
        </w:rPr>
        <w:t>远化物流</w:t>
      </w:r>
      <w:proofErr w:type="gramEnd"/>
      <w:r>
        <w:rPr>
          <w:rFonts w:cs="Arial Unicode MS"/>
        </w:rPr>
        <w:t>及其关联企业各个业务部门在关联交易中所从事的业务活动，以及关联交易的各个参与方所执行的功能。</w:t>
      </w:r>
    </w:p>
    <w:p w14:paraId="127C460F" w14:textId="77777777" w:rsidR="006B4107" w:rsidRDefault="004E70C7">
      <w:pPr>
        <w:pStyle w:val="4"/>
        <w:rPr>
          <w:rFonts w:ascii="Arial Narrow" w:eastAsia="仿宋_GB2312" w:hAnsi="Arial Narrow"/>
          <w:b w:val="0"/>
          <w:bCs w:val="0"/>
          <w:color w:val="002060"/>
        </w:rPr>
      </w:pPr>
      <w:r>
        <w:rPr>
          <w:rFonts w:ascii="Arial Narrow" w:eastAsia="仿宋_GB2312" w:hAnsi="Arial Narrow" w:hint="eastAsia"/>
          <w:b w:val="0"/>
          <w:bCs w:val="0"/>
          <w:color w:val="002060"/>
        </w:rPr>
        <w:t>采购</w:t>
      </w:r>
    </w:p>
    <w:p w14:paraId="44985BD4" w14:textId="77777777" w:rsidR="006B4107" w:rsidRDefault="004E70C7">
      <w:pPr>
        <w:spacing w:beforeLines="50" w:before="180" w:afterLines="50" w:after="180" w:line="360" w:lineRule="auto"/>
        <w:ind w:firstLineChars="200" w:firstLine="440"/>
        <w:jc w:val="both"/>
        <w:rPr>
          <w:rFonts w:cs="Arial Unicode MS"/>
        </w:rPr>
      </w:pPr>
      <w:r>
        <w:rPr>
          <w:rFonts w:cs="Arial Unicode MS" w:hint="eastAsia"/>
        </w:rPr>
        <w:t>评估</w:t>
      </w:r>
      <w:proofErr w:type="gramStart"/>
      <w:r>
        <w:rPr>
          <w:rFonts w:cs="Arial Unicode MS" w:hint="eastAsia"/>
        </w:rPr>
        <w:t>期间远化</w:t>
      </w:r>
      <w:proofErr w:type="gramEnd"/>
      <w:r>
        <w:rPr>
          <w:rFonts w:cs="Arial Unicode MS" w:hint="eastAsia"/>
        </w:rPr>
        <w:t>物流主要涉及运输车辆所使用的柴油的采购，</w:t>
      </w:r>
      <w:proofErr w:type="gramStart"/>
      <w:r>
        <w:rPr>
          <w:rFonts w:cs="Arial Unicode MS" w:hint="eastAsia"/>
        </w:rPr>
        <w:t>而远化物流</w:t>
      </w:r>
      <w:proofErr w:type="gramEnd"/>
      <w:r>
        <w:rPr>
          <w:rFonts w:cs="Arial Unicode MS" w:hint="eastAsia"/>
        </w:rPr>
        <w:t>本身未设置专门的采购部门，相应的招标采购流程均由关联方完成。</w:t>
      </w:r>
    </w:p>
    <w:p w14:paraId="2407BE91" w14:textId="77777777" w:rsidR="006B4107" w:rsidRDefault="004E70C7">
      <w:pPr>
        <w:spacing w:beforeLines="50" w:before="180" w:afterLines="50" w:after="180" w:line="360" w:lineRule="auto"/>
        <w:ind w:firstLineChars="200" w:firstLine="440"/>
        <w:jc w:val="both"/>
        <w:rPr>
          <w:rFonts w:cs="Arial Unicode MS"/>
        </w:rPr>
      </w:pPr>
      <w:r>
        <w:rPr>
          <w:rFonts w:cs="Arial Unicode MS"/>
        </w:rPr>
        <w:t>因此，评估期间，</w:t>
      </w:r>
      <w:proofErr w:type="gramStart"/>
      <w:r>
        <w:rPr>
          <w:rFonts w:cs="Arial Unicode MS" w:hint="eastAsia"/>
        </w:rPr>
        <w:t>远化物流</w:t>
      </w:r>
      <w:proofErr w:type="gramEnd"/>
      <w:r>
        <w:rPr>
          <w:rFonts w:cs="Arial Unicode MS" w:hint="eastAsia"/>
        </w:rPr>
        <w:t>不</w:t>
      </w:r>
      <w:r>
        <w:rPr>
          <w:rFonts w:cs="Arial Unicode MS"/>
        </w:rPr>
        <w:t>执行</w:t>
      </w:r>
      <w:r>
        <w:rPr>
          <w:rFonts w:cs="Arial Unicode MS" w:hint="eastAsia"/>
        </w:rPr>
        <w:t>采购</w:t>
      </w:r>
      <w:r>
        <w:rPr>
          <w:rFonts w:cs="Arial Unicode MS"/>
        </w:rPr>
        <w:t>功能。</w:t>
      </w:r>
    </w:p>
    <w:p w14:paraId="58267F64" w14:textId="77777777" w:rsidR="006B4107" w:rsidRDefault="004E70C7">
      <w:pPr>
        <w:pStyle w:val="4"/>
        <w:rPr>
          <w:rFonts w:cs="Arial Unicode MS"/>
        </w:rPr>
      </w:pPr>
      <w:r>
        <w:rPr>
          <w:rFonts w:ascii="Arial Narrow" w:eastAsia="仿宋_GB2312" w:hAnsi="Arial Narrow" w:hint="eastAsia"/>
          <w:b w:val="0"/>
          <w:bCs w:val="0"/>
          <w:color w:val="002060"/>
        </w:rPr>
        <w:t>物流运输</w:t>
      </w:r>
    </w:p>
    <w:p w14:paraId="57F1FA71" w14:textId="77777777" w:rsidR="006B4107" w:rsidRDefault="004E70C7">
      <w:pPr>
        <w:spacing w:beforeLines="50" w:before="180" w:afterLines="50" w:after="180" w:line="360" w:lineRule="auto"/>
        <w:ind w:firstLineChars="200" w:firstLine="440"/>
        <w:jc w:val="both"/>
        <w:rPr>
          <w:rFonts w:cs="Arial Unicode MS"/>
        </w:rPr>
      </w:pPr>
      <w:proofErr w:type="gramStart"/>
      <w:r>
        <w:rPr>
          <w:rFonts w:cs="Arial Unicode MS" w:hint="eastAsia"/>
        </w:rPr>
        <w:t>远化物流</w:t>
      </w:r>
      <w:proofErr w:type="gramEnd"/>
      <w:r>
        <w:rPr>
          <w:rFonts w:cs="Arial Unicode MS" w:hint="eastAsia"/>
        </w:rPr>
        <w:t>根据收到的订</w:t>
      </w:r>
      <w:r>
        <w:rPr>
          <w:rFonts w:cs="Arial Unicode MS" w:hint="eastAsia"/>
        </w:rPr>
        <w:t>单提供相应的运输和运输支持服务，包括车辆租赁服务，驾驶服务等。</w:t>
      </w:r>
    </w:p>
    <w:p w14:paraId="79219617" w14:textId="77777777" w:rsidR="006B4107" w:rsidRDefault="004E70C7">
      <w:pPr>
        <w:spacing w:beforeLines="50" w:before="180" w:afterLines="50" w:after="180" w:line="360" w:lineRule="auto"/>
        <w:ind w:firstLineChars="200" w:firstLine="440"/>
        <w:jc w:val="both"/>
        <w:rPr>
          <w:rFonts w:cs="Arial Unicode MS"/>
        </w:rPr>
      </w:pPr>
      <w:r>
        <w:rPr>
          <w:rFonts w:cs="Arial Unicode MS" w:hint="eastAsia"/>
        </w:rPr>
        <w:lastRenderedPageBreak/>
        <w:t>运输服务的第一步是进行运输规划，需要确定货物的运输路线、运输工具以及运输量，同时还要考虑到货物的特性，如易损、易腐等，以合理选择适当的运输方式。运输规划确定后，需要对货物进行合理的装载与卸载，以确保货物的安全运输。物流运输的核心环节是运输实施阶段，在运输实施阶段需要实时监控货物的状态，确保货物按时到达目的地。同时，还需要处理可能出现的突发事件，如交通拥堵、天气不良等，以确保货物的安全和运输效率。</w:t>
      </w:r>
    </w:p>
    <w:p w14:paraId="1887F6C8" w14:textId="77777777" w:rsidR="006B4107" w:rsidRDefault="004E70C7">
      <w:pPr>
        <w:spacing w:beforeLines="50" w:before="180" w:afterLines="50" w:after="180" w:line="360" w:lineRule="auto"/>
        <w:ind w:firstLineChars="200" w:firstLine="440"/>
        <w:jc w:val="both"/>
        <w:rPr>
          <w:rFonts w:cs="Arial Unicode MS"/>
        </w:rPr>
      </w:pPr>
      <w:r>
        <w:rPr>
          <w:rFonts w:cs="Arial Unicode MS"/>
        </w:rPr>
        <w:t>因此，评估期间，</w:t>
      </w:r>
      <w:proofErr w:type="gramStart"/>
      <w:r>
        <w:rPr>
          <w:rFonts w:cs="Arial Unicode MS" w:hint="eastAsia"/>
        </w:rPr>
        <w:t>远化物流</w:t>
      </w:r>
      <w:bookmarkStart w:id="443" w:name="OLE_LINK13"/>
      <w:proofErr w:type="gramEnd"/>
      <w:r>
        <w:rPr>
          <w:rFonts w:cs="Arial Unicode MS"/>
        </w:rPr>
        <w:t>执行</w:t>
      </w:r>
      <w:r>
        <w:rPr>
          <w:rFonts w:cs="Arial Unicode MS" w:hint="eastAsia"/>
        </w:rPr>
        <w:t>物流运输</w:t>
      </w:r>
      <w:r>
        <w:rPr>
          <w:rFonts w:cs="Arial Unicode MS"/>
        </w:rPr>
        <w:t>功能</w:t>
      </w:r>
      <w:bookmarkEnd w:id="443"/>
      <w:r>
        <w:rPr>
          <w:rFonts w:cs="Arial Unicode MS"/>
        </w:rPr>
        <w:t>。</w:t>
      </w:r>
    </w:p>
    <w:p w14:paraId="3313050A" w14:textId="77777777" w:rsidR="006B4107" w:rsidRDefault="004E70C7">
      <w:pPr>
        <w:pStyle w:val="4"/>
        <w:rPr>
          <w:rFonts w:ascii="Arial Narrow" w:eastAsia="仿宋_GB2312" w:hAnsi="Arial Narrow"/>
          <w:iCs w:val="0"/>
          <w:color w:val="002060"/>
        </w:rPr>
      </w:pPr>
      <w:r>
        <w:rPr>
          <w:rFonts w:ascii="Arial Narrow" w:eastAsia="仿宋_GB2312" w:hAnsi="Arial Narrow" w:cs="楷体"/>
          <w:b w:val="0"/>
          <w:iCs w:val="0"/>
          <w:color w:val="002060"/>
          <w:szCs w:val="22"/>
        </w:rPr>
        <w:t>市场营销</w:t>
      </w:r>
    </w:p>
    <w:p w14:paraId="7BB514D0" w14:textId="77777777" w:rsidR="006B4107" w:rsidRDefault="004E70C7">
      <w:pPr>
        <w:spacing w:beforeLines="50" w:before="180" w:afterLines="50" w:after="180" w:line="360" w:lineRule="auto"/>
        <w:ind w:firstLineChars="200" w:firstLine="440"/>
        <w:jc w:val="both"/>
        <w:rPr>
          <w:rFonts w:cs="Arial Unicode MS"/>
        </w:rPr>
      </w:pPr>
      <w:r>
        <w:rPr>
          <w:rFonts w:cs="Arial Unicode MS"/>
        </w:rPr>
        <w:t>市场营销功能是指基于产品在目标市场的定位通过各种市场推广活动以吸引潜在用户的行为。</w:t>
      </w:r>
    </w:p>
    <w:p w14:paraId="6CEC7B00" w14:textId="77777777" w:rsidR="006B4107" w:rsidRDefault="004E70C7">
      <w:pPr>
        <w:spacing w:beforeLines="50" w:before="180" w:afterLines="50" w:after="180" w:line="360" w:lineRule="auto"/>
        <w:ind w:firstLineChars="200" w:firstLine="440"/>
        <w:jc w:val="both"/>
        <w:rPr>
          <w:rFonts w:cs="Arial Unicode MS"/>
        </w:rPr>
      </w:pPr>
      <w:r>
        <w:rPr>
          <w:rFonts w:cs="Arial Unicode MS"/>
        </w:rPr>
        <w:t>2023</w:t>
      </w:r>
      <w:r>
        <w:rPr>
          <w:rFonts w:cs="Arial Unicode MS"/>
        </w:rPr>
        <w:t>年度，</w:t>
      </w:r>
      <w:proofErr w:type="gramStart"/>
      <w:r>
        <w:rPr>
          <w:rFonts w:cs="Arial Unicode MS" w:hint="eastAsia"/>
        </w:rPr>
        <w:t>远化物流</w:t>
      </w:r>
      <w:proofErr w:type="gramEnd"/>
      <w:r>
        <w:rPr>
          <w:rFonts w:cs="Arial Unicode MS" w:hint="eastAsia"/>
        </w:rPr>
        <w:t>主要向</w:t>
      </w:r>
      <w:r>
        <w:rPr>
          <w:rFonts w:cs="Arial Unicode MS" w:hint="eastAsia"/>
        </w:rPr>
        <w:t>关联方</w:t>
      </w:r>
      <w:r>
        <w:rPr>
          <w:rFonts w:cs="Arial Unicode MS" w:hint="eastAsia"/>
        </w:rPr>
        <w:t>提供服务</w:t>
      </w:r>
      <w:r>
        <w:rPr>
          <w:rFonts w:cs="Arial Unicode MS" w:hint="eastAsia"/>
        </w:rPr>
        <w:t>，</w:t>
      </w:r>
      <w:proofErr w:type="gramStart"/>
      <w:r>
        <w:rPr>
          <w:rFonts w:cs="Arial Unicode MS" w:hint="eastAsia"/>
        </w:rPr>
        <w:t>但远化物流</w:t>
      </w:r>
      <w:proofErr w:type="gramEnd"/>
      <w:r>
        <w:rPr>
          <w:rFonts w:cs="Arial Unicode MS" w:hint="eastAsia"/>
        </w:rPr>
        <w:t>同时会针对于第三方市场进行业务开拓活动。</w:t>
      </w:r>
    </w:p>
    <w:p w14:paraId="4737B08D" w14:textId="4E1E22C8" w:rsidR="006B4107" w:rsidRDefault="004E70C7">
      <w:pPr>
        <w:spacing w:beforeLines="50" w:before="180" w:afterLines="50" w:after="180" w:line="360" w:lineRule="auto"/>
        <w:ind w:firstLineChars="200" w:firstLine="440"/>
        <w:jc w:val="both"/>
        <w:rPr>
          <w:rFonts w:cs="Arial Unicode MS"/>
        </w:rPr>
      </w:pPr>
      <w:r>
        <w:rPr>
          <w:rFonts w:cs="Arial Unicode MS"/>
        </w:rPr>
        <w:t>因此，评估期间，</w:t>
      </w:r>
      <w:proofErr w:type="gramStart"/>
      <w:r>
        <w:rPr>
          <w:rFonts w:cs="Arial Unicode MS" w:hint="eastAsia"/>
        </w:rPr>
        <w:t>远化物流</w:t>
      </w:r>
      <w:proofErr w:type="gramEnd"/>
      <w:r>
        <w:rPr>
          <w:rFonts w:cs="Arial Unicode MS" w:hint="eastAsia"/>
        </w:rPr>
        <w:t>执行有限的市场营销</w:t>
      </w:r>
      <w:r>
        <w:rPr>
          <w:rFonts w:cs="Arial Unicode MS" w:hint="eastAsia"/>
        </w:rPr>
        <w:t>功能。</w:t>
      </w:r>
    </w:p>
    <w:p w14:paraId="3E7CED4F" w14:textId="77777777" w:rsidR="006B4107" w:rsidRDefault="004E70C7">
      <w:pPr>
        <w:pStyle w:val="4"/>
        <w:rPr>
          <w:rFonts w:ascii="Arial Narrow" w:eastAsia="仿宋_GB2312" w:hAnsi="Arial Narrow"/>
          <w:iCs w:val="0"/>
          <w:color w:val="002060"/>
        </w:rPr>
      </w:pPr>
      <w:r>
        <w:rPr>
          <w:rFonts w:ascii="Arial Narrow" w:eastAsia="仿宋_GB2312" w:hAnsi="Arial Narrow" w:cs="楷体"/>
          <w:b w:val="0"/>
          <w:iCs w:val="0"/>
          <w:color w:val="002060"/>
          <w:szCs w:val="22"/>
        </w:rPr>
        <w:t>一般行政管理</w:t>
      </w:r>
    </w:p>
    <w:p w14:paraId="59A8D29A" w14:textId="77777777" w:rsidR="006B4107" w:rsidRDefault="004E70C7">
      <w:pPr>
        <w:spacing w:beforeLines="50" w:before="180" w:afterLines="50" w:after="180" w:line="360" w:lineRule="auto"/>
        <w:ind w:firstLineChars="200" w:firstLine="440"/>
        <w:jc w:val="both"/>
        <w:rPr>
          <w:rFonts w:cs="Arial Unicode MS"/>
        </w:rPr>
      </w:pPr>
      <w:bookmarkStart w:id="444" w:name="_Hlk50650011"/>
      <w:r>
        <w:rPr>
          <w:rFonts w:cs="Arial Unicode MS"/>
        </w:rPr>
        <w:t>一般</w:t>
      </w:r>
      <w:r>
        <w:rPr>
          <w:rFonts w:cs="Arial Unicode MS" w:hint="eastAsia"/>
        </w:rPr>
        <w:t>行政</w:t>
      </w:r>
      <w:r>
        <w:rPr>
          <w:rFonts w:cs="Arial Unicode MS"/>
        </w:rPr>
        <w:t>管理指企业日常的经营管理活动（如人事、财务、法</w:t>
      </w:r>
      <w:proofErr w:type="gramStart"/>
      <w:r>
        <w:rPr>
          <w:rFonts w:cs="Arial Unicode MS"/>
        </w:rPr>
        <w:t>务</w:t>
      </w:r>
      <w:proofErr w:type="gramEnd"/>
      <w:r>
        <w:rPr>
          <w:rFonts w:cs="Arial Unicode MS"/>
        </w:rPr>
        <w:t>、信息技术等）。</w:t>
      </w:r>
    </w:p>
    <w:p w14:paraId="3CA45528" w14:textId="77777777" w:rsidR="006B4107" w:rsidRDefault="004E70C7">
      <w:pPr>
        <w:spacing w:beforeLines="50" w:before="180" w:afterLines="50" w:after="180" w:line="360" w:lineRule="auto"/>
        <w:ind w:firstLineChars="200" w:firstLine="440"/>
        <w:jc w:val="both"/>
        <w:rPr>
          <w:rFonts w:cs="Arial Unicode MS"/>
        </w:rPr>
      </w:pPr>
      <w:proofErr w:type="gramStart"/>
      <w:r>
        <w:rPr>
          <w:rFonts w:cs="Arial Unicode MS" w:hint="eastAsia"/>
        </w:rPr>
        <w:t>远化物流</w:t>
      </w:r>
      <w:proofErr w:type="gramEnd"/>
      <w:r>
        <w:rPr>
          <w:rFonts w:cs="Arial Unicode MS" w:hint="eastAsia"/>
        </w:rPr>
        <w:t>有自己的运营部门，但</w:t>
      </w:r>
      <w:r>
        <w:rPr>
          <w:rFonts w:cs="Arial Unicode MS"/>
        </w:rPr>
        <w:t>日常行政管理职能</w:t>
      </w:r>
      <w:r>
        <w:rPr>
          <w:rFonts w:cs="Arial Unicode MS" w:hint="eastAsia"/>
        </w:rPr>
        <w:t>仅有人事</w:t>
      </w:r>
      <w:r>
        <w:rPr>
          <w:rFonts w:cs="Arial Unicode MS"/>
        </w:rPr>
        <w:t>，</w:t>
      </w:r>
      <w:r>
        <w:rPr>
          <w:rFonts w:cs="Arial Unicode MS" w:hint="eastAsia"/>
        </w:rPr>
        <w:t>其他的</w:t>
      </w:r>
      <w:r>
        <w:rPr>
          <w:rFonts w:cs="Arial Unicode MS"/>
        </w:rPr>
        <w:t>财务</w:t>
      </w:r>
      <w:r>
        <w:rPr>
          <w:rFonts w:cs="Arial Unicode MS" w:hint="eastAsia"/>
        </w:rPr>
        <w:t>、</w:t>
      </w:r>
      <w:r>
        <w:rPr>
          <w:rFonts w:cs="Arial Unicode MS"/>
        </w:rPr>
        <w:t>会计、法</w:t>
      </w:r>
      <w:proofErr w:type="gramStart"/>
      <w:r>
        <w:rPr>
          <w:rFonts w:cs="Arial Unicode MS"/>
        </w:rPr>
        <w:t>务</w:t>
      </w:r>
      <w:proofErr w:type="gramEnd"/>
      <w:r>
        <w:rPr>
          <w:rFonts w:cs="Arial Unicode MS" w:hint="eastAsia"/>
        </w:rPr>
        <w:t>、采购等行政管理职能人员</w:t>
      </w:r>
      <w:proofErr w:type="gramStart"/>
      <w:r>
        <w:rPr>
          <w:rFonts w:cs="Arial Unicode MS" w:hint="eastAsia"/>
        </w:rPr>
        <w:t>由远化物流</w:t>
      </w:r>
      <w:proofErr w:type="gramEnd"/>
      <w:r>
        <w:rPr>
          <w:rFonts w:cs="Arial Unicode MS" w:hint="eastAsia"/>
        </w:rPr>
        <w:t>关联方提供</w:t>
      </w:r>
      <w:r>
        <w:rPr>
          <w:rFonts w:cs="Arial Unicode MS"/>
        </w:rPr>
        <w:t>。</w:t>
      </w:r>
    </w:p>
    <w:p w14:paraId="0763B900" w14:textId="77777777" w:rsidR="006B4107" w:rsidRDefault="004E70C7">
      <w:pPr>
        <w:spacing w:beforeLines="50" w:before="180" w:afterLines="50" w:after="180" w:line="360" w:lineRule="auto"/>
        <w:ind w:firstLineChars="200" w:firstLine="440"/>
        <w:jc w:val="both"/>
        <w:rPr>
          <w:rFonts w:cs="Arial Unicode MS"/>
        </w:rPr>
      </w:pPr>
      <w:r>
        <w:rPr>
          <w:rFonts w:cs="Arial Unicode MS"/>
        </w:rPr>
        <w:t>因此，评估期间，</w:t>
      </w:r>
      <w:proofErr w:type="gramStart"/>
      <w:r>
        <w:rPr>
          <w:rFonts w:cs="Arial Unicode MS" w:hint="eastAsia"/>
        </w:rPr>
        <w:t>远化物流</w:t>
      </w:r>
      <w:proofErr w:type="gramEnd"/>
      <w:r>
        <w:rPr>
          <w:rFonts w:cs="Arial Unicode MS"/>
        </w:rPr>
        <w:t>执行</w:t>
      </w:r>
      <w:r>
        <w:rPr>
          <w:rFonts w:cs="Arial Unicode MS" w:hint="eastAsia"/>
        </w:rPr>
        <w:t>有限的</w:t>
      </w:r>
      <w:r>
        <w:rPr>
          <w:rFonts w:cs="Arial Unicode MS"/>
        </w:rPr>
        <w:t>一般</w:t>
      </w:r>
      <w:r>
        <w:rPr>
          <w:rFonts w:cs="Arial Unicode MS" w:hint="eastAsia"/>
        </w:rPr>
        <w:t>行政</w:t>
      </w:r>
      <w:r>
        <w:rPr>
          <w:rFonts w:cs="Arial Unicode MS"/>
        </w:rPr>
        <w:t>管理功能。</w:t>
      </w:r>
    </w:p>
    <w:p w14:paraId="17BCE3D5" w14:textId="77777777" w:rsidR="006B4107" w:rsidRDefault="004E70C7">
      <w:pPr>
        <w:pStyle w:val="3"/>
        <w:rPr>
          <w:rFonts w:ascii="Arial Narrow" w:eastAsia="仿宋_GB2312" w:hAnsi="Arial Narrow" w:cs="楷体"/>
          <w:b w:val="0"/>
          <w:iCs w:val="0"/>
          <w:color w:val="002060"/>
          <w:sz w:val="22"/>
          <w:szCs w:val="22"/>
        </w:rPr>
      </w:pPr>
      <w:bookmarkStart w:id="445" w:name="_Toc77181518"/>
      <w:bookmarkStart w:id="446" w:name="_Toc78820039"/>
      <w:bookmarkStart w:id="447" w:name="_Toc77182257"/>
      <w:bookmarkStart w:id="448" w:name="_Toc185598858"/>
      <w:bookmarkStart w:id="449" w:name="_Toc140761325"/>
      <w:bookmarkEnd w:id="445"/>
      <w:bookmarkEnd w:id="446"/>
      <w:bookmarkEnd w:id="447"/>
      <w:r>
        <w:rPr>
          <w:rFonts w:ascii="Arial Narrow" w:eastAsia="仿宋_GB2312" w:hAnsi="Arial Narrow" w:cs="楷体"/>
          <w:b w:val="0"/>
          <w:iCs w:val="0"/>
          <w:color w:val="002060"/>
          <w:sz w:val="22"/>
          <w:szCs w:val="22"/>
        </w:rPr>
        <w:t>风险分析</w:t>
      </w:r>
      <w:bookmarkEnd w:id="448"/>
      <w:bookmarkEnd w:id="449"/>
    </w:p>
    <w:p w14:paraId="447D2A03" w14:textId="77777777" w:rsidR="006B4107" w:rsidRDefault="004E70C7">
      <w:pPr>
        <w:spacing w:beforeLines="50" w:before="180" w:afterLines="50" w:after="180" w:line="360" w:lineRule="auto"/>
        <w:ind w:firstLineChars="200" w:firstLine="440"/>
        <w:jc w:val="both"/>
        <w:rPr>
          <w:rFonts w:cs="Arial Unicode MS"/>
        </w:rPr>
      </w:pPr>
      <w:r>
        <w:rPr>
          <w:rFonts w:cs="Arial Unicode MS"/>
        </w:rPr>
        <w:t>企业在生产经营过程中的各项活动所产生的结果具有不确定性，这意味着企业在关联交易中所承担的功能可能会给它带来相应的风险。因此，企业在取得收益的同时，也需要承担相应的风险。本节描述</w:t>
      </w:r>
      <w:proofErr w:type="gramStart"/>
      <w:r>
        <w:rPr>
          <w:rFonts w:cs="Arial Unicode MS"/>
        </w:rPr>
        <w:t>了</w:t>
      </w:r>
      <w:r>
        <w:rPr>
          <w:rFonts w:cs="Arial Unicode MS" w:hint="eastAsia"/>
        </w:rPr>
        <w:t>远化物流</w:t>
      </w:r>
      <w:proofErr w:type="gramEnd"/>
      <w:r>
        <w:rPr>
          <w:rFonts w:cs="Arial Unicode MS"/>
        </w:rPr>
        <w:t>和其关联方在受测交易中所承担的风险。</w:t>
      </w:r>
    </w:p>
    <w:p w14:paraId="10C18172" w14:textId="77777777" w:rsidR="006B4107" w:rsidRDefault="004E70C7">
      <w:pPr>
        <w:pStyle w:val="4"/>
        <w:rPr>
          <w:rFonts w:ascii="Arial Narrow" w:eastAsia="仿宋_GB2312" w:hAnsi="Arial Narrow" w:cs="楷体"/>
          <w:b w:val="0"/>
          <w:iCs w:val="0"/>
          <w:color w:val="002060"/>
          <w:szCs w:val="22"/>
        </w:rPr>
      </w:pPr>
      <w:bookmarkStart w:id="450" w:name="_Toc48317459"/>
      <w:bookmarkEnd w:id="444"/>
      <w:r>
        <w:rPr>
          <w:rFonts w:ascii="Arial Narrow" w:eastAsia="仿宋_GB2312" w:hAnsi="Arial Narrow" w:cs="楷体"/>
          <w:b w:val="0"/>
          <w:iCs w:val="0"/>
          <w:color w:val="002060"/>
          <w:szCs w:val="22"/>
        </w:rPr>
        <w:lastRenderedPageBreak/>
        <w:t>市场风险</w:t>
      </w:r>
    </w:p>
    <w:p w14:paraId="6A8FA969" w14:textId="77777777" w:rsidR="006B4107" w:rsidRDefault="004E70C7">
      <w:pPr>
        <w:spacing w:beforeLines="50" w:before="180" w:afterLines="50" w:after="180" w:line="360" w:lineRule="auto"/>
        <w:ind w:firstLineChars="200" w:firstLine="440"/>
        <w:jc w:val="both"/>
        <w:rPr>
          <w:rFonts w:cs="Arial Unicode MS"/>
        </w:rPr>
      </w:pPr>
      <w:r>
        <w:rPr>
          <w:rFonts w:cs="Arial Unicode MS" w:hint="eastAsia"/>
        </w:rPr>
        <w:t>市场风险是指由于市场需求变化、市场价格波动等造成企业盈利状况的不可预知性，如由于市场需求萎缩而造成的产品滞销、产品价格变化造成的利润下降、市场推广策略失误造成的损失等。</w:t>
      </w:r>
    </w:p>
    <w:p w14:paraId="2463076C" w14:textId="77777777" w:rsidR="006B4107" w:rsidRDefault="004E70C7">
      <w:pPr>
        <w:spacing w:beforeLines="50" w:before="180" w:afterLines="50" w:after="180" w:line="360" w:lineRule="auto"/>
        <w:ind w:firstLineChars="200" w:firstLine="440"/>
        <w:jc w:val="both"/>
      </w:pPr>
      <w:proofErr w:type="gramStart"/>
      <w:r>
        <w:rPr>
          <w:rFonts w:cs="Arial Unicode MS" w:hint="eastAsia"/>
        </w:rPr>
        <w:t>远化物流</w:t>
      </w:r>
      <w:proofErr w:type="gramEnd"/>
      <w:r>
        <w:rPr>
          <w:rFonts w:cs="Arial Unicode MS" w:hint="eastAsia"/>
        </w:rPr>
        <w:t>主要向关联方提供运输服务，不直接承担市场风险，而是会间接受到终端市场情况的影响。关联公司直接承担终端市场的市场风险。因此，</w:t>
      </w:r>
      <w:proofErr w:type="gramStart"/>
      <w:r>
        <w:rPr>
          <w:rFonts w:cs="Arial Unicode MS" w:hint="eastAsia"/>
        </w:rPr>
        <w:t>远化物流</w:t>
      </w:r>
      <w:proofErr w:type="gramEnd"/>
      <w:r>
        <w:rPr>
          <w:rFonts w:cs="Arial Unicode MS" w:hint="eastAsia"/>
        </w:rPr>
        <w:t>和关联公司共同承担市场风险。</w:t>
      </w:r>
    </w:p>
    <w:p w14:paraId="062091C1" w14:textId="77777777" w:rsidR="006B4107" w:rsidRDefault="004E70C7">
      <w:pPr>
        <w:pStyle w:val="4"/>
        <w:rPr>
          <w:rFonts w:ascii="Arial Narrow" w:eastAsia="仿宋_GB2312" w:hAnsi="Arial Narrow"/>
          <w:iCs w:val="0"/>
          <w:color w:val="002060"/>
        </w:rPr>
      </w:pPr>
      <w:r>
        <w:rPr>
          <w:rFonts w:ascii="Arial Narrow" w:eastAsia="仿宋_GB2312" w:hAnsi="Arial Narrow" w:cs="楷体"/>
          <w:b w:val="0"/>
          <w:iCs w:val="0"/>
          <w:color w:val="002060"/>
          <w:szCs w:val="22"/>
        </w:rPr>
        <w:t>信用风险</w:t>
      </w:r>
    </w:p>
    <w:p w14:paraId="2A845296" w14:textId="77777777" w:rsidR="006B4107" w:rsidRDefault="004E70C7">
      <w:pPr>
        <w:spacing w:beforeLines="50" w:before="180" w:afterLines="50" w:after="180" w:line="360" w:lineRule="auto"/>
        <w:ind w:firstLineChars="200" w:firstLine="440"/>
        <w:jc w:val="both"/>
        <w:rPr>
          <w:rFonts w:cs="Arial Unicode MS"/>
        </w:rPr>
      </w:pPr>
      <w:r>
        <w:rPr>
          <w:rFonts w:cs="Arial Unicode MS"/>
        </w:rPr>
        <w:t>在先交货（或先提供劳务）后付款的情况下，销售方（或劳务提供方）在未来有可能不能如期或全额收到货款，相应的风险便是信用风险。其主要取决于两个因素：客户的信用度和应收账款的数额。</w:t>
      </w:r>
    </w:p>
    <w:p w14:paraId="3161042F" w14:textId="77777777" w:rsidR="006B4107" w:rsidRDefault="004E70C7">
      <w:pPr>
        <w:spacing w:beforeLines="50" w:before="180" w:afterLines="50" w:after="180" w:line="360" w:lineRule="auto"/>
        <w:ind w:firstLineChars="200" w:firstLine="440"/>
        <w:jc w:val="both"/>
        <w:rPr>
          <w:rFonts w:cs="Arial Unicode MS"/>
        </w:rPr>
      </w:pPr>
      <w:proofErr w:type="gramStart"/>
      <w:r>
        <w:rPr>
          <w:rFonts w:cs="Arial Unicode MS" w:hint="eastAsia"/>
        </w:rPr>
        <w:t>远化物流</w:t>
      </w:r>
      <w:proofErr w:type="gramEnd"/>
      <w:r>
        <w:rPr>
          <w:rFonts w:cs="Arial Unicode MS"/>
        </w:rPr>
        <w:t>在</w:t>
      </w:r>
      <w:r>
        <w:rPr>
          <w:rFonts w:cs="Arial Unicode MS" w:hint="eastAsia"/>
        </w:rPr>
        <w:t>服务</w:t>
      </w:r>
      <w:r>
        <w:rPr>
          <w:rFonts w:cs="Arial Unicode MS"/>
        </w:rPr>
        <w:t>中直接对接客户</w:t>
      </w:r>
      <w:r>
        <w:rPr>
          <w:rFonts w:cs="Arial Unicode MS" w:hint="eastAsia"/>
        </w:rPr>
        <w:t>均为关联方</w:t>
      </w:r>
      <w:r>
        <w:rPr>
          <w:rFonts w:cs="Arial Unicode MS"/>
        </w:rPr>
        <w:t>并从</w:t>
      </w:r>
      <w:r>
        <w:rPr>
          <w:rFonts w:cs="Arial Unicode MS" w:hint="eastAsia"/>
        </w:rPr>
        <w:t>关联方</w:t>
      </w:r>
      <w:r>
        <w:rPr>
          <w:rFonts w:cs="Arial Unicode MS"/>
        </w:rPr>
        <w:t>收款，因此承担</w:t>
      </w:r>
      <w:r>
        <w:rPr>
          <w:rFonts w:cs="Arial Unicode MS" w:hint="eastAsia"/>
        </w:rPr>
        <w:t>有限</w:t>
      </w:r>
      <w:r>
        <w:rPr>
          <w:rFonts w:cs="Arial Unicode MS"/>
        </w:rPr>
        <w:t>的信用风险。</w:t>
      </w:r>
    </w:p>
    <w:p w14:paraId="71EA41AF" w14:textId="77777777" w:rsidR="006B4107" w:rsidRDefault="004E70C7">
      <w:pPr>
        <w:pStyle w:val="4"/>
        <w:rPr>
          <w:rFonts w:ascii="Arial Narrow" w:eastAsia="仿宋_GB2312" w:hAnsi="Arial Narrow"/>
          <w:iCs w:val="0"/>
          <w:color w:val="002060"/>
        </w:rPr>
      </w:pPr>
      <w:r>
        <w:rPr>
          <w:rFonts w:ascii="Arial Narrow" w:eastAsia="仿宋_GB2312" w:hAnsi="Arial Narrow" w:cs="楷体"/>
          <w:b w:val="0"/>
          <w:iCs w:val="0"/>
          <w:color w:val="002060"/>
          <w:szCs w:val="22"/>
        </w:rPr>
        <w:t>责任风险</w:t>
      </w:r>
    </w:p>
    <w:p w14:paraId="42E6C2C5" w14:textId="77777777" w:rsidR="006B4107" w:rsidRDefault="004E70C7">
      <w:pPr>
        <w:spacing w:beforeLines="50" w:before="180" w:afterLines="50" w:after="180" w:line="360" w:lineRule="auto"/>
        <w:ind w:firstLineChars="200" w:firstLine="440"/>
        <w:jc w:val="both"/>
        <w:rPr>
          <w:rFonts w:cs="Arial Unicode MS"/>
        </w:rPr>
      </w:pPr>
      <w:r>
        <w:rPr>
          <w:rFonts w:cs="Arial Unicode MS"/>
        </w:rPr>
        <w:t>责任风险指一个公司的产品</w:t>
      </w:r>
      <w:r>
        <w:rPr>
          <w:rFonts w:cs="Arial Unicode MS" w:hint="eastAsia"/>
        </w:rPr>
        <w:t>/</w:t>
      </w:r>
      <w:r>
        <w:rPr>
          <w:rFonts w:cs="Arial Unicode MS" w:hint="eastAsia"/>
        </w:rPr>
        <w:t>服务</w:t>
      </w:r>
      <w:r>
        <w:rPr>
          <w:rFonts w:cs="Arial Unicode MS"/>
        </w:rPr>
        <w:t>未达到预期标准，而相应承担的赔偿责任或</w:t>
      </w:r>
      <w:r>
        <w:rPr>
          <w:rFonts w:cs="Arial Unicode MS"/>
        </w:rPr>
        <w:t>名誉受损的风险。</w:t>
      </w:r>
    </w:p>
    <w:p w14:paraId="29CAE47F" w14:textId="77777777" w:rsidR="006B4107" w:rsidRDefault="004E70C7">
      <w:pPr>
        <w:spacing w:beforeLines="50" w:before="180" w:afterLines="50" w:after="180" w:line="360" w:lineRule="auto"/>
        <w:ind w:firstLineChars="200" w:firstLine="440"/>
        <w:jc w:val="both"/>
        <w:rPr>
          <w:rFonts w:cs="Arial Unicode MS"/>
        </w:rPr>
      </w:pPr>
      <w:proofErr w:type="gramStart"/>
      <w:r>
        <w:rPr>
          <w:rFonts w:cs="Arial Unicode MS" w:hint="eastAsia"/>
        </w:rPr>
        <w:t>远化物流</w:t>
      </w:r>
      <w:proofErr w:type="gramEnd"/>
      <w:r>
        <w:rPr>
          <w:rFonts w:cs="Arial Unicode MS" w:hint="eastAsia"/>
        </w:rPr>
        <w:t>自行购买运输险。若产品在运输期内出现瑕疵损坏，相关的更换或损害赔偿费用由保险公司承担。但</w:t>
      </w:r>
      <w:proofErr w:type="gramStart"/>
      <w:r>
        <w:rPr>
          <w:rFonts w:cs="Arial Unicode MS" w:hint="eastAsia"/>
        </w:rPr>
        <w:t>由于远化物流</w:t>
      </w:r>
      <w:proofErr w:type="gramEnd"/>
      <w:r>
        <w:rPr>
          <w:rFonts w:cs="Arial Unicode MS" w:hint="eastAsia"/>
        </w:rPr>
        <w:t>拥有严格的运输控制流程，</w:t>
      </w:r>
      <w:r>
        <w:rPr>
          <w:rFonts w:cs="Arial Unicode MS" w:hint="eastAsia"/>
        </w:rPr>
        <w:t>2023</w:t>
      </w:r>
      <w:r>
        <w:rPr>
          <w:rFonts w:cs="Arial Unicode MS" w:hint="eastAsia"/>
        </w:rPr>
        <w:t>年度仅发生零星索赔，金额相对有限。</w:t>
      </w:r>
    </w:p>
    <w:p w14:paraId="67ACA950" w14:textId="77777777" w:rsidR="006B4107" w:rsidRDefault="004E70C7">
      <w:pPr>
        <w:spacing w:beforeLines="50" w:before="180" w:afterLines="50" w:after="180" w:line="360" w:lineRule="auto"/>
        <w:ind w:firstLineChars="200" w:firstLine="440"/>
        <w:jc w:val="both"/>
        <w:rPr>
          <w:rFonts w:cs="Arial Unicode MS"/>
        </w:rPr>
      </w:pPr>
      <w:bookmarkStart w:id="451" w:name="OLE_LINK14"/>
      <w:r>
        <w:rPr>
          <w:rFonts w:cs="Arial Unicode MS" w:hint="eastAsia"/>
        </w:rPr>
        <w:t>因此，评估期间，</w:t>
      </w:r>
      <w:proofErr w:type="gramStart"/>
      <w:r>
        <w:rPr>
          <w:rFonts w:cs="Arial Unicode MS" w:hint="eastAsia"/>
        </w:rPr>
        <w:t>远化物流</w:t>
      </w:r>
      <w:proofErr w:type="gramEnd"/>
      <w:r>
        <w:rPr>
          <w:rFonts w:cs="Arial Unicode MS"/>
        </w:rPr>
        <w:t>承担的</w:t>
      </w:r>
      <w:r>
        <w:rPr>
          <w:rFonts w:cs="Arial Unicode MS" w:hint="eastAsia"/>
        </w:rPr>
        <w:t>有限的责任</w:t>
      </w:r>
      <w:r>
        <w:rPr>
          <w:rFonts w:cs="Arial Unicode MS"/>
        </w:rPr>
        <w:t>风险。</w:t>
      </w:r>
    </w:p>
    <w:p w14:paraId="65E83F59" w14:textId="77777777" w:rsidR="006B4107" w:rsidRDefault="004E70C7">
      <w:pPr>
        <w:pStyle w:val="2"/>
        <w:rPr>
          <w:rFonts w:ascii="Arial Narrow" w:eastAsia="仿宋_GB2312" w:hAnsi="Arial Narrow"/>
          <w:iCs w:val="0"/>
          <w:color w:val="002060"/>
        </w:rPr>
      </w:pPr>
      <w:bookmarkStart w:id="452" w:name="_Toc185598863"/>
      <w:bookmarkStart w:id="453" w:name="_Toc140761326"/>
      <w:bookmarkEnd w:id="451"/>
      <w:r>
        <w:rPr>
          <w:rFonts w:ascii="Arial Narrow" w:eastAsia="仿宋_GB2312" w:hAnsi="Arial Narrow" w:cs="楷体" w:hint="eastAsia"/>
          <w:b w:val="0"/>
          <w:iCs w:val="0"/>
          <w:color w:val="002060"/>
          <w:sz w:val="22"/>
          <w:szCs w:val="22"/>
        </w:rPr>
        <w:t>资产分析</w:t>
      </w:r>
      <w:bookmarkEnd w:id="452"/>
      <w:bookmarkEnd w:id="453"/>
    </w:p>
    <w:p w14:paraId="19D318A5" w14:textId="77777777" w:rsidR="006B4107" w:rsidRDefault="004E70C7">
      <w:pPr>
        <w:spacing w:beforeLines="50" w:before="180" w:afterLines="50" w:after="180" w:line="360" w:lineRule="auto"/>
        <w:ind w:firstLineChars="200" w:firstLine="440"/>
        <w:jc w:val="both"/>
        <w:rPr>
          <w:rFonts w:cs="Arial Unicode MS"/>
        </w:rPr>
      </w:pPr>
      <w:r>
        <w:rPr>
          <w:rFonts w:cs="Arial Unicode MS"/>
        </w:rPr>
        <w:t>本节描述了评估期间，</w:t>
      </w:r>
      <w:proofErr w:type="gramStart"/>
      <w:r>
        <w:rPr>
          <w:rFonts w:cs="Arial Unicode MS" w:hint="eastAsia"/>
        </w:rPr>
        <w:t>远化物流</w:t>
      </w:r>
      <w:proofErr w:type="gramEnd"/>
      <w:r>
        <w:rPr>
          <w:rFonts w:cs="Arial Unicode MS"/>
        </w:rPr>
        <w:t>及其关联企业在受测关联交易中所使用的资产。</w:t>
      </w:r>
    </w:p>
    <w:p w14:paraId="52652737" w14:textId="77777777" w:rsidR="006B4107" w:rsidRDefault="004E70C7">
      <w:pPr>
        <w:pStyle w:val="3"/>
        <w:rPr>
          <w:rFonts w:ascii="Arial Narrow" w:eastAsia="仿宋_GB2312" w:hAnsi="Arial Narrow"/>
          <w:b w:val="0"/>
          <w:bCs w:val="0"/>
          <w:color w:val="002060"/>
          <w:sz w:val="22"/>
          <w:szCs w:val="22"/>
        </w:rPr>
      </w:pPr>
      <w:bookmarkStart w:id="454" w:name="_Toc78820042"/>
      <w:bookmarkStart w:id="455" w:name="_Toc77182260"/>
      <w:bookmarkStart w:id="456" w:name="_Toc185598864"/>
      <w:bookmarkStart w:id="457" w:name="_Toc140761327"/>
      <w:bookmarkEnd w:id="450"/>
      <w:bookmarkEnd w:id="454"/>
      <w:bookmarkEnd w:id="455"/>
      <w:r>
        <w:rPr>
          <w:rFonts w:ascii="Arial Narrow" w:eastAsia="仿宋_GB2312" w:hAnsi="Arial Narrow"/>
          <w:b w:val="0"/>
          <w:bCs w:val="0"/>
          <w:color w:val="002060"/>
          <w:sz w:val="22"/>
          <w:szCs w:val="22"/>
        </w:rPr>
        <w:lastRenderedPageBreak/>
        <w:t>有形资产</w:t>
      </w:r>
      <w:bookmarkEnd w:id="456"/>
      <w:bookmarkEnd w:id="457"/>
    </w:p>
    <w:p w14:paraId="0D9E4871" w14:textId="77777777" w:rsidR="006B4107" w:rsidRDefault="004E70C7">
      <w:pPr>
        <w:spacing w:beforeLines="50" w:before="180" w:afterLines="50" w:after="180" w:line="360" w:lineRule="auto"/>
        <w:ind w:firstLineChars="200" w:firstLine="440"/>
        <w:jc w:val="both"/>
        <w:rPr>
          <w:rFonts w:cs="Arial Unicode MS"/>
        </w:rPr>
      </w:pPr>
      <w:bookmarkStart w:id="458" w:name="_Hlk50650154"/>
      <w:proofErr w:type="gramStart"/>
      <w:r>
        <w:rPr>
          <w:rFonts w:cs="Arial Unicode MS" w:hint="eastAsia"/>
        </w:rPr>
        <w:t>远化物流</w:t>
      </w:r>
      <w:proofErr w:type="gramEnd"/>
      <w:r>
        <w:rPr>
          <w:rFonts w:cs="Arial Unicode MS"/>
        </w:rPr>
        <w:t>拥有的有形资产主要包括</w:t>
      </w:r>
      <w:r>
        <w:rPr>
          <w:rFonts w:cs="Arial Unicode MS" w:hint="eastAsia"/>
        </w:rPr>
        <w:t>车辆</w:t>
      </w:r>
      <w:r>
        <w:rPr>
          <w:rFonts w:cs="Arial Unicode MS"/>
        </w:rPr>
        <w:t>和办公设备及其他日常经营所需的固定资产等。</w:t>
      </w:r>
    </w:p>
    <w:p w14:paraId="0C4DDA44" w14:textId="77777777" w:rsidR="006B4107" w:rsidRDefault="004E70C7">
      <w:pPr>
        <w:pStyle w:val="3"/>
        <w:rPr>
          <w:rFonts w:ascii="Arial Narrow" w:eastAsia="仿宋_GB2312" w:hAnsi="Arial Narrow"/>
          <w:b w:val="0"/>
          <w:bCs w:val="0"/>
          <w:color w:val="002060"/>
          <w:sz w:val="22"/>
          <w:szCs w:val="22"/>
        </w:rPr>
      </w:pPr>
      <w:bookmarkStart w:id="459" w:name="_Toc140761328"/>
      <w:bookmarkStart w:id="460" w:name="_Toc185598865"/>
      <w:bookmarkEnd w:id="458"/>
      <w:r>
        <w:rPr>
          <w:rFonts w:ascii="Arial Narrow" w:eastAsia="仿宋_GB2312" w:hAnsi="Arial Narrow"/>
          <w:b w:val="0"/>
          <w:bCs w:val="0"/>
          <w:color w:val="002060"/>
          <w:sz w:val="22"/>
          <w:szCs w:val="22"/>
        </w:rPr>
        <w:t>无形资产</w:t>
      </w:r>
      <w:bookmarkEnd w:id="459"/>
      <w:bookmarkEnd w:id="460"/>
    </w:p>
    <w:p w14:paraId="21BB138F" w14:textId="77777777" w:rsidR="006B4107" w:rsidRDefault="004E70C7">
      <w:pPr>
        <w:spacing w:beforeLines="50" w:before="180" w:afterLines="50" w:after="180" w:line="360" w:lineRule="auto"/>
        <w:ind w:firstLine="440"/>
        <w:jc w:val="both"/>
        <w:rPr>
          <w:rFonts w:cs="Arial Unicode MS"/>
        </w:rPr>
      </w:pPr>
      <w:r>
        <w:rPr>
          <w:rFonts w:cs="Arial Unicode MS"/>
        </w:rPr>
        <w:t>无形资产指企业自行开发或购入的各种没有实物形态的非货币</w:t>
      </w:r>
      <w:proofErr w:type="gramStart"/>
      <w:r>
        <w:rPr>
          <w:rFonts w:cs="Arial Unicode MS"/>
        </w:rPr>
        <w:t>性长期</w:t>
      </w:r>
      <w:proofErr w:type="gramEnd"/>
      <w:r>
        <w:rPr>
          <w:rFonts w:cs="Arial Unicode MS"/>
        </w:rPr>
        <w:t>资产，包括但不限于商业秘密、专</w:t>
      </w:r>
      <w:r>
        <w:rPr>
          <w:rFonts w:cs="Arial Unicode MS"/>
        </w:rPr>
        <w:t>利权、专有技术、客户名单、商标和分销网络等。尽管有些无形资产可能不会体现在公司的资产负债表中，但它们对于公司的成功经营以及保持相对较高的利润率有着至为关键的作用。</w:t>
      </w:r>
    </w:p>
    <w:p w14:paraId="20EA18E9" w14:textId="77777777" w:rsidR="006B4107" w:rsidRDefault="004E70C7">
      <w:pPr>
        <w:spacing w:beforeLines="50" w:before="180" w:afterLines="50" w:after="180" w:line="360" w:lineRule="auto"/>
        <w:ind w:firstLineChars="200" w:firstLine="440"/>
        <w:jc w:val="both"/>
        <w:rPr>
          <w:rFonts w:cs="Arial Unicode MS"/>
        </w:rPr>
      </w:pPr>
      <w:r>
        <w:rPr>
          <w:rFonts w:cs="Arial Unicode MS"/>
        </w:rPr>
        <w:t>转让定价分析的关键部分之一是判断关联交易的各个参与方中哪一方拥有主要无形资产，因为在交易过程中产生的超额利润应由那些拥有并使用主要无形资产的参与方所获得，所以这通常会决定哪一方应该作为分析中的被验证主体。拥有次要无形资产（或不拥有无形资产）的企业会被选为被验证主体，因为针对这样的企业相对更容易找到可比的非受控交易或可比公司。</w:t>
      </w:r>
    </w:p>
    <w:p w14:paraId="4FCA72D1" w14:textId="77777777" w:rsidR="006B4107" w:rsidRDefault="004E70C7">
      <w:pPr>
        <w:pStyle w:val="4"/>
        <w:rPr>
          <w:rFonts w:ascii="Arial Narrow" w:eastAsia="仿宋_GB2312" w:hAnsi="Arial Narrow"/>
          <w:b w:val="0"/>
          <w:bCs w:val="0"/>
          <w:color w:val="002060"/>
        </w:rPr>
      </w:pPr>
      <w:r>
        <w:rPr>
          <w:rFonts w:ascii="Arial Narrow" w:eastAsia="仿宋_GB2312" w:hAnsi="Arial Narrow"/>
          <w:b w:val="0"/>
          <w:bCs w:val="0"/>
          <w:color w:val="002060"/>
        </w:rPr>
        <w:t>生产型无形资产</w:t>
      </w:r>
    </w:p>
    <w:p w14:paraId="24A3A367" w14:textId="77777777" w:rsidR="006B4107" w:rsidRDefault="004E70C7">
      <w:pPr>
        <w:spacing w:beforeLines="50" w:before="180" w:afterLines="50" w:after="180" w:line="360" w:lineRule="auto"/>
        <w:ind w:firstLineChars="200" w:firstLine="440"/>
        <w:jc w:val="both"/>
        <w:rPr>
          <w:rFonts w:cs="Arial Unicode MS"/>
        </w:rPr>
      </w:pPr>
      <w:bookmarkStart w:id="461" w:name="_Toc363527391"/>
      <w:bookmarkStart w:id="462" w:name="_Toc363981665"/>
      <w:bookmarkStart w:id="463" w:name="_Toc363993084"/>
      <w:bookmarkStart w:id="464" w:name="_Toc363899431"/>
      <w:bookmarkStart w:id="465" w:name="_Toc363983228"/>
      <w:bookmarkStart w:id="466" w:name="_Toc363292598"/>
      <w:bookmarkStart w:id="467" w:name="_Toc361728784"/>
      <w:bookmarkStart w:id="468" w:name="_Toc363205746"/>
      <w:bookmarkStart w:id="469" w:name="_Toc362253034"/>
      <w:bookmarkStart w:id="470" w:name="_Toc361833023"/>
      <w:bookmarkStart w:id="471" w:name="_Toc363385708"/>
      <w:r>
        <w:rPr>
          <w:rFonts w:cs="Arial Unicode MS"/>
        </w:rPr>
        <w:t>生产型无形资产可以分为两种，即由生产企业的研发活动或生产工艺改进所产生的专利技术和非专利的技术诀窍。</w:t>
      </w:r>
    </w:p>
    <w:p w14:paraId="34C07A57" w14:textId="77777777" w:rsidR="006B4107" w:rsidRDefault="004E70C7">
      <w:pPr>
        <w:spacing w:beforeLines="50" w:before="180" w:afterLines="50" w:after="180" w:line="360" w:lineRule="auto"/>
        <w:ind w:firstLineChars="200" w:firstLine="440"/>
        <w:jc w:val="both"/>
        <w:rPr>
          <w:rFonts w:cs="Arial Unicode MS"/>
        </w:rPr>
      </w:pPr>
      <w:proofErr w:type="gramStart"/>
      <w:r>
        <w:rPr>
          <w:rFonts w:cs="Arial Unicode MS" w:hint="eastAsia"/>
        </w:rPr>
        <w:t>远化物流</w:t>
      </w:r>
      <w:proofErr w:type="gramEnd"/>
      <w:r>
        <w:rPr>
          <w:rFonts w:cs="Arial Unicode MS" w:hint="eastAsia"/>
        </w:rPr>
        <w:t>没有生产型无形资产</w:t>
      </w:r>
      <w:r>
        <w:rPr>
          <w:rFonts w:cs="Arial Unicode MS"/>
        </w:rPr>
        <w:t>。</w:t>
      </w:r>
    </w:p>
    <w:bookmarkEnd w:id="461"/>
    <w:bookmarkEnd w:id="462"/>
    <w:bookmarkEnd w:id="463"/>
    <w:bookmarkEnd w:id="464"/>
    <w:bookmarkEnd w:id="465"/>
    <w:bookmarkEnd w:id="466"/>
    <w:bookmarkEnd w:id="467"/>
    <w:bookmarkEnd w:id="468"/>
    <w:bookmarkEnd w:id="469"/>
    <w:bookmarkEnd w:id="470"/>
    <w:bookmarkEnd w:id="471"/>
    <w:p w14:paraId="57221FDD" w14:textId="77777777" w:rsidR="006B4107" w:rsidRDefault="004E70C7">
      <w:pPr>
        <w:pStyle w:val="4"/>
        <w:rPr>
          <w:rFonts w:ascii="Arial Narrow" w:eastAsia="仿宋_GB2312" w:hAnsi="Arial Narrow"/>
          <w:b w:val="0"/>
          <w:bCs w:val="0"/>
          <w:color w:val="002060"/>
        </w:rPr>
      </w:pPr>
      <w:r>
        <w:rPr>
          <w:rFonts w:ascii="Arial Narrow" w:eastAsia="仿宋_GB2312" w:hAnsi="Arial Narrow" w:cs="Arial Unicode MS"/>
          <w:b w:val="0"/>
          <w:bCs w:val="0"/>
          <w:color w:val="002060"/>
          <w:szCs w:val="22"/>
        </w:rPr>
        <w:t>营销型无形资产</w:t>
      </w:r>
    </w:p>
    <w:p w14:paraId="532D4D55" w14:textId="77777777" w:rsidR="006B4107" w:rsidRDefault="004E70C7">
      <w:pPr>
        <w:spacing w:beforeLines="50" w:before="180" w:afterLines="50" w:after="180" w:line="360" w:lineRule="auto"/>
        <w:ind w:firstLineChars="200" w:firstLine="440"/>
        <w:jc w:val="both"/>
        <w:rPr>
          <w:rFonts w:cs="Arial Unicode MS"/>
        </w:rPr>
      </w:pPr>
      <w:bookmarkStart w:id="472" w:name="_Toc154394528"/>
      <w:bookmarkStart w:id="473" w:name="_Toc154394600"/>
      <w:bookmarkStart w:id="474" w:name="_Toc154394621"/>
      <w:bookmarkStart w:id="475" w:name="_Toc154394537"/>
      <w:bookmarkStart w:id="476" w:name="_Toc154394532"/>
      <w:bookmarkStart w:id="477" w:name="_Toc154394530"/>
      <w:bookmarkStart w:id="478" w:name="_Toc154394611"/>
      <w:bookmarkStart w:id="479" w:name="_Toc154394609"/>
      <w:bookmarkStart w:id="480" w:name="_Toc154394612"/>
      <w:bookmarkStart w:id="481" w:name="_Toc154394540"/>
      <w:bookmarkStart w:id="482" w:name="_Toc154394602"/>
      <w:bookmarkStart w:id="483" w:name="_Toc154394529"/>
      <w:bookmarkStart w:id="484" w:name="_Toc489952546"/>
      <w:bookmarkStart w:id="485" w:name="_Toc154394539"/>
      <w:bookmarkStart w:id="486" w:name="_Toc154394604"/>
      <w:bookmarkStart w:id="487" w:name="_Toc154394601"/>
      <w:bookmarkStart w:id="488" w:name="_Toc154394549"/>
      <w:bookmarkStart w:id="489" w:name="_Toc48317154"/>
      <w:bookmarkStart w:id="490" w:name="_Toc48317462"/>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r>
        <w:rPr>
          <w:rFonts w:cs="Arial Unicode MS"/>
        </w:rPr>
        <w:t>营销型无形资产包括商标、公司商誉、销售网络以及向客户提供售前和售后服务的能力。</w:t>
      </w:r>
    </w:p>
    <w:p w14:paraId="0BFC8CE0" w14:textId="77777777" w:rsidR="006B4107" w:rsidRDefault="004E70C7">
      <w:pPr>
        <w:spacing w:beforeLines="50" w:before="180" w:afterLines="50" w:after="180" w:line="360" w:lineRule="auto"/>
        <w:ind w:firstLineChars="200" w:firstLine="440"/>
        <w:jc w:val="both"/>
        <w:rPr>
          <w:rFonts w:cs="Arial Unicode MS"/>
        </w:rPr>
      </w:pPr>
      <w:proofErr w:type="gramStart"/>
      <w:r>
        <w:rPr>
          <w:rFonts w:cs="Arial Unicode MS" w:hint="eastAsia"/>
        </w:rPr>
        <w:t>远化物流</w:t>
      </w:r>
      <w:proofErr w:type="gramEnd"/>
      <w:r>
        <w:rPr>
          <w:rFonts w:cs="Arial Unicode MS" w:hint="eastAsia"/>
        </w:rPr>
        <w:t>不拥有品牌、商标等非常规市场型无形资产，相关无形资产由关联方拥有。</w:t>
      </w:r>
    </w:p>
    <w:p w14:paraId="72B51C6D" w14:textId="77777777" w:rsidR="006B4107" w:rsidRDefault="004E70C7">
      <w:pPr>
        <w:pStyle w:val="2"/>
        <w:rPr>
          <w:rFonts w:ascii="Arial Narrow" w:eastAsia="仿宋_GB2312" w:hAnsi="Arial Narrow"/>
          <w:b w:val="0"/>
          <w:bCs w:val="0"/>
          <w:color w:val="002060"/>
          <w:sz w:val="22"/>
          <w:szCs w:val="22"/>
        </w:rPr>
      </w:pPr>
      <w:bookmarkStart w:id="491" w:name="_Toc140761329"/>
      <w:bookmarkStart w:id="492" w:name="_Toc185598866"/>
      <w:bookmarkEnd w:id="489"/>
      <w:bookmarkEnd w:id="490"/>
      <w:r>
        <w:rPr>
          <w:rFonts w:ascii="Arial Narrow" w:eastAsia="仿宋_GB2312" w:hAnsi="Arial Narrow"/>
          <w:b w:val="0"/>
          <w:bCs w:val="0"/>
          <w:color w:val="002060"/>
          <w:sz w:val="22"/>
          <w:szCs w:val="22"/>
        </w:rPr>
        <w:lastRenderedPageBreak/>
        <w:t>小结</w:t>
      </w:r>
      <w:bookmarkEnd w:id="491"/>
      <w:bookmarkEnd w:id="492"/>
    </w:p>
    <w:p w14:paraId="29108480" w14:textId="77777777" w:rsidR="006B4107" w:rsidRDefault="004E70C7">
      <w:pPr>
        <w:adjustRightInd w:val="0"/>
        <w:snapToGrid w:val="0"/>
        <w:spacing w:before="240" w:after="240"/>
        <w:ind w:firstLine="475"/>
        <w:jc w:val="both"/>
      </w:pPr>
      <w:bookmarkStart w:id="493" w:name="OLE_LINK6"/>
      <w:bookmarkEnd w:id="252"/>
      <w:r>
        <w:t>评估期间，</w:t>
      </w:r>
      <w:proofErr w:type="gramStart"/>
      <w:r>
        <w:rPr>
          <w:rFonts w:hint="eastAsia"/>
        </w:rPr>
        <w:t>远化物流</w:t>
      </w:r>
      <w:proofErr w:type="gramEnd"/>
      <w:r>
        <w:t>承担的主要功能和风险，以及拥有的资产总结如下：</w:t>
      </w:r>
    </w:p>
    <w:p w14:paraId="79B7E28F" w14:textId="165A72FC" w:rsidR="006B4107" w:rsidRDefault="004E70C7">
      <w:pPr>
        <w:pStyle w:val="affd"/>
        <w:numPr>
          <w:ilvl w:val="0"/>
          <w:numId w:val="22"/>
        </w:numPr>
        <w:spacing w:beforeLines="50" w:before="180" w:afterLines="50" w:after="180" w:line="360" w:lineRule="auto"/>
        <w:ind w:right="113"/>
        <w:contextualSpacing w:val="0"/>
        <w:jc w:val="both"/>
        <w:rPr>
          <w:rFonts w:ascii="Arial Narrow" w:hAnsi="Arial Narrow" w:cs="Arial Unicode MS"/>
        </w:rPr>
      </w:pPr>
      <w:proofErr w:type="gramStart"/>
      <w:r>
        <w:rPr>
          <w:rFonts w:ascii="Arial Narrow" w:hAnsi="Arial Narrow" w:cs="Arial Unicode MS" w:hint="eastAsia"/>
          <w:lang w:val="en-US"/>
        </w:rPr>
        <w:t>远化物流</w:t>
      </w:r>
      <w:proofErr w:type="gramEnd"/>
      <w:r>
        <w:rPr>
          <w:rFonts w:ascii="Arial Narrow" w:hAnsi="Arial Narrow" w:cs="Arial Unicode MS"/>
        </w:rPr>
        <w:t>主要承担物流</w:t>
      </w:r>
      <w:r>
        <w:rPr>
          <w:rFonts w:ascii="Arial Narrow" w:hAnsi="Arial Narrow" w:cs="Arial Unicode MS" w:hint="eastAsia"/>
        </w:rPr>
        <w:t>运输功能</w:t>
      </w:r>
      <w:r>
        <w:rPr>
          <w:rFonts w:ascii="Arial Narrow" w:hAnsi="Arial Narrow" w:cs="Arial Unicode MS"/>
        </w:rPr>
        <w:t>及</w:t>
      </w:r>
      <w:r>
        <w:rPr>
          <w:rFonts w:ascii="Arial Narrow" w:hAnsi="Arial Narrow" w:cs="Arial Unicode MS" w:hint="eastAsia"/>
        </w:rPr>
        <w:t>有限的</w:t>
      </w:r>
      <w:r w:rsidR="003572E0">
        <w:rPr>
          <w:rFonts w:ascii="Arial Narrow" w:hAnsi="Arial Narrow" w:cs="Arial Unicode MS" w:hint="eastAsia"/>
        </w:rPr>
        <w:t>市场营销和</w:t>
      </w:r>
      <w:r>
        <w:rPr>
          <w:rFonts w:ascii="Arial Narrow" w:hAnsi="Arial Narrow" w:cs="Arial Unicode MS"/>
        </w:rPr>
        <w:t>一般行政管理</w:t>
      </w:r>
      <w:r>
        <w:rPr>
          <w:rFonts w:ascii="Arial Narrow" w:hAnsi="Arial Narrow" w:cs="Arial Unicode MS"/>
        </w:rPr>
        <w:t>功能；</w:t>
      </w:r>
    </w:p>
    <w:p w14:paraId="1E7B93C5" w14:textId="77777777" w:rsidR="006B4107" w:rsidRDefault="004E70C7">
      <w:pPr>
        <w:pStyle w:val="affd"/>
        <w:numPr>
          <w:ilvl w:val="0"/>
          <w:numId w:val="22"/>
        </w:numPr>
        <w:spacing w:beforeLines="50" w:before="180" w:afterLines="50" w:after="180" w:line="360" w:lineRule="auto"/>
        <w:ind w:right="113"/>
        <w:contextualSpacing w:val="0"/>
        <w:jc w:val="both"/>
        <w:rPr>
          <w:rFonts w:ascii="Arial Narrow" w:hAnsi="Arial Narrow" w:cs="Arial Unicode MS"/>
        </w:rPr>
      </w:pPr>
      <w:proofErr w:type="gramStart"/>
      <w:r>
        <w:rPr>
          <w:rFonts w:ascii="Arial Narrow" w:hAnsi="Arial Narrow" w:cs="Arial Unicode MS" w:hint="eastAsia"/>
          <w:lang w:val="en-US"/>
        </w:rPr>
        <w:t>远化物流</w:t>
      </w:r>
      <w:proofErr w:type="gramEnd"/>
      <w:r>
        <w:rPr>
          <w:rFonts w:ascii="Arial Narrow" w:hAnsi="Arial Narrow" w:cs="Arial Unicode MS" w:hint="eastAsia"/>
          <w:lang w:val="en-US"/>
        </w:rPr>
        <w:t>间接承担市场风险，</w:t>
      </w:r>
      <w:r>
        <w:rPr>
          <w:rFonts w:ascii="Arial Narrow" w:hAnsi="Arial Narrow" w:cs="Arial Unicode MS"/>
        </w:rPr>
        <w:t>同时承担</w:t>
      </w:r>
      <w:r>
        <w:rPr>
          <w:rFonts w:ascii="Arial Narrow" w:hAnsi="Arial Narrow" w:cs="Arial Unicode MS" w:hint="eastAsia"/>
        </w:rPr>
        <w:t>有限的信用风险、有限的</w:t>
      </w:r>
      <w:r>
        <w:rPr>
          <w:rFonts w:ascii="Arial Narrow" w:hAnsi="Arial Narrow" w:cs="Arial Unicode MS"/>
        </w:rPr>
        <w:t>责任风险。</w:t>
      </w:r>
    </w:p>
    <w:bookmarkEnd w:id="493"/>
    <w:p w14:paraId="05E09DF3" w14:textId="77777777" w:rsidR="006B4107" w:rsidRDefault="006B4107">
      <w:pPr>
        <w:adjustRightInd w:val="0"/>
        <w:snapToGrid w:val="0"/>
        <w:spacing w:before="240" w:after="240"/>
        <w:jc w:val="both"/>
        <w:rPr>
          <w:rFonts w:cs="宋体"/>
          <w:kern w:val="24"/>
          <w:lang w:val="en-GB"/>
        </w:rPr>
      </w:pPr>
    </w:p>
    <w:p w14:paraId="15181B4B" w14:textId="77777777" w:rsidR="006B4107" w:rsidRDefault="006B4107">
      <w:pPr>
        <w:adjustRightInd w:val="0"/>
        <w:snapToGrid w:val="0"/>
        <w:spacing w:before="240" w:after="240"/>
        <w:jc w:val="both"/>
        <w:rPr>
          <w:rFonts w:cs="宋体"/>
          <w:kern w:val="24"/>
          <w:lang w:val="en-GB"/>
        </w:rPr>
        <w:sectPr w:rsidR="006B4107">
          <w:pgSz w:w="11907" w:h="16839"/>
          <w:pgMar w:top="1440" w:right="1800" w:bottom="1440" w:left="1800" w:header="720" w:footer="720" w:gutter="0"/>
          <w:cols w:space="720"/>
          <w:docGrid w:type="lines" w:linePitch="360"/>
        </w:sectPr>
      </w:pPr>
    </w:p>
    <w:p w14:paraId="58DBBF92" w14:textId="77777777" w:rsidR="006B4107" w:rsidRDefault="004E70C7">
      <w:pPr>
        <w:pStyle w:val="1"/>
        <w:rPr>
          <w:rFonts w:ascii="Arial Narrow" w:eastAsia="仿宋_GB2312" w:hAnsi="Arial Narrow"/>
          <w:b w:val="0"/>
          <w:bCs/>
          <w:color w:val="1E4517" w:themeColor="accent4" w:themeShade="80"/>
          <w:sz w:val="28"/>
          <w:szCs w:val="28"/>
        </w:rPr>
      </w:pPr>
      <w:bookmarkStart w:id="494" w:name="_Toc140761330"/>
      <w:bookmarkStart w:id="495" w:name="_Toc185598867"/>
      <w:bookmarkStart w:id="496" w:name="_Toc274825238"/>
      <w:bookmarkEnd w:id="226"/>
      <w:bookmarkEnd w:id="227"/>
      <w:r>
        <w:rPr>
          <w:rFonts w:ascii="Arial Narrow" w:eastAsia="仿宋_GB2312" w:hAnsi="Arial Narrow"/>
          <w:b w:val="0"/>
          <w:bCs/>
          <w:color w:val="1E4517" w:themeColor="accent4" w:themeShade="80"/>
          <w:sz w:val="28"/>
          <w:szCs w:val="28"/>
        </w:rPr>
        <w:lastRenderedPageBreak/>
        <w:t>价值链分析</w:t>
      </w:r>
      <w:bookmarkEnd w:id="494"/>
      <w:bookmarkEnd w:id="495"/>
    </w:p>
    <w:p w14:paraId="01512E24" w14:textId="77777777" w:rsidR="006B4107" w:rsidRDefault="004E70C7">
      <w:pPr>
        <w:spacing w:beforeLines="50" w:before="156" w:afterLines="50" w:after="156" w:line="360" w:lineRule="auto"/>
        <w:ind w:firstLineChars="200" w:firstLine="440"/>
        <w:jc w:val="both"/>
        <w:rPr>
          <w:rFonts w:cs="Arial Unicode MS"/>
        </w:rPr>
      </w:pPr>
      <w:bookmarkStart w:id="497" w:name="_Toc489952569"/>
      <w:bookmarkStart w:id="498" w:name="_Toc489952561"/>
      <w:bookmarkStart w:id="499" w:name="_Toc489952573"/>
      <w:bookmarkStart w:id="500" w:name="_Toc489952567"/>
      <w:bookmarkStart w:id="501" w:name="_Toc48582585"/>
      <w:bookmarkStart w:id="502" w:name="_Toc48582998"/>
      <w:bookmarkStart w:id="503" w:name="_Toc522205826"/>
      <w:bookmarkStart w:id="504" w:name="_Toc522205825"/>
      <w:bookmarkStart w:id="505" w:name="_Toc522205827"/>
      <w:bookmarkStart w:id="506" w:name="_Toc15995719"/>
      <w:bookmarkStart w:id="507" w:name="_Toc48317464"/>
      <w:bookmarkStart w:id="508" w:name="_Toc48317156"/>
      <w:bookmarkEnd w:id="497"/>
      <w:bookmarkEnd w:id="498"/>
      <w:bookmarkEnd w:id="499"/>
      <w:bookmarkEnd w:id="500"/>
      <w:bookmarkEnd w:id="501"/>
      <w:bookmarkEnd w:id="502"/>
      <w:bookmarkEnd w:id="503"/>
      <w:bookmarkEnd w:id="504"/>
      <w:bookmarkEnd w:id="505"/>
      <w:r>
        <w:rPr>
          <w:rFonts w:cs="Arial Unicode MS"/>
        </w:rPr>
        <w:t>根据</w:t>
      </w:r>
      <w:r>
        <w:rPr>
          <w:rFonts w:cs="Arial Unicode MS"/>
        </w:rPr>
        <w:t>[2016]42</w:t>
      </w:r>
      <w:r>
        <w:rPr>
          <w:rFonts w:cs="Arial Unicode MS"/>
        </w:rPr>
        <w:t>号公告的相关规定，在分析关联交易是否符合独立交易原则的过程中应当对集团价值链进行分析。因此，本节将阐述</w:t>
      </w:r>
      <w:r>
        <w:rPr>
          <w:rFonts w:cs="Arial Unicode MS" w:hint="eastAsia"/>
        </w:rPr>
        <w:t>远东</w:t>
      </w:r>
      <w:r>
        <w:rPr>
          <w:rFonts w:cs="Arial Unicode MS"/>
        </w:rPr>
        <w:t>集团价值链情况。</w:t>
      </w:r>
    </w:p>
    <w:p w14:paraId="2263D659" w14:textId="77777777" w:rsidR="006B4107" w:rsidRDefault="004E70C7">
      <w:pPr>
        <w:spacing w:beforeLines="50" w:before="156" w:afterLines="50" w:after="156" w:line="360" w:lineRule="auto"/>
        <w:ind w:firstLineChars="200" w:firstLine="440"/>
        <w:jc w:val="both"/>
        <w:rPr>
          <w:rFonts w:cs="Arial Unicode MS"/>
        </w:rPr>
      </w:pPr>
      <w:r>
        <w:rPr>
          <w:rFonts w:cs="Arial Unicode MS"/>
        </w:rPr>
        <w:t>价值链分析能够提供以下与经营活动相关的有效信息：</w:t>
      </w:r>
    </w:p>
    <w:p w14:paraId="6B22E1CF" w14:textId="77777777" w:rsidR="006B4107" w:rsidRDefault="004E70C7">
      <w:pPr>
        <w:pStyle w:val="affd"/>
        <w:numPr>
          <w:ilvl w:val="0"/>
          <w:numId w:val="23"/>
        </w:numPr>
        <w:spacing w:beforeLines="50" w:before="156" w:afterLines="50" w:after="156" w:line="360" w:lineRule="auto"/>
        <w:ind w:right="113"/>
        <w:contextualSpacing w:val="0"/>
        <w:jc w:val="both"/>
        <w:rPr>
          <w:rFonts w:ascii="Arial Narrow" w:hAnsi="Arial Narrow" w:cs="Arial Unicode MS"/>
        </w:rPr>
      </w:pPr>
      <w:r>
        <w:rPr>
          <w:rFonts w:ascii="Arial Narrow" w:hAnsi="Arial Narrow" w:cs="Arial Unicode MS"/>
        </w:rPr>
        <w:t>与交易有关的关键价值驱动因素，其中包括各相关方是如何使其自身区别</w:t>
      </w:r>
      <w:r>
        <w:rPr>
          <w:rFonts w:ascii="Arial Narrow" w:hAnsi="Arial Narrow" w:cs="Arial Unicode MS" w:hint="eastAsia"/>
        </w:rPr>
        <w:t>于</w:t>
      </w:r>
      <w:r>
        <w:rPr>
          <w:rFonts w:ascii="Arial Narrow" w:hAnsi="Arial Narrow" w:cs="Arial Unicode MS"/>
        </w:rPr>
        <w:t>同业竞争者进而赢取市场的；</w:t>
      </w:r>
    </w:p>
    <w:p w14:paraId="343DA07F" w14:textId="77777777" w:rsidR="006B4107" w:rsidRDefault="004E70C7">
      <w:pPr>
        <w:pStyle w:val="affd"/>
        <w:numPr>
          <w:ilvl w:val="0"/>
          <w:numId w:val="23"/>
        </w:numPr>
        <w:spacing w:beforeLines="50" w:before="156" w:afterLines="50" w:after="156" w:line="360" w:lineRule="auto"/>
        <w:ind w:right="113"/>
        <w:contextualSpacing w:val="0"/>
        <w:jc w:val="both"/>
        <w:rPr>
          <w:rFonts w:ascii="Arial Narrow" w:hAnsi="Arial Narrow" w:cs="Arial Unicode MS"/>
        </w:rPr>
      </w:pPr>
      <w:r>
        <w:rPr>
          <w:rFonts w:ascii="Arial Narrow" w:hAnsi="Arial Narrow" w:cs="Arial Unicode MS"/>
        </w:rPr>
        <w:t>相关企业在资产、功能及风险方面对价值驱动的贡献，包括哪些贡献是独特且有价值的；</w:t>
      </w:r>
    </w:p>
    <w:p w14:paraId="3B4305B9" w14:textId="77777777" w:rsidR="006B4107" w:rsidRDefault="004E70C7">
      <w:pPr>
        <w:pStyle w:val="affd"/>
        <w:numPr>
          <w:ilvl w:val="0"/>
          <w:numId w:val="23"/>
        </w:numPr>
        <w:spacing w:beforeLines="50" w:before="156" w:afterLines="50" w:after="156" w:line="360" w:lineRule="auto"/>
        <w:ind w:right="113"/>
        <w:contextualSpacing w:val="0"/>
        <w:jc w:val="both"/>
        <w:rPr>
          <w:rFonts w:ascii="Arial Narrow" w:hAnsi="Arial Narrow" w:cs="Arial Unicode MS"/>
        </w:rPr>
      </w:pPr>
      <w:r>
        <w:rPr>
          <w:rFonts w:ascii="Arial Narrow" w:hAnsi="Arial Narrow" w:cs="Arial Unicode MS"/>
        </w:rPr>
        <w:t>企业集团内业务流、物流和资金流，包括商品、劳务或者其他交易标的从设计、开发、生产制造、营销、销售、交货、结算、消费、售后服务、循环利用等各环节及其参与方；</w:t>
      </w:r>
    </w:p>
    <w:p w14:paraId="153F5F07" w14:textId="77777777" w:rsidR="006B4107" w:rsidRDefault="004E70C7">
      <w:pPr>
        <w:pStyle w:val="affd"/>
        <w:numPr>
          <w:ilvl w:val="0"/>
          <w:numId w:val="23"/>
        </w:numPr>
        <w:spacing w:beforeLines="50" w:before="156" w:afterLines="50" w:after="156" w:line="360" w:lineRule="auto"/>
        <w:ind w:right="113"/>
        <w:contextualSpacing w:val="0"/>
        <w:jc w:val="both"/>
        <w:rPr>
          <w:rFonts w:ascii="Arial Narrow" w:hAnsi="Arial Narrow" w:cs="Arial Unicode MS"/>
        </w:rPr>
      </w:pPr>
      <w:r>
        <w:rPr>
          <w:rFonts w:ascii="Arial Narrow" w:hAnsi="Arial Narrow" w:cs="Arial Unicode MS"/>
        </w:rPr>
        <w:t>各相关方在价值链中是如何协同运作，以及是如何分配功能和资产的。</w:t>
      </w:r>
    </w:p>
    <w:p w14:paraId="3B2D5AB2" w14:textId="77777777" w:rsidR="006B4107" w:rsidRDefault="004E70C7">
      <w:pPr>
        <w:spacing w:beforeLines="50" w:before="156" w:afterLines="50" w:after="156" w:line="360" w:lineRule="auto"/>
        <w:ind w:firstLineChars="200" w:firstLine="440"/>
        <w:jc w:val="both"/>
        <w:rPr>
          <w:rFonts w:cs="Arial Unicode MS"/>
        </w:rPr>
      </w:pPr>
      <w:r>
        <w:rPr>
          <w:rFonts w:cs="Arial Unicode MS"/>
        </w:rPr>
        <w:t>价值链分析将根据以上几个方面进行阐述。同时，需要指出的是，价值链分析是一项用来更准确地描述交易事项的分析工具。由于所有参与方都可以被认为或多或少对价值创造做出了贡献，因此即使价值链分析表明有多种因素对价值的创造出了贡献，也并不意味着利润分割法是最适合的分析方法。</w:t>
      </w:r>
    </w:p>
    <w:p w14:paraId="55FD3F9F" w14:textId="77777777" w:rsidR="006B4107" w:rsidRDefault="004E70C7">
      <w:pPr>
        <w:pStyle w:val="2"/>
        <w:rPr>
          <w:rFonts w:ascii="Arial Narrow" w:eastAsia="仿宋_GB2312" w:hAnsi="Arial Narrow"/>
          <w:iCs w:val="0"/>
          <w:color w:val="002060"/>
        </w:rPr>
      </w:pPr>
      <w:bookmarkStart w:id="509" w:name="_Toc140761331"/>
      <w:bookmarkStart w:id="510" w:name="_Toc185598868"/>
      <w:r>
        <w:rPr>
          <w:rFonts w:ascii="Arial Narrow" w:eastAsia="仿宋_GB2312" w:hAnsi="Arial Narrow" w:cs="楷体"/>
          <w:b w:val="0"/>
          <w:iCs w:val="0"/>
          <w:color w:val="002060"/>
          <w:sz w:val="22"/>
          <w:szCs w:val="22"/>
        </w:rPr>
        <w:t>确定关键价值驱动因素</w:t>
      </w:r>
      <w:bookmarkEnd w:id="506"/>
      <w:bookmarkEnd w:id="507"/>
      <w:bookmarkEnd w:id="508"/>
      <w:bookmarkEnd w:id="509"/>
      <w:bookmarkEnd w:id="510"/>
    </w:p>
    <w:p w14:paraId="6F7E923F" w14:textId="77777777" w:rsidR="006B4107" w:rsidRDefault="004E70C7">
      <w:pPr>
        <w:spacing w:beforeLines="50" w:before="156" w:afterLines="50" w:after="156" w:line="360" w:lineRule="auto"/>
        <w:ind w:firstLineChars="200" w:firstLine="440"/>
        <w:jc w:val="both"/>
        <w:rPr>
          <w:rFonts w:cs="Arial Unicode MS"/>
        </w:rPr>
      </w:pPr>
      <w:proofErr w:type="gramStart"/>
      <w:r>
        <w:rPr>
          <w:rFonts w:cs="Arial Unicode MS" w:hint="eastAsia"/>
        </w:rPr>
        <w:t>远化物</w:t>
      </w:r>
      <w:r>
        <w:rPr>
          <w:rFonts w:cs="Arial Unicode MS" w:hint="eastAsia"/>
        </w:rPr>
        <w:t>流</w:t>
      </w:r>
      <w:proofErr w:type="gramEnd"/>
      <w:r>
        <w:rPr>
          <w:rFonts w:cs="Arial Unicode MS"/>
        </w:rPr>
        <w:t>的利润重要价值驱动因素包括：</w:t>
      </w:r>
      <w:r>
        <w:rPr>
          <w:rFonts w:cs="Arial Unicode MS"/>
        </w:rPr>
        <w:t>1</w:t>
      </w:r>
      <w:r>
        <w:rPr>
          <w:rFonts w:cs="Arial Unicode MS"/>
        </w:rPr>
        <w:t>）</w:t>
      </w:r>
      <w:r>
        <w:rPr>
          <w:rFonts w:cs="Arial Unicode MS" w:hint="eastAsia"/>
        </w:rPr>
        <w:t>合理的成本控制与效率管理</w:t>
      </w:r>
      <w:r>
        <w:rPr>
          <w:rFonts w:cs="Arial Unicode MS"/>
        </w:rPr>
        <w:t>；</w:t>
      </w:r>
      <w:r>
        <w:rPr>
          <w:rFonts w:cs="Arial Unicode MS"/>
        </w:rPr>
        <w:t>2</w:t>
      </w:r>
      <w:r>
        <w:rPr>
          <w:rFonts w:cs="Arial Unicode MS"/>
        </w:rPr>
        <w:t>）</w:t>
      </w:r>
      <w:r>
        <w:rPr>
          <w:rFonts w:cs="Arial Unicode MS" w:hint="eastAsia"/>
        </w:rPr>
        <w:t>良好的服务质量与客户满意度</w:t>
      </w:r>
      <w:r>
        <w:rPr>
          <w:rFonts w:cs="Arial Unicode MS"/>
        </w:rPr>
        <w:t>。</w:t>
      </w:r>
    </w:p>
    <w:p w14:paraId="65BD72C5" w14:textId="77777777" w:rsidR="006B4107" w:rsidRDefault="004E70C7">
      <w:pPr>
        <w:pStyle w:val="affd"/>
        <w:numPr>
          <w:ilvl w:val="0"/>
          <w:numId w:val="24"/>
        </w:numPr>
        <w:spacing w:beforeLines="50" w:before="156" w:afterLines="50" w:after="156" w:line="360" w:lineRule="auto"/>
        <w:jc w:val="both"/>
        <w:rPr>
          <w:rFonts w:ascii="Arial Narrow" w:hAnsi="Arial Narrow" w:cs="Arial Unicode MS"/>
        </w:rPr>
      </w:pPr>
      <w:r>
        <w:rPr>
          <w:rFonts w:ascii="Arial Narrow" w:hAnsi="Arial Narrow" w:cs="Arial Unicode MS" w:hint="eastAsia"/>
        </w:rPr>
        <w:t>成本控制与效率管理</w:t>
      </w:r>
    </w:p>
    <w:p w14:paraId="2FE8E162" w14:textId="77777777" w:rsidR="006B4107" w:rsidRDefault="004E70C7">
      <w:pPr>
        <w:spacing w:beforeLines="50" w:before="156" w:afterLines="50" w:after="156" w:line="360" w:lineRule="auto"/>
        <w:ind w:firstLineChars="200" w:firstLine="440"/>
        <w:jc w:val="both"/>
        <w:rPr>
          <w:rFonts w:cs="Arial Unicode MS"/>
        </w:rPr>
      </w:pPr>
      <w:r>
        <w:rPr>
          <w:rFonts w:cs="Arial Unicode MS" w:hint="eastAsia"/>
        </w:rPr>
        <w:t>合理的成本控制</w:t>
      </w:r>
      <w:proofErr w:type="gramStart"/>
      <w:r>
        <w:rPr>
          <w:rFonts w:cs="Arial Unicode MS" w:hint="eastAsia"/>
        </w:rPr>
        <w:t>是远化物流</w:t>
      </w:r>
      <w:proofErr w:type="gramEnd"/>
      <w:r>
        <w:rPr>
          <w:rFonts w:cs="Arial Unicode MS" w:hint="eastAsia"/>
        </w:rPr>
        <w:t>实现利润的关键。从燃油成本、人力成本、车辆维护到保险费用等各个环节，都需要进行精细化的管理和控制。提高运营效率也是增加利润的重要手段。</w:t>
      </w:r>
      <w:proofErr w:type="gramStart"/>
      <w:r>
        <w:rPr>
          <w:rFonts w:cs="Arial Unicode MS" w:hint="eastAsia"/>
        </w:rPr>
        <w:t>远化物流</w:t>
      </w:r>
      <w:proofErr w:type="gramEnd"/>
      <w:r>
        <w:rPr>
          <w:rFonts w:cs="Arial Unicode MS" w:hint="eastAsia"/>
        </w:rPr>
        <w:t>通过采用先进的物流管理软件、优化人力资源配置、提高车辆使用效率等措施，可以降低成本，提高运营效率，从而增加利润空间。</w:t>
      </w:r>
    </w:p>
    <w:p w14:paraId="141B4312" w14:textId="77777777" w:rsidR="006B4107" w:rsidRDefault="004E70C7">
      <w:pPr>
        <w:pStyle w:val="affd"/>
        <w:numPr>
          <w:ilvl w:val="0"/>
          <w:numId w:val="24"/>
        </w:numPr>
        <w:spacing w:beforeLines="50" w:before="156" w:afterLines="50" w:after="156" w:line="360" w:lineRule="auto"/>
        <w:jc w:val="both"/>
        <w:rPr>
          <w:rFonts w:ascii="Arial Narrow" w:hAnsi="Arial Narrow" w:cs="Arial Unicode MS"/>
        </w:rPr>
      </w:pPr>
      <w:r>
        <w:rPr>
          <w:rFonts w:ascii="Arial Narrow" w:hAnsi="Arial Narrow" w:cs="Arial Unicode MS" w:hint="eastAsia"/>
        </w:rPr>
        <w:t>良好的服务质量与客户满意度</w:t>
      </w:r>
    </w:p>
    <w:p w14:paraId="74E8D48A" w14:textId="77777777" w:rsidR="006B4107" w:rsidRDefault="004E70C7">
      <w:pPr>
        <w:spacing w:beforeLines="50" w:before="156" w:afterLines="50" w:after="156" w:line="360" w:lineRule="auto"/>
        <w:ind w:firstLineChars="200" w:firstLine="440"/>
        <w:jc w:val="both"/>
        <w:rPr>
          <w:rFonts w:cs="Arial Unicode MS"/>
        </w:rPr>
      </w:pPr>
      <w:r>
        <w:rPr>
          <w:rFonts w:cs="Arial Unicode MS" w:hint="eastAsia"/>
        </w:rPr>
        <w:lastRenderedPageBreak/>
        <w:t>物流公司的服务质量直接关系到客户的满意度和忠诚度。在物流行业中，时间、效率和安全性是客</w:t>
      </w:r>
      <w:r>
        <w:rPr>
          <w:rFonts w:cs="Arial Unicode MS" w:hint="eastAsia"/>
        </w:rPr>
        <w:t>户最为关心的几个方面。通过远东集团广泛的全国网络，能够为客户量身定制完整的货物运输解决方案，服务涵盖货物从生产地点到最终消费地点运输的全程代理服务。同时集团通过提高运输速度、优化路线规划、减少货物损坏和丢失风险等手段来提升服务质量，从而带来了更多的业务机会和客户口碑效应，进而促进利润增长。</w:t>
      </w:r>
    </w:p>
    <w:p w14:paraId="232EAB85" w14:textId="77777777" w:rsidR="006B4107" w:rsidRDefault="004E70C7">
      <w:pPr>
        <w:pStyle w:val="2"/>
        <w:rPr>
          <w:rFonts w:ascii="Arial Narrow" w:eastAsia="仿宋_GB2312" w:hAnsi="Arial Narrow"/>
          <w:b w:val="0"/>
          <w:iCs w:val="0"/>
          <w:color w:val="002060"/>
        </w:rPr>
      </w:pPr>
      <w:bookmarkStart w:id="511" w:name="_Toc77181525"/>
      <w:bookmarkStart w:id="512" w:name="_Toc78820048"/>
      <w:bookmarkStart w:id="513" w:name="_Toc77182266"/>
      <w:bookmarkStart w:id="514" w:name="_Toc140761332"/>
      <w:bookmarkStart w:id="515" w:name="_Toc185598869"/>
      <w:bookmarkEnd w:id="511"/>
      <w:bookmarkEnd w:id="512"/>
      <w:bookmarkEnd w:id="513"/>
      <w:r>
        <w:rPr>
          <w:rFonts w:ascii="Arial Narrow" w:eastAsia="仿宋_GB2312" w:hAnsi="Arial Narrow" w:cs="楷体"/>
          <w:b w:val="0"/>
          <w:iCs w:val="0"/>
          <w:color w:val="002060"/>
          <w:sz w:val="22"/>
          <w:szCs w:val="22"/>
        </w:rPr>
        <w:t>集团价值链</w:t>
      </w:r>
      <w:bookmarkEnd w:id="514"/>
      <w:bookmarkEnd w:id="515"/>
    </w:p>
    <w:p w14:paraId="5076CAAF" w14:textId="77777777" w:rsidR="006B4107" w:rsidRDefault="004E70C7">
      <w:pPr>
        <w:spacing w:beforeLines="50" w:before="156" w:afterLines="50" w:after="156" w:line="360" w:lineRule="auto"/>
        <w:ind w:firstLineChars="200" w:firstLine="440"/>
        <w:jc w:val="both"/>
        <w:rPr>
          <w:rFonts w:cs="Arial Unicode MS"/>
        </w:rPr>
      </w:pPr>
      <w:r>
        <w:rPr>
          <w:rFonts w:cs="Arial Unicode MS" w:hint="eastAsia"/>
        </w:rPr>
        <w:t>远东集团的经营活动涵盖了产品的生产周期，即从采购环节到生产供应环节再至全球范围内的销售、市场营销环节和终端的运输与售后环节。</w:t>
      </w:r>
      <w:proofErr w:type="gramStart"/>
      <w:r>
        <w:rPr>
          <w:rFonts w:cs="Arial Unicode MS" w:hint="eastAsia"/>
        </w:rPr>
        <w:t>远化物流</w:t>
      </w:r>
      <w:proofErr w:type="gramEnd"/>
      <w:r>
        <w:rPr>
          <w:rFonts w:cs="Arial Unicode MS" w:hint="eastAsia"/>
        </w:rPr>
        <w:t>所处的运输行业领域竞争激烈，企业的利润水平主要</w:t>
      </w:r>
      <w:proofErr w:type="gramStart"/>
      <w:r>
        <w:rPr>
          <w:rFonts w:cs="Arial Unicode MS" w:hint="eastAsia"/>
        </w:rPr>
        <w:t>由合理</w:t>
      </w:r>
      <w:proofErr w:type="gramEnd"/>
      <w:r>
        <w:rPr>
          <w:rFonts w:cs="Arial Unicode MS" w:hint="eastAsia"/>
        </w:rPr>
        <w:t>的成本控制与效率管理、良</w:t>
      </w:r>
      <w:r>
        <w:rPr>
          <w:rFonts w:cs="Arial Unicode MS" w:hint="eastAsia"/>
        </w:rPr>
        <w:t>好的服务质量与客户满意度等因素决定。</w:t>
      </w:r>
    </w:p>
    <w:p w14:paraId="784A6C58" w14:textId="77777777" w:rsidR="006B4107" w:rsidRDefault="004E70C7">
      <w:pPr>
        <w:spacing w:beforeLines="50" w:before="156" w:afterLines="50" w:after="156" w:line="360" w:lineRule="auto"/>
        <w:ind w:firstLineChars="200" w:firstLine="440"/>
        <w:jc w:val="both"/>
        <w:rPr>
          <w:rFonts w:cs="Arial Unicode MS"/>
        </w:rPr>
      </w:pPr>
      <w:r>
        <w:rPr>
          <w:rFonts w:cs="Arial Unicode MS" w:hint="eastAsia"/>
        </w:rPr>
        <w:t>报告期间，远东集团的价值链</w:t>
      </w:r>
      <w:proofErr w:type="gramStart"/>
      <w:r>
        <w:rPr>
          <w:rFonts w:cs="Arial Unicode MS" w:hint="eastAsia"/>
        </w:rPr>
        <w:t>以及远化物流</w:t>
      </w:r>
      <w:proofErr w:type="gramEnd"/>
      <w:r>
        <w:rPr>
          <w:rFonts w:cs="Arial Unicode MS" w:hint="eastAsia"/>
        </w:rPr>
        <w:t>在其中所处的位置如下图所示</w:t>
      </w:r>
      <w:r>
        <w:rPr>
          <w:rFonts w:cs="Arial Unicode MS"/>
        </w:rPr>
        <w:t>：</w:t>
      </w:r>
    </w:p>
    <w:p w14:paraId="5A2B64D4" w14:textId="77777777" w:rsidR="006B4107" w:rsidRDefault="004E70C7">
      <w:pPr>
        <w:pStyle w:val="a6"/>
        <w:jc w:val="center"/>
        <w:rPr>
          <w:rFonts w:ascii="仿宋" w:eastAsia="仿宋" w:hAnsi="仿宋" w:cs="Arial Unicode MS"/>
          <w:bCs w:val="0"/>
        </w:rPr>
      </w:pPr>
      <w:r>
        <w:rPr>
          <w:rFonts w:ascii="仿宋" w:eastAsia="仿宋" w:hAnsi="仿宋"/>
        </w:rPr>
        <w:t>图表</w:t>
      </w:r>
      <w:r>
        <w:rPr>
          <w:rFonts w:eastAsia="仿宋" w:cs="Arial Narrow"/>
        </w:rPr>
        <w:t>16</w:t>
      </w:r>
      <w:r>
        <w:rPr>
          <w:rFonts w:ascii="仿宋" w:eastAsia="仿宋" w:hAnsi="仿宋" w:cs="Arial Unicode MS"/>
          <w:bCs w:val="0"/>
        </w:rPr>
        <w:t>：集团价值链</w:t>
      </w:r>
    </w:p>
    <w:p w14:paraId="4DC7F268" w14:textId="77777777" w:rsidR="006B4107" w:rsidRDefault="004E70C7">
      <w:r>
        <w:rPr>
          <w:noProof/>
        </w:rPr>
        <w:drawing>
          <wp:inline distT="0" distB="0" distL="0" distR="0" wp14:anchorId="534AEEAD" wp14:editId="7CB34719">
            <wp:extent cx="5274310" cy="3476625"/>
            <wp:effectExtent l="0" t="0" r="2540"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5274310" cy="3476625"/>
                    </a:xfrm>
                    <a:prstGeom prst="rect">
                      <a:avLst/>
                    </a:prstGeom>
                    <a:noFill/>
                    <a:ln>
                      <a:noFill/>
                    </a:ln>
                  </pic:spPr>
                </pic:pic>
              </a:graphicData>
            </a:graphic>
          </wp:inline>
        </w:drawing>
      </w:r>
    </w:p>
    <w:p w14:paraId="0AAB4E03" w14:textId="77777777" w:rsidR="006B4107" w:rsidRDefault="004E70C7">
      <w:pPr>
        <w:spacing w:afterLines="50" w:after="156"/>
        <w:jc w:val="both"/>
        <w:rPr>
          <w:rFonts w:cs="STXihei,Italic"/>
          <w:i/>
          <w:iCs/>
          <w:sz w:val="16"/>
          <w:szCs w:val="16"/>
        </w:rPr>
      </w:pPr>
      <w:r>
        <w:rPr>
          <w:rFonts w:cs="STXihei,Italic"/>
          <w:i/>
          <w:iCs/>
          <w:sz w:val="16"/>
          <w:szCs w:val="16"/>
        </w:rPr>
        <w:t>信息来源：</w:t>
      </w:r>
      <w:proofErr w:type="gramStart"/>
      <w:r>
        <w:rPr>
          <w:rFonts w:cs="STXihei,Italic"/>
          <w:i/>
          <w:iCs/>
          <w:sz w:val="16"/>
          <w:szCs w:val="16"/>
        </w:rPr>
        <w:t>由</w:t>
      </w:r>
      <w:r>
        <w:rPr>
          <w:rFonts w:cs="STXihei,Italic" w:hint="eastAsia"/>
          <w:i/>
          <w:iCs/>
          <w:sz w:val="16"/>
          <w:szCs w:val="16"/>
        </w:rPr>
        <w:t>远化物流</w:t>
      </w:r>
      <w:proofErr w:type="gramEnd"/>
      <w:r>
        <w:rPr>
          <w:rFonts w:cs="STXihei,Italic"/>
          <w:i/>
          <w:iCs/>
          <w:sz w:val="16"/>
          <w:szCs w:val="16"/>
        </w:rPr>
        <w:t>提供</w:t>
      </w:r>
    </w:p>
    <w:p w14:paraId="68DC6E7A" w14:textId="77777777" w:rsidR="006B4107" w:rsidRDefault="004E70C7">
      <w:pPr>
        <w:spacing w:beforeLines="50" w:before="156" w:afterLines="50" w:after="156" w:line="360" w:lineRule="auto"/>
        <w:ind w:firstLineChars="200" w:firstLine="440"/>
        <w:jc w:val="both"/>
        <w:rPr>
          <w:rFonts w:cs="Arial Unicode MS"/>
        </w:rPr>
      </w:pPr>
      <w:proofErr w:type="gramStart"/>
      <w:r>
        <w:rPr>
          <w:rFonts w:cs="Arial Unicode MS" w:hint="eastAsia"/>
        </w:rPr>
        <w:t>远化物流</w:t>
      </w:r>
      <w:proofErr w:type="gramEnd"/>
      <w:r>
        <w:rPr>
          <w:rFonts w:cs="Arial Unicode MS" w:hint="eastAsia"/>
        </w:rPr>
        <w:t>在集团价值链中主要从事公路运输服务业务，是集团整体业务链条整体的相对常规的组成部分，对整体利润做出常规贡献。</w:t>
      </w:r>
    </w:p>
    <w:p w14:paraId="6B8730A9" w14:textId="77777777" w:rsidR="006B4107" w:rsidRDefault="004E70C7">
      <w:pPr>
        <w:pStyle w:val="2"/>
        <w:rPr>
          <w:rFonts w:ascii="Arial Narrow" w:eastAsia="仿宋_GB2312" w:hAnsi="Arial Narrow"/>
          <w:b w:val="0"/>
          <w:iCs w:val="0"/>
          <w:color w:val="002060"/>
        </w:rPr>
      </w:pPr>
      <w:bookmarkStart w:id="516" w:name="_Toc48317466"/>
      <w:bookmarkStart w:id="517" w:name="_Toc48317158"/>
      <w:bookmarkStart w:id="518" w:name="_Toc140761333"/>
      <w:bookmarkStart w:id="519" w:name="_Toc185598870"/>
      <w:r>
        <w:rPr>
          <w:rFonts w:ascii="Arial Narrow" w:eastAsia="仿宋_GB2312" w:hAnsi="Arial Narrow" w:cs="楷体"/>
          <w:b w:val="0"/>
          <w:iCs w:val="0"/>
          <w:color w:val="002060"/>
          <w:sz w:val="22"/>
          <w:szCs w:val="22"/>
        </w:rPr>
        <w:lastRenderedPageBreak/>
        <w:t>交易定价影响要素</w:t>
      </w:r>
      <w:bookmarkEnd w:id="516"/>
      <w:bookmarkEnd w:id="517"/>
      <w:bookmarkEnd w:id="518"/>
      <w:bookmarkEnd w:id="519"/>
    </w:p>
    <w:p w14:paraId="3C62A447" w14:textId="77777777" w:rsidR="006B4107" w:rsidRDefault="004E70C7">
      <w:pPr>
        <w:spacing w:beforeLines="50" w:before="156" w:afterLines="50" w:after="156" w:line="360" w:lineRule="auto"/>
        <w:ind w:firstLineChars="200" w:firstLine="440"/>
        <w:jc w:val="both"/>
        <w:rPr>
          <w:rFonts w:cs="Arial Unicode MS"/>
        </w:rPr>
      </w:pPr>
      <w:bookmarkStart w:id="520" w:name="_Toc15995730"/>
      <w:bookmarkStart w:id="521" w:name="_Toc48583005"/>
      <w:bookmarkStart w:id="522" w:name="_Toc15995726"/>
      <w:bookmarkStart w:id="523" w:name="_Toc48583003"/>
      <w:bookmarkStart w:id="524" w:name="_Toc15995725"/>
      <w:bookmarkStart w:id="525" w:name="_Toc48317469"/>
      <w:bookmarkStart w:id="526" w:name="_Toc48582590"/>
      <w:bookmarkStart w:id="527" w:name="_Toc48399607"/>
      <w:bookmarkStart w:id="528" w:name="_Toc48317467"/>
      <w:bookmarkStart w:id="529" w:name="_Toc48317282"/>
      <w:bookmarkStart w:id="530" w:name="_Toc48399649"/>
      <w:bookmarkStart w:id="531" w:name="_Toc15995721"/>
      <w:bookmarkStart w:id="532" w:name="_Toc15995723"/>
      <w:bookmarkStart w:id="533" w:name="_Toc48317511"/>
      <w:bookmarkStart w:id="534" w:name="_Toc15995728"/>
      <w:bookmarkStart w:id="535" w:name="_Toc48582591"/>
      <w:bookmarkStart w:id="536" w:name="_Toc48399605"/>
      <w:bookmarkStart w:id="537" w:name="_Toc48582592"/>
      <w:bookmarkStart w:id="538" w:name="_Toc48317283"/>
      <w:bookmarkStart w:id="539" w:name="_Toc15995724"/>
      <w:bookmarkStart w:id="540" w:name="_Toc15995729"/>
      <w:bookmarkStart w:id="541" w:name="_Toc48317468"/>
      <w:bookmarkStart w:id="542" w:name="_Toc15995722"/>
      <w:bookmarkStart w:id="543" w:name="_Toc48582634"/>
      <w:bookmarkStart w:id="544" w:name="_Toc48317284"/>
      <w:bookmarkStart w:id="545" w:name="_Toc15995727"/>
      <w:bookmarkStart w:id="546" w:name="_Toc48317326"/>
      <w:bookmarkStart w:id="547" w:name="_Toc48583004"/>
      <w:bookmarkStart w:id="548" w:name="_Toc48399606"/>
      <w:bookmarkStart w:id="549" w:name="_Toc48583047"/>
      <w:bookmarkStart w:id="550" w:name="_Toc48317512"/>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r>
        <w:rPr>
          <w:rFonts w:cs="Arial Unicode MS"/>
        </w:rPr>
        <w:t>中国国家税务总局首次在发布的《联合国转让定价操作手册》（</w:t>
      </w:r>
      <w:r>
        <w:rPr>
          <w:rFonts w:cs="Arial Unicode MS"/>
        </w:rPr>
        <w:t>“</w:t>
      </w:r>
      <w:r>
        <w:rPr>
          <w:rFonts w:cs="Arial Unicode MS"/>
        </w:rPr>
        <w:t>《手册》</w:t>
      </w:r>
      <w:r>
        <w:rPr>
          <w:rFonts w:cs="Arial Unicode MS"/>
        </w:rPr>
        <w:t>”</w:t>
      </w:r>
      <w:r>
        <w:rPr>
          <w:rFonts w:cs="Arial Unicode MS"/>
        </w:rPr>
        <w:t>）中正式提出地域特殊因素的概念。《手册》指出：</w:t>
      </w:r>
      <w:r>
        <w:rPr>
          <w:rFonts w:cs="Arial Unicode MS"/>
        </w:rPr>
        <w:t>“</w:t>
      </w:r>
      <w:r>
        <w:rPr>
          <w:rFonts w:cs="Arial Unicode MS"/>
        </w:rPr>
        <w:t>贸易和经济全球化引发了</w:t>
      </w:r>
      <w:r>
        <w:rPr>
          <w:rFonts w:cs="Arial Unicode MS"/>
        </w:rPr>
        <w:t>‘</w:t>
      </w:r>
      <w:r>
        <w:rPr>
          <w:rFonts w:cs="Arial Unicode MS"/>
        </w:rPr>
        <w:t>成本节约</w:t>
      </w:r>
      <w:r>
        <w:rPr>
          <w:rFonts w:cs="Arial Unicode MS"/>
        </w:rPr>
        <w:t>’</w:t>
      </w:r>
      <w:r>
        <w:rPr>
          <w:rFonts w:cs="Arial Unicode MS"/>
        </w:rPr>
        <w:t>、</w:t>
      </w:r>
      <w:r>
        <w:rPr>
          <w:rFonts w:cs="Arial Unicode MS"/>
        </w:rPr>
        <w:t>‘</w:t>
      </w:r>
      <w:r>
        <w:rPr>
          <w:rFonts w:cs="Arial Unicode MS"/>
        </w:rPr>
        <w:t>市场溢价</w:t>
      </w:r>
      <w:r>
        <w:rPr>
          <w:rFonts w:cs="Arial Unicode MS"/>
        </w:rPr>
        <w:t>’</w:t>
      </w:r>
      <w:r>
        <w:rPr>
          <w:rFonts w:cs="Arial Unicode MS"/>
        </w:rPr>
        <w:t>等概念，统称为</w:t>
      </w:r>
      <w:r>
        <w:rPr>
          <w:rFonts w:cs="Arial Unicode MS"/>
        </w:rPr>
        <w:t>‘</w:t>
      </w:r>
      <w:r>
        <w:rPr>
          <w:rFonts w:cs="Arial Unicode MS"/>
        </w:rPr>
        <w:t>地域特殊优势</w:t>
      </w:r>
      <w:r>
        <w:rPr>
          <w:rFonts w:cs="Arial Unicode MS"/>
        </w:rPr>
        <w:t>’</w:t>
      </w:r>
      <w:r>
        <w:rPr>
          <w:rFonts w:cs="Arial Unicode MS"/>
        </w:rPr>
        <w:t>。</w:t>
      </w:r>
      <w:r>
        <w:rPr>
          <w:rFonts w:cs="Arial Unicode MS"/>
        </w:rPr>
        <w:t xml:space="preserve">” </w:t>
      </w:r>
    </w:p>
    <w:p w14:paraId="2F450C63" w14:textId="77777777" w:rsidR="006B4107" w:rsidRDefault="004E70C7">
      <w:pPr>
        <w:spacing w:beforeLines="50" w:before="156" w:afterLines="50" w:after="156" w:line="360" w:lineRule="auto"/>
        <w:ind w:firstLineChars="200" w:firstLine="440"/>
        <w:jc w:val="both"/>
        <w:rPr>
          <w:rFonts w:cs="Arial Unicode MS"/>
        </w:rPr>
      </w:pPr>
      <w:r>
        <w:rPr>
          <w:rFonts w:cs="Arial Unicode MS"/>
        </w:rPr>
        <w:t>《手册》中进一步阐述了选址节约和市场溢价的定义，第</w:t>
      </w:r>
      <w:r>
        <w:rPr>
          <w:rFonts w:cs="Arial Unicode MS"/>
        </w:rPr>
        <w:t>10.3.3.2</w:t>
      </w:r>
      <w:r>
        <w:rPr>
          <w:rFonts w:cs="Arial Unicode MS"/>
        </w:rPr>
        <w:t>节和第</w:t>
      </w:r>
      <w:r>
        <w:rPr>
          <w:rFonts w:cs="Arial Unicode MS"/>
        </w:rPr>
        <w:t>10.3.3.3</w:t>
      </w:r>
      <w:r>
        <w:rPr>
          <w:rFonts w:cs="Arial Unicode MS"/>
        </w:rPr>
        <w:t>节指出：</w:t>
      </w:r>
      <w:r>
        <w:rPr>
          <w:rFonts w:cs="Arial Unicode MS"/>
        </w:rPr>
        <w:t>“</w:t>
      </w:r>
      <w:r>
        <w:rPr>
          <w:rFonts w:cs="Arial Unicode MS"/>
        </w:rPr>
        <w:t>成本节约是指跨国企业因为将其经营活动安排在低成本地区而产生的成本净节约。成本净节约通常通过在原材料、人工、租金、运输和基础建设等项目上较低的支出而实现，虽然一些额外费用会由于迁址而产生，如因为招收了经验不足的劳动</w:t>
      </w:r>
      <w:r>
        <w:rPr>
          <w:rFonts w:cs="Arial Unicode MS"/>
        </w:rPr>
        <w:t>力而产生的更多的培训费用。</w:t>
      </w:r>
      <w:r>
        <w:rPr>
          <w:rFonts w:cs="Arial Unicode MS"/>
        </w:rPr>
        <w:t>”</w:t>
      </w:r>
      <w:r>
        <w:rPr>
          <w:rFonts w:cs="Arial Unicode MS"/>
        </w:rPr>
        <w:t>（第</w:t>
      </w:r>
      <w:r>
        <w:rPr>
          <w:rFonts w:cs="Arial Unicode MS"/>
        </w:rPr>
        <w:t>10.3.3.2</w:t>
      </w:r>
      <w:r>
        <w:rPr>
          <w:rFonts w:cs="Arial Unicode MS"/>
        </w:rPr>
        <w:t>节）</w:t>
      </w:r>
    </w:p>
    <w:p w14:paraId="06F90E94" w14:textId="77777777" w:rsidR="006B4107" w:rsidRDefault="004E70C7">
      <w:pPr>
        <w:spacing w:beforeLines="50" w:before="156" w:afterLines="50" w:after="156" w:line="360" w:lineRule="auto"/>
        <w:ind w:firstLineChars="200" w:firstLine="440"/>
        <w:jc w:val="both"/>
        <w:rPr>
          <w:rFonts w:cs="Arial Unicode MS"/>
        </w:rPr>
      </w:pPr>
      <w:r>
        <w:rPr>
          <w:rFonts w:cs="Arial Unicode MS"/>
        </w:rPr>
        <w:t>“</w:t>
      </w:r>
      <w:r>
        <w:rPr>
          <w:rFonts w:cs="Arial Unicode MS"/>
        </w:rPr>
        <w:t>市场溢价指跨国企业将经营活动安排在有独特特质的地区而获得的额外利润，这些地区的特质会对一项服务或产品的销售和需求造成影响。</w:t>
      </w:r>
      <w:r>
        <w:rPr>
          <w:rFonts w:cs="Arial Unicode MS"/>
        </w:rPr>
        <w:t>”</w:t>
      </w:r>
      <w:r>
        <w:rPr>
          <w:rFonts w:cs="Arial Unicode MS"/>
        </w:rPr>
        <w:t>（第</w:t>
      </w:r>
      <w:r>
        <w:rPr>
          <w:rFonts w:cs="Arial Unicode MS"/>
        </w:rPr>
        <w:t>10.3.3.3</w:t>
      </w:r>
      <w:r>
        <w:rPr>
          <w:rFonts w:cs="Arial Unicode MS"/>
        </w:rPr>
        <w:t>节）</w:t>
      </w:r>
    </w:p>
    <w:p w14:paraId="1BB10ABA" w14:textId="77777777" w:rsidR="006B4107" w:rsidRDefault="004E70C7">
      <w:pPr>
        <w:spacing w:beforeLines="50" w:before="156" w:afterLines="50" w:after="156" w:line="360" w:lineRule="auto"/>
        <w:ind w:firstLineChars="200" w:firstLine="440"/>
        <w:jc w:val="both"/>
        <w:rPr>
          <w:rFonts w:cs="Arial Unicode MS"/>
        </w:rPr>
      </w:pPr>
      <w:r>
        <w:rPr>
          <w:rFonts w:cs="Arial Unicode MS"/>
        </w:rPr>
        <w:t>[2016]42</w:t>
      </w:r>
      <w:r>
        <w:rPr>
          <w:rFonts w:cs="Arial Unicode MS"/>
        </w:rPr>
        <w:t>号公告进一步指出，地域特殊因素应从劳动力成本、环境成本、市场规模、市场竞争程度、消费者购买力、商品或者劳务的可替代性、政府管制等方面进行分析。</w:t>
      </w:r>
    </w:p>
    <w:p w14:paraId="71F53591" w14:textId="77777777" w:rsidR="006B4107" w:rsidRDefault="004E70C7">
      <w:pPr>
        <w:spacing w:beforeLines="50" w:before="156" w:afterLines="50" w:after="156" w:line="360" w:lineRule="auto"/>
        <w:ind w:firstLineChars="200" w:firstLine="440"/>
        <w:jc w:val="both"/>
        <w:rPr>
          <w:rFonts w:cs="Arial Unicode MS"/>
        </w:rPr>
      </w:pPr>
      <w:r>
        <w:rPr>
          <w:rFonts w:cs="Arial Unicode MS"/>
        </w:rPr>
        <w:t>OECD</w:t>
      </w:r>
      <w:r>
        <w:rPr>
          <w:rFonts w:cs="Arial Unicode MS"/>
        </w:rPr>
        <w:t>在税基侵蚀和利润转移第</w:t>
      </w:r>
      <w:r>
        <w:rPr>
          <w:rFonts w:cs="Arial Unicode MS"/>
        </w:rPr>
        <w:t>8-10</w:t>
      </w:r>
      <w:r>
        <w:rPr>
          <w:rFonts w:cs="Arial Unicode MS"/>
        </w:rPr>
        <w:t>项行动计划的最终报告中，修订了</w:t>
      </w:r>
      <w:r>
        <w:rPr>
          <w:rFonts w:cs="Arial Unicode MS"/>
        </w:rPr>
        <w:t>OECD</w:t>
      </w:r>
      <w:r>
        <w:rPr>
          <w:rFonts w:cs="Arial Unicode MS"/>
        </w:rPr>
        <w:t>转让定价指南第一</w:t>
      </w:r>
      <w:proofErr w:type="gramStart"/>
      <w:r>
        <w:rPr>
          <w:rFonts w:cs="Arial Unicode MS"/>
        </w:rPr>
        <w:t>章独立</w:t>
      </w:r>
      <w:proofErr w:type="gramEnd"/>
      <w:r>
        <w:rPr>
          <w:rFonts w:cs="Arial Unicode MS"/>
        </w:rPr>
        <w:t>交易原则的内容，新增了一节选址节约和其他本地市场</w:t>
      </w:r>
      <w:r>
        <w:rPr>
          <w:rFonts w:cs="Arial Unicode MS"/>
        </w:rPr>
        <w:t>特征的内容。</w:t>
      </w:r>
    </w:p>
    <w:p w14:paraId="6714FE20" w14:textId="77777777" w:rsidR="006B4107" w:rsidRDefault="004E70C7">
      <w:pPr>
        <w:spacing w:beforeLines="50" w:before="156" w:afterLines="50" w:after="156" w:line="360" w:lineRule="auto"/>
        <w:ind w:firstLineChars="200" w:firstLine="440"/>
        <w:jc w:val="both"/>
        <w:rPr>
          <w:rFonts w:cs="Arial Unicode MS"/>
        </w:rPr>
      </w:pPr>
      <w:r>
        <w:rPr>
          <w:rFonts w:cs="Arial Unicode MS"/>
        </w:rPr>
        <w:t>新的</w:t>
      </w:r>
      <w:r>
        <w:rPr>
          <w:rFonts w:cs="Arial Unicode MS"/>
        </w:rPr>
        <w:t>OECD</w:t>
      </w:r>
      <w:r>
        <w:rPr>
          <w:rFonts w:cs="Arial Unicode MS"/>
        </w:rPr>
        <w:t>转让定价指南指出：</w:t>
      </w:r>
      <w:r>
        <w:rPr>
          <w:rFonts w:cs="Arial Unicode MS"/>
        </w:rPr>
        <w:t>“</w:t>
      </w:r>
      <w:r>
        <w:rPr>
          <w:rFonts w:cs="Arial Unicode MS"/>
        </w:rPr>
        <w:t>在评估是否需要对本地市场特征进行可比性调整时，最可靠的方法为参照对应地域市场中执行类似功能、承担类似风险并使用类似资产的独立企业间的可比非受控交易数据。这些交易的市场条件和受控交易一致，因此，当可以找到本地市场的可比交易时，无需对本地市场特征进行特殊调整。</w:t>
      </w:r>
      <w:r>
        <w:rPr>
          <w:rFonts w:cs="Arial Unicode MS"/>
        </w:rPr>
        <w:t xml:space="preserve">” </w:t>
      </w:r>
    </w:p>
    <w:p w14:paraId="2B65F49B" w14:textId="77777777" w:rsidR="006B4107" w:rsidRDefault="004E70C7">
      <w:pPr>
        <w:spacing w:beforeLines="50" w:before="156" w:afterLines="50" w:after="156" w:line="360" w:lineRule="auto"/>
        <w:ind w:firstLineChars="200" w:firstLine="440"/>
        <w:jc w:val="both"/>
        <w:rPr>
          <w:rFonts w:cs="Arial Unicode MS"/>
        </w:rPr>
      </w:pPr>
      <w:r>
        <w:rPr>
          <w:rFonts w:cs="Arial Unicode MS"/>
        </w:rPr>
        <w:t>新的</w:t>
      </w:r>
      <w:r>
        <w:rPr>
          <w:rFonts w:cs="Arial Unicode MS"/>
        </w:rPr>
        <w:t>OECD</w:t>
      </w:r>
      <w:r>
        <w:rPr>
          <w:rFonts w:cs="Arial Unicode MS"/>
        </w:rPr>
        <w:t>转让定价指南指出：</w:t>
      </w:r>
      <w:r>
        <w:rPr>
          <w:rFonts w:cs="Arial Unicode MS"/>
        </w:rPr>
        <w:t>“</w:t>
      </w:r>
      <w:r>
        <w:rPr>
          <w:rFonts w:cs="Arial Unicode MS"/>
        </w:rPr>
        <w:t>当无法找到可靠的本地市场可比对象时，对本地市场特征进行可比性调整需要考虑所有相关的实施和情况。与选址节约的分析相同，在无法找到可靠的本地市场可比企业的情况下，需要考虑（</w:t>
      </w:r>
      <w:r>
        <w:rPr>
          <w:rFonts w:cs="Arial Unicode MS"/>
        </w:rPr>
        <w:t>1</w:t>
      </w:r>
      <w:r>
        <w:rPr>
          <w:rFonts w:cs="Arial Unicode MS"/>
        </w:rPr>
        <w:t>）</w:t>
      </w:r>
      <w:r>
        <w:rPr>
          <w:rFonts w:cs="Arial Unicode MS"/>
        </w:rPr>
        <w:t>是否存在市场优势或劣势；（</w:t>
      </w:r>
      <w:r>
        <w:rPr>
          <w:rFonts w:cs="Arial Unicode MS"/>
        </w:rPr>
        <w:t>2</w:t>
      </w:r>
      <w:r>
        <w:rPr>
          <w:rFonts w:cs="Arial Unicode MS"/>
        </w:rPr>
        <w:t>）与其他市场中找到的可比对象相比，本地市场优势或劣势带来的收入、成本或利润的增加或减少的金额；（</w:t>
      </w:r>
      <w:r>
        <w:rPr>
          <w:rFonts w:cs="Arial Unicode MS"/>
        </w:rPr>
        <w:t>3</w:t>
      </w:r>
      <w:r>
        <w:rPr>
          <w:rFonts w:cs="Arial Unicode MS"/>
        </w:rPr>
        <w:t>）本地市场特征带来的利益或损失在何种程度上转嫁给独立的客户或供应商；（</w:t>
      </w:r>
      <w:r>
        <w:rPr>
          <w:rFonts w:cs="Arial Unicode MS"/>
        </w:rPr>
        <w:t>4</w:t>
      </w:r>
      <w:r>
        <w:rPr>
          <w:rFonts w:cs="Arial Unicode MS"/>
        </w:rPr>
        <w:t>）当存在由本地市场特征带来的利益或损失且未完全转嫁给独立的客户或供应商时，独立企业在相似运营条件下回保留多少净收益或损失。</w:t>
      </w:r>
      <w:r>
        <w:rPr>
          <w:rFonts w:cs="Arial Unicode MS"/>
        </w:rPr>
        <w:t>”</w:t>
      </w:r>
    </w:p>
    <w:p w14:paraId="0165B621" w14:textId="77777777" w:rsidR="006B4107" w:rsidRDefault="004E70C7">
      <w:pPr>
        <w:pStyle w:val="3"/>
        <w:rPr>
          <w:rFonts w:ascii="Arial Narrow" w:eastAsia="仿宋_GB2312" w:hAnsi="Arial Narrow"/>
          <w:iCs w:val="0"/>
          <w:color w:val="002060"/>
        </w:rPr>
      </w:pPr>
      <w:bookmarkStart w:id="551" w:name="_Toc185598871"/>
      <w:bookmarkStart w:id="552" w:name="_Toc140761334"/>
      <w:bookmarkEnd w:id="550"/>
      <w:r>
        <w:rPr>
          <w:rFonts w:ascii="Arial Narrow" w:eastAsia="仿宋_GB2312" w:hAnsi="Arial Narrow" w:cs="楷体"/>
          <w:b w:val="0"/>
          <w:iCs w:val="0"/>
          <w:color w:val="002060"/>
          <w:sz w:val="22"/>
          <w:szCs w:val="22"/>
        </w:rPr>
        <w:lastRenderedPageBreak/>
        <w:t>劳动力成本节约</w:t>
      </w:r>
      <w:bookmarkEnd w:id="551"/>
      <w:bookmarkEnd w:id="552"/>
    </w:p>
    <w:p w14:paraId="3608BEF8" w14:textId="77777777" w:rsidR="006B4107" w:rsidRDefault="004E70C7">
      <w:pPr>
        <w:spacing w:beforeLines="50" w:before="156" w:afterLines="50" w:after="156" w:line="360" w:lineRule="auto"/>
        <w:ind w:firstLineChars="200" w:firstLine="440"/>
        <w:jc w:val="both"/>
        <w:rPr>
          <w:iCs/>
          <w:kern w:val="24"/>
        </w:rPr>
      </w:pPr>
      <w:bookmarkStart w:id="553" w:name="_Toc48317513"/>
      <w:r>
        <w:rPr>
          <w:iCs/>
          <w:kern w:val="24"/>
        </w:rPr>
        <w:t>成本节约，是指跨国企业因为将其经营活动安排在低成本地区而产生的成本净节约。</w:t>
      </w:r>
    </w:p>
    <w:p w14:paraId="089305AB" w14:textId="77777777" w:rsidR="006B4107" w:rsidRDefault="004E70C7">
      <w:pPr>
        <w:spacing w:beforeLines="50" w:before="156" w:afterLines="50" w:after="156" w:line="360" w:lineRule="auto"/>
        <w:ind w:firstLineChars="200" w:firstLine="440"/>
        <w:jc w:val="both"/>
        <w:rPr>
          <w:iCs/>
          <w:kern w:val="24"/>
        </w:rPr>
      </w:pPr>
      <w:r>
        <w:rPr>
          <w:rFonts w:hint="eastAsia"/>
          <w:iCs/>
          <w:kern w:val="24"/>
        </w:rPr>
        <w:t>随着中国人口老龄化、结婚率以及生育率下降，近几年中国的劳动力成本加速上升、劳动力供给增长的速度在</w:t>
      </w:r>
      <w:r>
        <w:rPr>
          <w:rFonts w:hint="eastAsia"/>
          <w:iCs/>
          <w:kern w:val="24"/>
        </w:rPr>
        <w:t>放缓。</w:t>
      </w:r>
      <w:r>
        <w:rPr>
          <w:rFonts w:hint="eastAsia"/>
          <w:iCs/>
          <w:kern w:val="24"/>
        </w:rPr>
        <w:t>2018</w:t>
      </w:r>
      <w:r>
        <w:rPr>
          <w:rFonts w:hint="eastAsia"/>
          <w:iCs/>
          <w:kern w:val="24"/>
        </w:rPr>
        <w:t>年度的《中国与全球制造业竞争力》报告指出，中国制造业竞争力相对优势下滑，劳动力成本上升是主因。中国从</w:t>
      </w:r>
      <w:r>
        <w:rPr>
          <w:rFonts w:hint="eastAsia"/>
          <w:iCs/>
          <w:kern w:val="24"/>
        </w:rPr>
        <w:t>2000</w:t>
      </w:r>
      <w:r>
        <w:rPr>
          <w:rFonts w:hint="eastAsia"/>
          <w:iCs/>
          <w:kern w:val="24"/>
        </w:rPr>
        <w:t>到</w:t>
      </w:r>
      <w:r>
        <w:rPr>
          <w:rFonts w:hint="eastAsia"/>
          <w:iCs/>
          <w:kern w:val="24"/>
        </w:rPr>
        <w:t>2016</w:t>
      </w:r>
      <w:r>
        <w:rPr>
          <w:rFonts w:hint="eastAsia"/>
          <w:iCs/>
          <w:kern w:val="24"/>
        </w:rPr>
        <w:t>年出现了令人关注的变化。虽然中国单位劳动力成本竞争优势排名从</w:t>
      </w:r>
      <w:r>
        <w:rPr>
          <w:rFonts w:hint="eastAsia"/>
          <w:iCs/>
          <w:kern w:val="24"/>
        </w:rPr>
        <w:t>2000</w:t>
      </w:r>
      <w:r>
        <w:rPr>
          <w:rFonts w:hint="eastAsia"/>
          <w:iCs/>
          <w:kern w:val="24"/>
        </w:rPr>
        <w:t>年的第</w:t>
      </w:r>
      <w:r>
        <w:rPr>
          <w:rFonts w:hint="eastAsia"/>
          <w:iCs/>
          <w:kern w:val="24"/>
        </w:rPr>
        <w:t>8</w:t>
      </w:r>
      <w:r>
        <w:rPr>
          <w:rFonts w:hint="eastAsia"/>
          <w:iCs/>
          <w:kern w:val="24"/>
        </w:rPr>
        <w:t>位上升到了</w:t>
      </w:r>
      <w:r>
        <w:rPr>
          <w:rFonts w:hint="eastAsia"/>
          <w:iCs/>
          <w:kern w:val="24"/>
        </w:rPr>
        <w:t>2016</w:t>
      </w:r>
      <w:r>
        <w:rPr>
          <w:rFonts w:hint="eastAsia"/>
          <w:iCs/>
          <w:kern w:val="24"/>
        </w:rPr>
        <w:t>年的第</w:t>
      </w:r>
      <w:r>
        <w:rPr>
          <w:rFonts w:hint="eastAsia"/>
          <w:iCs/>
          <w:kern w:val="24"/>
        </w:rPr>
        <w:t>4</w:t>
      </w:r>
      <w:r>
        <w:rPr>
          <w:rFonts w:hint="eastAsia"/>
          <w:iCs/>
          <w:kern w:val="24"/>
        </w:rPr>
        <w:t>位，但其绝对竞争力优势却出现了下滑，反映为单位劳动力成本值与全球平均水平差距的缩小，其中名义劳动力成本的大幅上升是主要原因。</w:t>
      </w:r>
    </w:p>
    <w:p w14:paraId="0B4D1A56" w14:textId="77777777" w:rsidR="006B4107" w:rsidRDefault="004E70C7">
      <w:pPr>
        <w:spacing w:beforeLines="50" w:before="156" w:afterLines="50" w:after="156" w:line="360" w:lineRule="auto"/>
        <w:ind w:firstLineChars="200" w:firstLine="440"/>
        <w:jc w:val="both"/>
        <w:rPr>
          <w:rFonts w:cs="Arial Unicode MS"/>
        </w:rPr>
      </w:pPr>
      <w:r>
        <w:rPr>
          <w:rFonts w:cs="Arial Unicode MS" w:hint="eastAsia"/>
        </w:rPr>
        <w:t>截至目前，</w:t>
      </w:r>
      <w:proofErr w:type="gramStart"/>
      <w:r>
        <w:rPr>
          <w:rFonts w:cs="Arial Unicode MS" w:hint="eastAsia"/>
        </w:rPr>
        <w:t>第一档月最低</w:t>
      </w:r>
      <w:proofErr w:type="gramEnd"/>
      <w:r>
        <w:rPr>
          <w:rFonts w:cs="Arial Unicode MS" w:hint="eastAsia"/>
        </w:rPr>
        <w:t>工资标准超过</w:t>
      </w:r>
      <w:r>
        <w:rPr>
          <w:rFonts w:cs="Arial Unicode MS"/>
        </w:rPr>
        <w:t>2000</w:t>
      </w:r>
      <w:r>
        <w:rPr>
          <w:rFonts w:cs="Arial Unicode MS" w:hint="eastAsia"/>
        </w:rPr>
        <w:t>元省市共有</w:t>
      </w:r>
      <w:r>
        <w:rPr>
          <w:rFonts w:cs="Arial Unicode MS"/>
        </w:rPr>
        <w:t>19</w:t>
      </w:r>
      <w:r>
        <w:rPr>
          <w:rFonts w:cs="Arial Unicode MS" w:hint="eastAsia"/>
        </w:rPr>
        <w:t>个，分别是北京、天津、河北、上海、江苏、浙江、安徽、福建、山东、湖北、广东、深圳、河南、四川、重庆、福建等。其中，上海最高为</w:t>
      </w:r>
      <w:r>
        <w:rPr>
          <w:rFonts w:cs="Arial Unicode MS"/>
        </w:rPr>
        <w:t>2690</w:t>
      </w:r>
      <w:r>
        <w:rPr>
          <w:rFonts w:cs="Arial Unicode MS" w:hint="eastAsia"/>
        </w:rPr>
        <w:t>元，江苏及浙江</w:t>
      </w:r>
      <w:r>
        <w:rPr>
          <w:rFonts w:cs="Arial Unicode MS"/>
        </w:rPr>
        <w:t>2490</w:t>
      </w:r>
      <w:r>
        <w:rPr>
          <w:rFonts w:cs="Arial Unicode MS" w:hint="eastAsia"/>
        </w:rPr>
        <w:t>元位列第二，北京</w:t>
      </w:r>
      <w:r>
        <w:rPr>
          <w:rFonts w:cs="Arial Unicode MS"/>
        </w:rPr>
        <w:t>2420</w:t>
      </w:r>
      <w:r>
        <w:rPr>
          <w:rFonts w:cs="Arial Unicode MS" w:hint="eastAsia"/>
        </w:rPr>
        <w:t>位列第三。</w:t>
      </w:r>
      <w:r>
        <w:rPr>
          <w:rFonts w:cs="Arial Unicode MS"/>
          <w:vertAlign w:val="superscript"/>
        </w:rPr>
        <w:footnoteReference w:id="9"/>
      </w:r>
      <w:r>
        <w:rPr>
          <w:rFonts w:cs="Arial Unicode MS" w:hint="eastAsia"/>
        </w:rPr>
        <w:t>201</w:t>
      </w:r>
      <w:r>
        <w:rPr>
          <w:rFonts w:cs="Arial Unicode MS"/>
        </w:rPr>
        <w:t>7</w:t>
      </w:r>
      <w:r>
        <w:rPr>
          <w:rFonts w:cs="Arial Unicode MS" w:hint="eastAsia"/>
        </w:rPr>
        <w:t>年到</w:t>
      </w:r>
      <w:r>
        <w:rPr>
          <w:rFonts w:cs="Arial Unicode MS" w:hint="eastAsia"/>
        </w:rPr>
        <w:t>202</w:t>
      </w:r>
      <w:r>
        <w:rPr>
          <w:rFonts w:cs="Arial Unicode MS"/>
        </w:rPr>
        <w:t>3</w:t>
      </w:r>
      <w:r>
        <w:rPr>
          <w:rFonts w:cs="Arial Unicode MS" w:hint="eastAsia"/>
        </w:rPr>
        <w:t>年中国平均工资变化的趋势如下图</w:t>
      </w:r>
      <w:r>
        <w:rPr>
          <w:rFonts w:cs="Arial Unicode MS"/>
        </w:rPr>
        <w:t>。</w:t>
      </w:r>
    </w:p>
    <w:p w14:paraId="27F804F9" w14:textId="77777777" w:rsidR="006B4107" w:rsidRDefault="004E70C7">
      <w:pPr>
        <w:pStyle w:val="a6"/>
        <w:jc w:val="center"/>
        <w:rPr>
          <w:rFonts w:ascii="仿宋" w:eastAsia="仿宋" w:hAnsi="仿宋"/>
          <w:kern w:val="0"/>
          <w:lang w:val="en-GB"/>
        </w:rPr>
      </w:pPr>
      <w:bookmarkStart w:id="554" w:name="_Toc76039352"/>
      <w:bookmarkStart w:id="555" w:name="_Toc75452036"/>
      <w:r>
        <w:rPr>
          <w:rFonts w:ascii="仿宋" w:eastAsia="仿宋" w:hAnsi="仿宋"/>
          <w:kern w:val="0"/>
          <w:lang w:val="en-GB"/>
        </w:rPr>
        <w:t>图表</w:t>
      </w:r>
      <w:r>
        <w:rPr>
          <w:rFonts w:eastAsia="仿宋" w:cs="Arial Narrow"/>
          <w:kern w:val="0"/>
        </w:rPr>
        <w:t>17</w:t>
      </w:r>
      <w:r>
        <w:rPr>
          <w:rFonts w:ascii="仿宋" w:eastAsia="仿宋" w:hAnsi="仿宋"/>
          <w:kern w:val="0"/>
          <w:lang w:val="en-GB"/>
        </w:rPr>
        <w:t>：</w:t>
      </w:r>
      <w:r>
        <w:rPr>
          <w:rFonts w:ascii="仿宋" w:eastAsia="仿宋" w:hAnsi="仿宋" w:hint="eastAsia"/>
          <w:kern w:val="0"/>
          <w:lang w:val="en-GB"/>
        </w:rPr>
        <w:t>201</w:t>
      </w:r>
      <w:r>
        <w:rPr>
          <w:rFonts w:ascii="仿宋" w:eastAsia="仿宋" w:hAnsi="仿宋"/>
          <w:kern w:val="0"/>
          <w:lang w:val="en-GB"/>
        </w:rPr>
        <w:t>7</w:t>
      </w:r>
      <w:r>
        <w:rPr>
          <w:rFonts w:ascii="仿宋" w:eastAsia="仿宋" w:hAnsi="仿宋" w:hint="eastAsia"/>
          <w:kern w:val="0"/>
          <w:lang w:val="en-GB"/>
        </w:rPr>
        <w:t>年到</w:t>
      </w:r>
      <w:r>
        <w:rPr>
          <w:rFonts w:ascii="仿宋" w:eastAsia="仿宋" w:hAnsi="仿宋" w:hint="eastAsia"/>
          <w:kern w:val="0"/>
          <w:lang w:val="en-GB"/>
        </w:rPr>
        <w:t>202</w:t>
      </w:r>
      <w:r>
        <w:rPr>
          <w:rFonts w:ascii="仿宋" w:eastAsia="仿宋" w:hAnsi="仿宋"/>
          <w:kern w:val="0"/>
          <w:lang w:val="en-GB"/>
        </w:rPr>
        <w:t>3</w:t>
      </w:r>
      <w:r>
        <w:rPr>
          <w:rFonts w:ascii="仿宋" w:eastAsia="仿宋" w:hAnsi="仿宋" w:hint="eastAsia"/>
          <w:kern w:val="0"/>
          <w:lang w:val="en-GB"/>
        </w:rPr>
        <w:t>年中国平均工资</w:t>
      </w:r>
      <w:r>
        <w:rPr>
          <w:rStyle w:val="affc"/>
          <w:rFonts w:ascii="仿宋" w:eastAsia="仿宋" w:hAnsi="仿宋"/>
        </w:rPr>
        <w:footnoteReference w:id="10"/>
      </w:r>
      <w:bookmarkEnd w:id="554"/>
      <w:bookmarkEnd w:id="555"/>
    </w:p>
    <w:p w14:paraId="70E392FB" w14:textId="77777777" w:rsidR="006B4107" w:rsidRDefault="004E70C7">
      <w:pPr>
        <w:jc w:val="center"/>
        <w:rPr>
          <w:lang w:val="en-GB"/>
        </w:rPr>
      </w:pPr>
      <w:r>
        <w:rPr>
          <w:noProof/>
        </w:rPr>
        <w:drawing>
          <wp:inline distT="0" distB="0" distL="0" distR="0" wp14:anchorId="04BB8BA3" wp14:editId="29E8A1F1">
            <wp:extent cx="4766310" cy="2131695"/>
            <wp:effectExtent l="0" t="0" r="15240" b="1905"/>
            <wp:docPr id="12" name="图表 8"/>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14:paraId="658A8ECF" w14:textId="77777777" w:rsidR="006B4107" w:rsidRDefault="006B4107"/>
    <w:p w14:paraId="0F957D22" w14:textId="77777777" w:rsidR="006B4107" w:rsidRDefault="004E70C7">
      <w:pPr>
        <w:spacing w:beforeLines="50" w:before="156" w:afterLines="50" w:after="156" w:line="360" w:lineRule="auto"/>
        <w:ind w:firstLineChars="200" w:firstLine="440"/>
        <w:jc w:val="both"/>
        <w:rPr>
          <w:rFonts w:cs="Arial Unicode MS"/>
        </w:rPr>
      </w:pPr>
      <w:r>
        <w:rPr>
          <w:rFonts w:cs="Arial Unicode MS"/>
        </w:rPr>
        <w:t>随着中国劳动力成本加速上升，</w:t>
      </w:r>
      <w:proofErr w:type="gramStart"/>
      <w:r>
        <w:rPr>
          <w:rFonts w:cs="Arial Unicode MS"/>
        </w:rPr>
        <w:t>五险一</w:t>
      </w:r>
      <w:proofErr w:type="gramEnd"/>
      <w:r>
        <w:rPr>
          <w:rFonts w:cs="Arial Unicode MS"/>
        </w:rPr>
        <w:t>金等职工福利制度的完善，中国以往的人力成本优势在不断减弱。中共中央办公厅、国务院办公厅于</w:t>
      </w:r>
      <w:r>
        <w:rPr>
          <w:rFonts w:cs="Arial Unicode MS"/>
        </w:rPr>
        <w:t>2018</w:t>
      </w:r>
      <w:r>
        <w:rPr>
          <w:rFonts w:cs="Arial Unicode MS"/>
        </w:rPr>
        <w:t>年</w:t>
      </w:r>
      <w:r>
        <w:rPr>
          <w:rFonts w:cs="Arial Unicode MS"/>
        </w:rPr>
        <w:t>7</w:t>
      </w:r>
      <w:r>
        <w:rPr>
          <w:rFonts w:cs="Arial Unicode MS"/>
        </w:rPr>
        <w:t>月</w:t>
      </w:r>
      <w:r>
        <w:rPr>
          <w:rFonts w:cs="Arial Unicode MS"/>
        </w:rPr>
        <w:t>20</w:t>
      </w:r>
      <w:r>
        <w:rPr>
          <w:rFonts w:cs="Arial Unicode MS"/>
        </w:rPr>
        <w:t>日印发《国税地税征管体制改革方案》。明确从</w:t>
      </w:r>
      <w:r>
        <w:rPr>
          <w:rFonts w:cs="Arial Unicode MS"/>
        </w:rPr>
        <w:t>2019</w:t>
      </w:r>
      <w:r>
        <w:rPr>
          <w:rFonts w:cs="Arial Unicode MS"/>
        </w:rPr>
        <w:t>年</w:t>
      </w:r>
      <w:r>
        <w:rPr>
          <w:rFonts w:cs="Arial Unicode MS"/>
        </w:rPr>
        <w:t>1</w:t>
      </w:r>
      <w:r>
        <w:rPr>
          <w:rFonts w:cs="Arial Unicode MS"/>
        </w:rPr>
        <w:t>月</w:t>
      </w:r>
      <w:r>
        <w:rPr>
          <w:rFonts w:cs="Arial Unicode MS"/>
        </w:rPr>
        <w:t>1</w:t>
      </w:r>
      <w:r>
        <w:rPr>
          <w:rFonts w:cs="Arial Unicode MS"/>
        </w:rPr>
        <w:t>日起，将基本</w:t>
      </w:r>
      <w:r>
        <w:rPr>
          <w:rFonts w:cs="Arial Unicode MS"/>
        </w:rPr>
        <w:t>养老保险费、基本医疗保险费、失业保险费、工伤保险费、生育保险费等各项社会保险费交由税务部门统</w:t>
      </w:r>
      <w:r>
        <w:rPr>
          <w:rFonts w:cs="Arial Unicode MS"/>
        </w:rPr>
        <w:lastRenderedPageBreak/>
        <w:t>一征收。根据《国务院办公厅关于印发降低社会保险费率综合方案的通知》，通知要求降低养老保险单位缴费比例，要求各省养老保险单位缴费比例高于</w:t>
      </w:r>
      <w:r>
        <w:rPr>
          <w:rFonts w:cs="Arial Unicode MS"/>
        </w:rPr>
        <w:t>16%</w:t>
      </w:r>
      <w:r>
        <w:rPr>
          <w:rFonts w:cs="Arial Unicode MS"/>
        </w:rPr>
        <w:t>的，可降至</w:t>
      </w:r>
      <w:r>
        <w:rPr>
          <w:rFonts w:cs="Arial Unicode MS"/>
        </w:rPr>
        <w:t>16%</w:t>
      </w:r>
      <w:r>
        <w:rPr>
          <w:rFonts w:cs="Arial Unicode MS"/>
        </w:rPr>
        <w:t>；目前低于</w:t>
      </w:r>
      <w:r>
        <w:rPr>
          <w:rFonts w:cs="Arial Unicode MS"/>
        </w:rPr>
        <w:t>16%</w:t>
      </w:r>
      <w:r>
        <w:rPr>
          <w:rFonts w:cs="Arial Unicode MS"/>
        </w:rPr>
        <w:t>的，要研究提出过渡办法。此外，继续阶段性降低失业保险、工伤保险费率。虽然相关社保费率降低，但是各项社会保险费交由税务部门统一征收，企业按照最低标准缴纳社会保障金的情况将不复存在，企业成本增加。截至</w:t>
      </w:r>
      <w:r>
        <w:rPr>
          <w:rFonts w:cs="Arial Unicode MS"/>
        </w:rPr>
        <w:t>2023</w:t>
      </w:r>
      <w:r>
        <w:rPr>
          <w:rFonts w:cs="Arial Unicode MS"/>
        </w:rPr>
        <w:t>年底，基本养老、失业、工伤保险参保人数分别达</w:t>
      </w:r>
      <w:r>
        <w:rPr>
          <w:rFonts w:cs="Arial Unicode MS"/>
        </w:rPr>
        <w:t>到</w:t>
      </w:r>
      <w:r>
        <w:rPr>
          <w:rFonts w:cs="Arial Unicode MS"/>
        </w:rPr>
        <w:t>10.66</w:t>
      </w:r>
      <w:r>
        <w:rPr>
          <w:rFonts w:cs="Arial Unicode MS" w:hint="eastAsia"/>
        </w:rPr>
        <w:t>亿人、</w:t>
      </w:r>
      <w:r>
        <w:rPr>
          <w:rFonts w:cs="Arial Unicode MS"/>
        </w:rPr>
        <w:t>2.44</w:t>
      </w:r>
      <w:r>
        <w:rPr>
          <w:rFonts w:cs="Arial Unicode MS" w:hint="eastAsia"/>
        </w:rPr>
        <w:t>亿人、</w:t>
      </w:r>
      <w:r>
        <w:rPr>
          <w:rFonts w:cs="Arial Unicode MS"/>
        </w:rPr>
        <w:t>3.02</w:t>
      </w:r>
      <w:r>
        <w:rPr>
          <w:rFonts w:cs="Arial Unicode MS"/>
        </w:rPr>
        <w:t>亿人。</w:t>
      </w:r>
      <w:r>
        <w:rPr>
          <w:rFonts w:cs="Arial Unicode MS"/>
          <w:vertAlign w:val="superscript"/>
        </w:rPr>
        <w:footnoteReference w:id="11"/>
      </w:r>
    </w:p>
    <w:p w14:paraId="74EE4456" w14:textId="77777777" w:rsidR="006B4107" w:rsidRDefault="004E70C7">
      <w:pPr>
        <w:spacing w:beforeLines="50" w:before="156" w:afterLines="50" w:after="156" w:line="360" w:lineRule="auto"/>
        <w:ind w:firstLineChars="200" w:firstLine="440"/>
        <w:jc w:val="both"/>
        <w:rPr>
          <w:rFonts w:cs="Arial Unicode MS"/>
        </w:rPr>
      </w:pPr>
      <w:r>
        <w:rPr>
          <w:rFonts w:cs="Arial Unicode MS"/>
        </w:rPr>
        <w:t>因此，随着劳动力成本逐年上升，</w:t>
      </w:r>
      <w:proofErr w:type="gramStart"/>
      <w:r>
        <w:rPr>
          <w:rFonts w:cs="Arial Unicode MS" w:hint="eastAsia"/>
        </w:rPr>
        <w:t>远化物流</w:t>
      </w:r>
      <w:proofErr w:type="gramEnd"/>
      <w:r>
        <w:rPr>
          <w:rFonts w:cs="Arial Unicode MS"/>
        </w:rPr>
        <w:t>并没有享受到劳动力成本节约。</w:t>
      </w:r>
    </w:p>
    <w:p w14:paraId="73C07FEA" w14:textId="77777777" w:rsidR="006B4107" w:rsidRDefault="004E70C7">
      <w:pPr>
        <w:pStyle w:val="3"/>
        <w:rPr>
          <w:rFonts w:ascii="Arial Narrow" w:eastAsia="仿宋_GB2312" w:hAnsi="Arial Narrow"/>
          <w:iCs w:val="0"/>
          <w:color w:val="002060"/>
        </w:rPr>
      </w:pPr>
      <w:bookmarkStart w:id="556" w:name="_Toc140761335"/>
      <w:bookmarkStart w:id="557" w:name="_Toc185598872"/>
      <w:r>
        <w:rPr>
          <w:rFonts w:ascii="Arial Narrow" w:eastAsia="仿宋_GB2312" w:hAnsi="Arial Narrow" w:cs="楷体"/>
          <w:b w:val="0"/>
          <w:iCs w:val="0"/>
          <w:color w:val="002060"/>
          <w:sz w:val="22"/>
          <w:szCs w:val="22"/>
        </w:rPr>
        <w:t>市场溢价</w:t>
      </w:r>
      <w:bookmarkEnd w:id="553"/>
      <w:bookmarkEnd w:id="556"/>
      <w:bookmarkEnd w:id="557"/>
    </w:p>
    <w:p w14:paraId="3AF82AC5" w14:textId="77777777" w:rsidR="006B4107" w:rsidRDefault="004E70C7">
      <w:pPr>
        <w:spacing w:beforeLines="50" w:before="156" w:afterLines="50" w:after="156" w:line="360" w:lineRule="auto"/>
        <w:ind w:firstLineChars="200" w:firstLine="440"/>
        <w:jc w:val="both"/>
        <w:rPr>
          <w:rFonts w:cs="Arial Unicode MS"/>
        </w:rPr>
      </w:pPr>
      <w:bookmarkStart w:id="558" w:name="_Toc48317515"/>
      <w:bookmarkStart w:id="559" w:name="_Toc50477851"/>
      <w:bookmarkStart w:id="560" w:name="_Toc48317159"/>
      <w:bookmarkStart w:id="561" w:name="_Toc48317160"/>
      <w:bookmarkStart w:id="562" w:name="_Toc489952578"/>
      <w:bookmarkStart w:id="563" w:name="_Toc48317329"/>
      <w:bookmarkStart w:id="564" w:name="_Toc48399652"/>
      <w:bookmarkStart w:id="565" w:name="_Toc48582637"/>
      <w:bookmarkStart w:id="566" w:name="_Toc48583050"/>
      <w:bookmarkStart w:id="567" w:name="_Toc48317514"/>
      <w:bookmarkStart w:id="568" w:name="_Toc49961822"/>
      <w:bookmarkStart w:id="569" w:name="_Toc50039103"/>
      <w:bookmarkStart w:id="570" w:name="_Toc48583051"/>
      <w:bookmarkStart w:id="571" w:name="_Toc48582638"/>
      <w:bookmarkStart w:id="572" w:name="_Toc48399653"/>
      <w:bookmarkStart w:id="573" w:name="_Toc50477852"/>
      <w:bookmarkStart w:id="574" w:name="_Toc50039104"/>
      <w:bookmarkStart w:id="575" w:name="_Toc48317330"/>
      <w:bookmarkStart w:id="576" w:name="_Toc49961823"/>
      <w:bookmarkStart w:id="577" w:name="_Toc48317516"/>
      <w:bookmarkStart w:id="578" w:name="_Toc48317161"/>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r>
        <w:rPr>
          <w:rFonts w:cs="Arial Unicode MS"/>
        </w:rPr>
        <w:t>从市场溢价角度而言，</w:t>
      </w:r>
      <w:r>
        <w:rPr>
          <w:rFonts w:cs="Arial Unicode MS" w:hint="eastAsia"/>
        </w:rPr>
        <w:t>我国公路货运行业的进入门槛较低，市场化程度较高，为完全竞争市场。除了大型国有企业和国际知名物流企业外，市场中存在大量中小民营物流企业，这些企业主要集中于地方市场和细分领域，形成了“多、小、散、弱”格局。大型货运企业受传统业务制约开始向地方、细分领域延伸，公路货运市场竞争程度日益激烈。</w:t>
      </w:r>
    </w:p>
    <w:p w14:paraId="5D8D9DA8" w14:textId="77777777" w:rsidR="006B4107" w:rsidRDefault="004E70C7">
      <w:pPr>
        <w:spacing w:beforeLines="50" w:before="156" w:afterLines="50" w:after="156" w:line="360" w:lineRule="auto"/>
        <w:ind w:firstLineChars="200" w:firstLine="440"/>
        <w:jc w:val="both"/>
        <w:rPr>
          <w:rFonts w:cs="Arial Unicode MS"/>
        </w:rPr>
      </w:pPr>
      <w:r>
        <w:rPr>
          <w:rFonts w:cs="Arial Unicode MS"/>
        </w:rPr>
        <w:t>因此，</w:t>
      </w:r>
      <w:r>
        <w:rPr>
          <w:rFonts w:cs="Arial Unicode MS" w:hint="eastAsia"/>
        </w:rPr>
        <w:t>我们认为</w:t>
      </w:r>
      <w:proofErr w:type="gramStart"/>
      <w:r>
        <w:rPr>
          <w:rFonts w:cs="Arial Unicode MS" w:hint="eastAsia"/>
        </w:rPr>
        <w:t>远化物流未</w:t>
      </w:r>
      <w:proofErr w:type="gramEnd"/>
      <w:r>
        <w:rPr>
          <w:rFonts w:cs="Arial Unicode MS" w:hint="eastAsia"/>
        </w:rPr>
        <w:t>受到市场溢价的影响</w:t>
      </w:r>
      <w:r>
        <w:rPr>
          <w:rFonts w:cs="Arial Unicode MS"/>
        </w:rPr>
        <w:t>。</w:t>
      </w:r>
    </w:p>
    <w:p w14:paraId="1CE62AEC" w14:textId="77777777" w:rsidR="006B4107" w:rsidRDefault="004E70C7">
      <w:pPr>
        <w:pStyle w:val="2"/>
        <w:rPr>
          <w:rFonts w:ascii="Arial Narrow" w:eastAsia="仿宋_GB2312" w:hAnsi="Arial Narrow"/>
          <w:iCs w:val="0"/>
          <w:color w:val="002060"/>
        </w:rPr>
      </w:pPr>
      <w:bookmarkStart w:id="579" w:name="_Toc185598873"/>
      <w:bookmarkStart w:id="580" w:name="_Toc140761336"/>
      <w:proofErr w:type="gramStart"/>
      <w:r>
        <w:rPr>
          <w:rFonts w:ascii="Arial Narrow" w:eastAsia="仿宋_GB2312" w:hAnsi="Arial Narrow" w:cs="楷体"/>
          <w:b w:val="0"/>
          <w:iCs w:val="0"/>
          <w:color w:val="002060"/>
          <w:sz w:val="22"/>
          <w:szCs w:val="22"/>
        </w:rPr>
        <w:t>价值链各参与</w:t>
      </w:r>
      <w:proofErr w:type="gramEnd"/>
      <w:r>
        <w:rPr>
          <w:rFonts w:ascii="Arial Narrow" w:eastAsia="仿宋_GB2312" w:hAnsi="Arial Narrow" w:cs="楷体"/>
          <w:b w:val="0"/>
          <w:iCs w:val="0"/>
          <w:color w:val="002060"/>
          <w:sz w:val="22"/>
          <w:szCs w:val="22"/>
        </w:rPr>
        <w:t>方财务报表</w:t>
      </w:r>
      <w:bookmarkEnd w:id="577"/>
      <w:bookmarkEnd w:id="578"/>
      <w:bookmarkEnd w:id="579"/>
      <w:bookmarkEnd w:id="580"/>
    </w:p>
    <w:bookmarkEnd w:id="57"/>
    <w:bookmarkEnd w:id="58"/>
    <w:bookmarkEnd w:id="59"/>
    <w:bookmarkEnd w:id="496"/>
    <w:p w14:paraId="450960FF" w14:textId="77777777" w:rsidR="006B4107" w:rsidRDefault="004E70C7">
      <w:pPr>
        <w:spacing w:beforeLines="50" w:before="156" w:afterLines="50" w:after="156" w:line="360" w:lineRule="auto"/>
        <w:ind w:firstLineChars="200" w:firstLine="440"/>
        <w:jc w:val="both"/>
        <w:rPr>
          <w:b/>
          <w:kern w:val="0"/>
          <w:sz w:val="36"/>
          <w:szCs w:val="36"/>
        </w:rPr>
      </w:pPr>
      <w:r>
        <w:rPr>
          <w:rFonts w:cs="Arial Unicode MS" w:hint="eastAsia"/>
        </w:rPr>
        <w:t>如有要求，可在征求相关价值</w:t>
      </w:r>
      <w:proofErr w:type="gramStart"/>
      <w:r>
        <w:rPr>
          <w:rFonts w:cs="Arial Unicode MS" w:hint="eastAsia"/>
        </w:rPr>
        <w:t>链参与方管理层同意</w:t>
      </w:r>
      <w:proofErr w:type="gramEnd"/>
      <w:r>
        <w:rPr>
          <w:rFonts w:cs="Arial Unicode MS" w:hint="eastAsia"/>
        </w:rPr>
        <w:t>之后提供对方企业</w:t>
      </w:r>
      <w:r>
        <w:rPr>
          <w:rFonts w:cs="Arial Unicode MS" w:hint="eastAsia"/>
        </w:rPr>
        <w:t xml:space="preserve">2023 </w:t>
      </w:r>
      <w:r>
        <w:rPr>
          <w:rFonts w:cs="Arial Unicode MS" w:hint="eastAsia"/>
        </w:rPr>
        <w:t>财务年度的财务报表</w:t>
      </w:r>
      <w:r>
        <w:rPr>
          <w:rFonts w:cs="Arial Unicode MS"/>
        </w:rPr>
        <w:t>。</w:t>
      </w:r>
      <w:r>
        <w:rPr>
          <w:sz w:val="21"/>
        </w:rPr>
        <w:br w:type="page"/>
      </w:r>
    </w:p>
    <w:p w14:paraId="13DAF87F" w14:textId="77777777" w:rsidR="006B4107" w:rsidRDefault="004E70C7">
      <w:pPr>
        <w:pStyle w:val="1"/>
        <w:rPr>
          <w:rFonts w:ascii="Arial Narrow" w:eastAsia="仿宋_GB2312" w:hAnsi="Arial Narrow"/>
          <w:b w:val="0"/>
          <w:bCs/>
          <w:color w:val="1E4517" w:themeColor="accent4" w:themeShade="80"/>
        </w:rPr>
      </w:pPr>
      <w:bookmarkStart w:id="581" w:name="_Toc522205841"/>
      <w:bookmarkStart w:id="582" w:name="_Toc522205840"/>
      <w:bookmarkStart w:id="583" w:name="_Toc522205842"/>
      <w:bookmarkStart w:id="584" w:name="_Toc522205839"/>
      <w:bookmarkStart w:id="585" w:name="_Toc48317162"/>
      <w:bookmarkStart w:id="586" w:name="_Toc48317517"/>
      <w:bookmarkStart w:id="587" w:name="_Toc185598874"/>
      <w:bookmarkStart w:id="588" w:name="_Toc140761337"/>
      <w:bookmarkEnd w:id="60"/>
      <w:bookmarkEnd w:id="61"/>
      <w:bookmarkEnd w:id="62"/>
      <w:bookmarkEnd w:id="63"/>
      <w:bookmarkEnd w:id="64"/>
      <w:bookmarkEnd w:id="581"/>
      <w:bookmarkEnd w:id="582"/>
      <w:bookmarkEnd w:id="583"/>
      <w:bookmarkEnd w:id="584"/>
      <w:r>
        <w:rPr>
          <w:rFonts w:ascii="Arial Narrow" w:eastAsia="仿宋_GB2312" w:hAnsi="Arial Narrow" w:cs="Arial Unicode MS"/>
          <w:b w:val="0"/>
          <w:bCs/>
          <w:color w:val="1E4517" w:themeColor="accent4" w:themeShade="80"/>
          <w:sz w:val="28"/>
          <w:szCs w:val="22"/>
        </w:rPr>
        <w:lastRenderedPageBreak/>
        <w:t>可比性分析</w:t>
      </w:r>
      <w:bookmarkEnd w:id="585"/>
      <w:bookmarkEnd w:id="586"/>
      <w:bookmarkEnd w:id="587"/>
      <w:bookmarkEnd w:id="588"/>
    </w:p>
    <w:p w14:paraId="527BDC27" w14:textId="77777777" w:rsidR="006B4107" w:rsidRDefault="004E70C7">
      <w:pPr>
        <w:pStyle w:val="2"/>
        <w:rPr>
          <w:rFonts w:ascii="Arial Narrow" w:eastAsia="仿宋_GB2312" w:hAnsi="Arial Narrow"/>
          <w:iCs w:val="0"/>
          <w:color w:val="002060"/>
        </w:rPr>
      </w:pPr>
      <w:bookmarkStart w:id="589" w:name="_Toc48582641"/>
      <w:bookmarkStart w:id="590" w:name="_Toc48583054"/>
      <w:bookmarkStart w:id="591" w:name="_Toc48317518"/>
      <w:bookmarkStart w:id="592" w:name="_Toc48399656"/>
      <w:bookmarkStart w:id="593" w:name="_Toc48317163"/>
      <w:bookmarkStart w:id="594" w:name="_Toc48317333"/>
      <w:bookmarkStart w:id="595" w:name="_Toc48317519"/>
      <w:bookmarkStart w:id="596" w:name="_Toc140761338"/>
      <w:bookmarkStart w:id="597" w:name="_Toc48317164"/>
      <w:bookmarkStart w:id="598" w:name="_Toc185598875"/>
      <w:bookmarkEnd w:id="589"/>
      <w:bookmarkEnd w:id="590"/>
      <w:bookmarkEnd w:id="591"/>
      <w:bookmarkEnd w:id="592"/>
      <w:bookmarkEnd w:id="593"/>
      <w:bookmarkEnd w:id="594"/>
      <w:r>
        <w:rPr>
          <w:rFonts w:ascii="Arial Narrow" w:eastAsia="仿宋_GB2312" w:hAnsi="Arial Narrow" w:cs="楷体"/>
          <w:b w:val="0"/>
          <w:iCs w:val="0"/>
          <w:color w:val="002060"/>
          <w:sz w:val="22"/>
          <w:szCs w:val="22"/>
        </w:rPr>
        <w:t>简介</w:t>
      </w:r>
      <w:bookmarkEnd w:id="595"/>
      <w:bookmarkEnd w:id="596"/>
      <w:bookmarkEnd w:id="597"/>
      <w:bookmarkEnd w:id="598"/>
    </w:p>
    <w:p w14:paraId="74B9B0F6" w14:textId="77777777" w:rsidR="006B4107" w:rsidRDefault="004E70C7">
      <w:pPr>
        <w:spacing w:beforeLines="50" w:before="156" w:afterLines="50" w:after="156" w:line="360" w:lineRule="auto"/>
        <w:ind w:firstLineChars="200" w:firstLine="440"/>
        <w:jc w:val="both"/>
        <w:rPr>
          <w:rFonts w:cs="Arial Unicode MS"/>
        </w:rPr>
      </w:pPr>
      <w:bookmarkStart w:id="599" w:name="_Toc489952584"/>
      <w:bookmarkStart w:id="600" w:name="_Toc522205845"/>
      <w:bookmarkStart w:id="601" w:name="_Toc48317165"/>
      <w:bookmarkStart w:id="602" w:name="_Toc48317520"/>
      <w:bookmarkEnd w:id="599"/>
      <w:bookmarkEnd w:id="600"/>
      <w:r>
        <w:rPr>
          <w:rFonts w:cs="Arial Unicode MS"/>
        </w:rPr>
        <w:t>《中华人民共和国企业所得税法》第</w:t>
      </w:r>
      <w:r>
        <w:rPr>
          <w:rFonts w:cs="Arial Unicode MS"/>
        </w:rPr>
        <w:t>41</w:t>
      </w:r>
      <w:r>
        <w:rPr>
          <w:rFonts w:cs="Arial Unicode MS"/>
        </w:rPr>
        <w:t>条规定，企业与其关联方之间的业务往来，不符合独立交易原则而减少企业或者其关联方应纳税收入或者所得额的，税务机关有权按照合理方法进行调整。由此可见，独立交易原则是中国转让定价法规的核心原则。同时，独立交易原则也是经济合作发展组织（</w:t>
      </w:r>
      <w:r>
        <w:rPr>
          <w:rFonts w:cs="Arial Unicode MS"/>
        </w:rPr>
        <w:t>“OECD”</w:t>
      </w:r>
      <w:r>
        <w:rPr>
          <w:rFonts w:cs="Arial Unicode MS"/>
        </w:rPr>
        <w:t>）所认可的指导原则。</w:t>
      </w:r>
    </w:p>
    <w:p w14:paraId="12C6C3AF" w14:textId="77777777" w:rsidR="006B4107" w:rsidRDefault="004E70C7">
      <w:pPr>
        <w:spacing w:beforeLines="50" w:before="156" w:afterLines="50" w:after="156" w:line="360" w:lineRule="auto"/>
        <w:ind w:firstLineChars="200" w:firstLine="440"/>
        <w:jc w:val="both"/>
        <w:rPr>
          <w:rFonts w:cs="Arial Unicode MS"/>
        </w:rPr>
      </w:pPr>
      <w:r>
        <w:rPr>
          <w:rFonts w:cs="Arial Unicode MS"/>
        </w:rPr>
        <w:t>为了确定最适宜的转让定价评估方法，我们参考了中国转让定价法规和《</w:t>
      </w:r>
      <w:r>
        <w:rPr>
          <w:rFonts w:cs="Arial Unicode MS"/>
        </w:rPr>
        <w:t>OECD</w:t>
      </w:r>
      <w:r>
        <w:rPr>
          <w:rFonts w:cs="Arial Unicode MS"/>
        </w:rPr>
        <w:t>转让定价指南》中列明的多种分析关联交易定价的方法，包括可比非受控价格法、再销售价格法、成本加成法、交易净利润法以及利润分割法。前三种方法是分析</w:t>
      </w:r>
      <w:r>
        <w:rPr>
          <w:rFonts w:cs="Arial Unicode MS"/>
        </w:rPr>
        <w:t>关联企业之间交易条件和定价方法是否合理的最为直接的方法，但对独立交易数据的可比性要求较高。交易净利润法对产品及功能的可比性要求较前三种方法为低，且可比企业的数据也相对较易获得，因此在实际应用中最普遍。而利润分割法则主要使用于交易双方都具有非常规无形资产或均承担非常规性风险的情形。</w:t>
      </w:r>
    </w:p>
    <w:p w14:paraId="6E4DBCDB" w14:textId="77777777" w:rsidR="006B4107" w:rsidRDefault="004E70C7">
      <w:pPr>
        <w:spacing w:beforeLines="50" w:before="156" w:afterLines="50" w:after="156" w:line="360" w:lineRule="auto"/>
        <w:ind w:firstLineChars="200" w:firstLine="440"/>
        <w:jc w:val="both"/>
        <w:rPr>
          <w:rFonts w:cs="Arial Unicode MS"/>
        </w:rPr>
      </w:pPr>
      <w:r>
        <w:rPr>
          <w:rFonts w:cs="Arial Unicode MS"/>
        </w:rPr>
        <w:t>对以上各种方法的详细描述，请见附件</w:t>
      </w:r>
      <w:r>
        <w:rPr>
          <w:rFonts w:cs="Arial Unicode MS"/>
        </w:rPr>
        <w:t>1</w:t>
      </w:r>
      <w:r>
        <w:rPr>
          <w:rFonts w:cs="Arial Unicode MS"/>
        </w:rPr>
        <w:t>。</w:t>
      </w:r>
    </w:p>
    <w:p w14:paraId="375304D0" w14:textId="77777777" w:rsidR="006B4107" w:rsidRDefault="004E70C7">
      <w:pPr>
        <w:pStyle w:val="2"/>
        <w:rPr>
          <w:rFonts w:ascii="Arial Narrow" w:eastAsia="仿宋_GB2312" w:hAnsi="Arial Narrow"/>
          <w:iCs w:val="0"/>
          <w:color w:val="002060"/>
        </w:rPr>
      </w:pPr>
      <w:bookmarkStart w:id="603" w:name="_Toc185598876"/>
      <w:bookmarkStart w:id="604" w:name="_Toc140761339"/>
      <w:r>
        <w:rPr>
          <w:rFonts w:ascii="Arial Narrow" w:eastAsia="仿宋_GB2312" w:hAnsi="Arial Narrow" w:cs="楷体"/>
          <w:b w:val="0"/>
          <w:iCs w:val="0"/>
          <w:color w:val="002060"/>
          <w:sz w:val="22"/>
          <w:szCs w:val="22"/>
        </w:rPr>
        <w:t>转让定价方法的选择</w:t>
      </w:r>
      <w:bookmarkEnd w:id="601"/>
      <w:bookmarkEnd w:id="602"/>
      <w:bookmarkEnd w:id="603"/>
      <w:bookmarkEnd w:id="604"/>
    </w:p>
    <w:p w14:paraId="06EC5EBB" w14:textId="77777777" w:rsidR="006B4107" w:rsidRDefault="004E70C7">
      <w:pPr>
        <w:spacing w:beforeLines="50" w:before="156" w:afterLines="50" w:after="156" w:line="360" w:lineRule="auto"/>
        <w:ind w:firstLineChars="200" w:firstLine="440"/>
        <w:jc w:val="both"/>
        <w:rPr>
          <w:rFonts w:cs="Arial Unicode MS"/>
        </w:rPr>
      </w:pPr>
      <w:bookmarkStart w:id="605" w:name="_Toc48317170"/>
      <w:bookmarkStart w:id="606" w:name="_Toc48914087"/>
      <w:bookmarkStart w:id="607" w:name="_Toc48583061"/>
      <w:bookmarkStart w:id="608" w:name="_Toc48317169"/>
      <w:bookmarkStart w:id="609" w:name="_Toc48399663"/>
      <w:bookmarkStart w:id="610" w:name="_Toc48583062"/>
      <w:bookmarkStart w:id="611" w:name="_Toc48317168"/>
      <w:bookmarkStart w:id="612" w:name="_Toc48582645"/>
      <w:bookmarkStart w:id="613" w:name="_Toc48317521"/>
      <w:bookmarkStart w:id="614" w:name="_Toc48399662"/>
      <w:bookmarkStart w:id="615" w:name="_Toc48317339"/>
      <w:bookmarkStart w:id="616" w:name="_Toc489952586"/>
      <w:bookmarkStart w:id="617" w:name="_Toc48317526"/>
      <w:bookmarkStart w:id="618" w:name="_Toc48583059"/>
      <w:bookmarkStart w:id="619" w:name="_Toc48317167"/>
      <w:bookmarkStart w:id="620" w:name="_Toc48317338"/>
      <w:bookmarkStart w:id="621" w:name="_Toc48399665"/>
      <w:bookmarkStart w:id="622" w:name="_Toc48317525"/>
      <w:bookmarkStart w:id="623" w:name="_Toc48317341"/>
      <w:bookmarkStart w:id="624" w:name="_Toc48317340"/>
      <w:bookmarkStart w:id="625" w:name="_Toc48317166"/>
      <w:bookmarkStart w:id="626" w:name="_Toc48583058"/>
      <w:bookmarkStart w:id="627" w:name="_Toc48317527"/>
      <w:bookmarkStart w:id="628" w:name="_Toc48582650"/>
      <w:bookmarkStart w:id="629" w:name="_Toc48317337"/>
      <w:bookmarkStart w:id="630" w:name="_Toc48317523"/>
      <w:bookmarkStart w:id="631" w:name="_Toc48582644"/>
      <w:bookmarkStart w:id="632" w:name="_Toc48583060"/>
      <w:bookmarkStart w:id="633" w:name="_Toc48317522"/>
      <w:bookmarkStart w:id="634" w:name="_Toc48582649"/>
      <w:bookmarkStart w:id="635" w:name="_Toc48399659"/>
      <w:bookmarkStart w:id="636" w:name="_Toc48582648"/>
      <w:bookmarkStart w:id="637" w:name="_Toc48582647"/>
      <w:bookmarkStart w:id="638" w:name="_Toc48317524"/>
      <w:bookmarkStart w:id="639" w:name="_Toc48317336"/>
      <w:bookmarkStart w:id="640" w:name="_Toc48583063"/>
      <w:bookmarkStart w:id="641" w:name="_Toc48399660"/>
      <w:bookmarkStart w:id="642" w:name="_Toc48399664"/>
      <w:bookmarkStart w:id="643" w:name="_Toc48582646"/>
      <w:bookmarkStart w:id="644" w:name="_Toc48317171"/>
      <w:bookmarkStart w:id="645" w:name="_Toc48317172"/>
      <w:bookmarkStart w:id="646" w:name="_Toc48583057"/>
      <w:bookmarkStart w:id="647" w:name="_Toc48399661"/>
      <w:bookmarkStart w:id="648" w:name="_Toc48317342"/>
      <w:bookmarkStart w:id="649" w:name="_Toc48317173"/>
      <w:bookmarkStart w:id="650" w:name="_Toc48317528"/>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r>
        <w:rPr>
          <w:rFonts w:cs="Arial Unicode MS"/>
        </w:rPr>
        <w:t>[2016]42</w:t>
      </w:r>
      <w:r>
        <w:rPr>
          <w:rFonts w:cs="Arial Unicode MS"/>
        </w:rPr>
        <w:t>号公告第</w:t>
      </w:r>
      <w:r>
        <w:rPr>
          <w:rFonts w:cs="Arial Unicode MS"/>
        </w:rPr>
        <w:t>14</w:t>
      </w:r>
      <w:r>
        <w:rPr>
          <w:rFonts w:cs="Arial Unicode MS"/>
        </w:rPr>
        <w:t>条规定，可比性分析考虑的因素，包括交易资产或者劳务特性，交易各方功能、风险和资产，合同条款，经济环境，经营策略等。</w:t>
      </w:r>
    </w:p>
    <w:p w14:paraId="34FAE421" w14:textId="77777777" w:rsidR="006B4107" w:rsidRDefault="004E70C7">
      <w:pPr>
        <w:spacing w:beforeLines="50" w:before="156" w:afterLines="50" w:after="156" w:line="360" w:lineRule="auto"/>
        <w:ind w:firstLineChars="200" w:firstLine="440"/>
        <w:jc w:val="both"/>
        <w:rPr>
          <w:rFonts w:cs="Arial Unicode MS"/>
        </w:rPr>
      </w:pPr>
      <w:r>
        <w:rPr>
          <w:rFonts w:cs="Arial Unicode MS"/>
        </w:rPr>
        <w:t>然而，中国的转让定价法规并</w:t>
      </w:r>
      <w:r>
        <w:rPr>
          <w:rFonts w:cs="Arial Unicode MS"/>
        </w:rPr>
        <w:t>没有强调纳税人或税务机关在分析关联交易是否符合独立交易原则时选用转让定价方法的顺序。选择哪一种方法并不绝对，这因关联交易所处的经济环境和事实情况而异。事实上，为了评估受控交易是否符合独立交易原则，决定使用哪种转让定价方法为最合适的方法的关键因素在于该方法能否根据受控交易的事实情况和经济环境，最恰当地估算出独立企业间进行类似业务往来所能获得的财务成果。</w:t>
      </w:r>
      <w:r>
        <w:rPr>
          <w:rFonts w:cs="Arial Unicode MS"/>
          <w:vertAlign w:val="superscript"/>
        </w:rPr>
        <w:footnoteReference w:id="12"/>
      </w:r>
      <w:r>
        <w:rPr>
          <w:rFonts w:cs="Arial Unicode MS"/>
        </w:rPr>
        <w:t>由于最合适的转让定价方法是比较各方法相对优点的结果，因此，不完美的方法仍可能被接受，除非有证据证明其他方法更加可靠或能更加准确估算独立交易的结果。</w:t>
      </w:r>
    </w:p>
    <w:p w14:paraId="180EA8AC" w14:textId="77777777" w:rsidR="006B4107" w:rsidRDefault="004E70C7">
      <w:pPr>
        <w:spacing w:beforeLines="50" w:before="156" w:afterLines="50" w:after="156" w:line="360" w:lineRule="auto"/>
        <w:ind w:firstLineChars="200" w:firstLine="440"/>
        <w:jc w:val="both"/>
        <w:rPr>
          <w:rFonts w:cs="Arial Unicode MS"/>
        </w:rPr>
      </w:pPr>
      <w:r>
        <w:rPr>
          <w:rFonts w:cs="Arial Unicode MS"/>
        </w:rPr>
        <w:t>以下图表</w:t>
      </w:r>
      <w:r>
        <w:rPr>
          <w:rFonts w:cs="Arial Unicode MS"/>
        </w:rPr>
        <w:t>总结了转让定价方法的选择过程。</w:t>
      </w:r>
    </w:p>
    <w:p w14:paraId="05698A6E" w14:textId="77777777" w:rsidR="006B4107" w:rsidRDefault="004E70C7">
      <w:pPr>
        <w:pStyle w:val="a6"/>
        <w:ind w:left="420" w:hanging="420"/>
        <w:jc w:val="center"/>
        <w:rPr>
          <w:rFonts w:ascii="仿宋" w:eastAsia="仿宋" w:hAnsi="仿宋"/>
        </w:rPr>
      </w:pPr>
      <w:r>
        <w:rPr>
          <w:rFonts w:ascii="仿宋" w:eastAsia="仿宋" w:hAnsi="仿宋"/>
        </w:rPr>
        <w:lastRenderedPageBreak/>
        <w:t>图表</w:t>
      </w:r>
      <w:r>
        <w:rPr>
          <w:rFonts w:eastAsia="仿宋" w:cs="Arial Narrow"/>
        </w:rPr>
        <w:t>18</w:t>
      </w:r>
      <w:r>
        <w:rPr>
          <w:rFonts w:ascii="仿宋" w:eastAsia="仿宋" w:hAnsi="仿宋"/>
        </w:rPr>
        <w:t>：合适转让定价方法的选择</w:t>
      </w:r>
    </w:p>
    <w:tbl>
      <w:tblPr>
        <w:tblW w:w="81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3118"/>
        <w:gridCol w:w="3087"/>
      </w:tblGrid>
      <w:tr w:rsidR="006B4107" w14:paraId="3580734E" w14:textId="77777777">
        <w:trPr>
          <w:trHeight w:val="550"/>
          <w:tblHeader/>
          <w:jc w:val="center"/>
        </w:trPr>
        <w:tc>
          <w:tcPr>
            <w:tcW w:w="1980" w:type="dxa"/>
            <w:shd w:val="clear" w:color="auto" w:fill="002060"/>
            <w:vAlign w:val="center"/>
          </w:tcPr>
          <w:p w14:paraId="3CF05D6D" w14:textId="77777777" w:rsidR="006B4107" w:rsidRDefault="004E70C7">
            <w:pPr>
              <w:jc w:val="center"/>
              <w:rPr>
                <w:rFonts w:ascii="仿宋" w:eastAsia="仿宋" w:hAnsi="仿宋" w:cs="楷体"/>
                <w:b/>
                <w:color w:val="FFFFFF" w:themeColor="background1"/>
              </w:rPr>
            </w:pPr>
            <w:r>
              <w:rPr>
                <w:rFonts w:ascii="仿宋" w:eastAsia="仿宋" w:hAnsi="仿宋" w:cs="楷体"/>
                <w:b/>
                <w:color w:val="FFFFFF" w:themeColor="background1"/>
              </w:rPr>
              <w:t>转让定价的方法</w:t>
            </w:r>
          </w:p>
        </w:tc>
        <w:tc>
          <w:tcPr>
            <w:tcW w:w="3118" w:type="dxa"/>
            <w:shd w:val="clear" w:color="auto" w:fill="002060"/>
            <w:vAlign w:val="center"/>
          </w:tcPr>
          <w:p w14:paraId="6C3CF2AA" w14:textId="77777777" w:rsidR="006B4107" w:rsidRDefault="004E70C7">
            <w:pPr>
              <w:jc w:val="center"/>
              <w:rPr>
                <w:rFonts w:ascii="仿宋" w:eastAsia="仿宋" w:hAnsi="仿宋" w:cs="楷体"/>
                <w:b/>
                <w:color w:val="FFFFFF" w:themeColor="background1"/>
              </w:rPr>
            </w:pPr>
            <w:r>
              <w:rPr>
                <w:rFonts w:ascii="仿宋" w:eastAsia="仿宋" w:hAnsi="仿宋" w:cs="楷体"/>
                <w:b/>
                <w:color w:val="FFFFFF" w:themeColor="background1"/>
              </w:rPr>
              <w:t>适用情形</w:t>
            </w:r>
          </w:p>
        </w:tc>
        <w:tc>
          <w:tcPr>
            <w:tcW w:w="3087" w:type="dxa"/>
            <w:shd w:val="clear" w:color="auto" w:fill="002060"/>
            <w:vAlign w:val="center"/>
          </w:tcPr>
          <w:p w14:paraId="79365C50" w14:textId="77777777" w:rsidR="006B4107" w:rsidRDefault="004E70C7">
            <w:pPr>
              <w:jc w:val="center"/>
              <w:rPr>
                <w:rFonts w:ascii="仿宋" w:eastAsia="仿宋" w:hAnsi="仿宋" w:cs="楷体"/>
                <w:b/>
                <w:color w:val="FFFFFF" w:themeColor="background1"/>
              </w:rPr>
            </w:pPr>
            <w:r>
              <w:rPr>
                <w:rFonts w:ascii="仿宋" w:eastAsia="仿宋" w:hAnsi="仿宋" w:cs="楷体"/>
                <w:b/>
                <w:color w:val="FFFFFF" w:themeColor="background1"/>
              </w:rPr>
              <w:t>选择</w:t>
            </w:r>
            <w:r>
              <w:rPr>
                <w:rFonts w:ascii="仿宋" w:eastAsia="仿宋" w:hAnsi="仿宋" w:cs="楷体"/>
                <w:b/>
                <w:color w:val="FFFFFF" w:themeColor="background1"/>
              </w:rPr>
              <w:t>/</w:t>
            </w:r>
            <w:r>
              <w:rPr>
                <w:rFonts w:ascii="仿宋" w:eastAsia="仿宋" w:hAnsi="仿宋" w:cs="楷体"/>
                <w:b/>
                <w:color w:val="FFFFFF" w:themeColor="background1"/>
              </w:rPr>
              <w:t>排除的原因</w:t>
            </w:r>
          </w:p>
        </w:tc>
      </w:tr>
      <w:tr w:rsidR="006B4107" w14:paraId="1E81A6DD" w14:textId="77777777">
        <w:trPr>
          <w:trHeight w:val="2070"/>
          <w:jc w:val="center"/>
        </w:trPr>
        <w:tc>
          <w:tcPr>
            <w:tcW w:w="1980" w:type="dxa"/>
            <w:vAlign w:val="center"/>
          </w:tcPr>
          <w:p w14:paraId="1BD4561F" w14:textId="77777777" w:rsidR="006B4107" w:rsidRDefault="004E70C7">
            <w:pPr>
              <w:jc w:val="both"/>
              <w:rPr>
                <w:rFonts w:cs="楷体"/>
              </w:rPr>
            </w:pPr>
            <w:r>
              <w:rPr>
                <w:rFonts w:cs="楷体"/>
              </w:rPr>
              <w:t>可比非受控价格法</w:t>
            </w:r>
          </w:p>
        </w:tc>
        <w:tc>
          <w:tcPr>
            <w:tcW w:w="3118" w:type="dxa"/>
            <w:vAlign w:val="center"/>
          </w:tcPr>
          <w:p w14:paraId="3BF8B47C" w14:textId="77777777" w:rsidR="006B4107" w:rsidRDefault="004E70C7">
            <w:pPr>
              <w:jc w:val="both"/>
              <w:rPr>
                <w:rFonts w:cs="楷体"/>
              </w:rPr>
            </w:pPr>
            <w:r>
              <w:rPr>
                <w:rFonts w:cs="楷体"/>
              </w:rPr>
              <w:t>适用于高度相似交易条件下同</w:t>
            </w:r>
            <w:proofErr w:type="gramStart"/>
            <w:r>
              <w:rPr>
                <w:rFonts w:cs="楷体"/>
              </w:rPr>
              <w:t>一</w:t>
            </w:r>
            <w:proofErr w:type="gramEnd"/>
            <w:r>
              <w:rPr>
                <w:rFonts w:cs="楷体"/>
              </w:rPr>
              <w:t>产品或服务既存在关联方之间又在非关联方之间交易的情况。</w:t>
            </w:r>
          </w:p>
        </w:tc>
        <w:tc>
          <w:tcPr>
            <w:tcW w:w="3087" w:type="dxa"/>
            <w:vAlign w:val="center"/>
          </w:tcPr>
          <w:p w14:paraId="4F30CEFD" w14:textId="77777777" w:rsidR="006B4107" w:rsidRDefault="004E70C7">
            <w:pPr>
              <w:jc w:val="both"/>
              <w:rPr>
                <w:rFonts w:cs="楷体"/>
              </w:rPr>
            </w:pPr>
            <w:proofErr w:type="gramStart"/>
            <w:r>
              <w:rPr>
                <w:rFonts w:cs="楷体" w:hint="eastAsia"/>
              </w:rPr>
              <w:t>远化物流</w:t>
            </w:r>
            <w:proofErr w:type="gramEnd"/>
            <w:r>
              <w:rPr>
                <w:rFonts w:cs="楷体"/>
              </w:rPr>
              <w:t>与关联方和非关联方签订合同的合同标的、合同条款、交易数量有明显差异，无法获得可辨认的内部可比交易或外部可比交易的价格作为关联交易的独立交易价格。因此，</w:t>
            </w:r>
            <w:proofErr w:type="gramStart"/>
            <w:r>
              <w:rPr>
                <w:rFonts w:cs="楷体"/>
              </w:rPr>
              <w:t>对于</w:t>
            </w:r>
            <w:r>
              <w:rPr>
                <w:rFonts w:cs="楷体" w:hint="eastAsia"/>
              </w:rPr>
              <w:t>远化物流</w:t>
            </w:r>
            <w:proofErr w:type="gramEnd"/>
            <w:r>
              <w:rPr>
                <w:rFonts w:cs="楷体"/>
              </w:rPr>
              <w:t>，该方法不适用。</w:t>
            </w:r>
          </w:p>
        </w:tc>
      </w:tr>
      <w:tr w:rsidR="006B4107" w14:paraId="4CF24E06" w14:textId="77777777">
        <w:trPr>
          <w:jc w:val="center"/>
        </w:trPr>
        <w:tc>
          <w:tcPr>
            <w:tcW w:w="1980" w:type="dxa"/>
            <w:vAlign w:val="center"/>
          </w:tcPr>
          <w:p w14:paraId="6EEB35CA" w14:textId="77777777" w:rsidR="006B4107" w:rsidRDefault="004E70C7">
            <w:pPr>
              <w:jc w:val="both"/>
              <w:rPr>
                <w:rFonts w:cs="楷体"/>
              </w:rPr>
            </w:pPr>
            <w:r>
              <w:rPr>
                <w:rFonts w:cs="楷体"/>
              </w:rPr>
              <w:t>再销售价格法</w:t>
            </w:r>
          </w:p>
        </w:tc>
        <w:tc>
          <w:tcPr>
            <w:tcW w:w="3118" w:type="dxa"/>
            <w:vAlign w:val="center"/>
          </w:tcPr>
          <w:p w14:paraId="507B677D" w14:textId="77777777" w:rsidR="006B4107" w:rsidRDefault="004E70C7">
            <w:pPr>
              <w:jc w:val="both"/>
              <w:rPr>
                <w:rFonts w:cs="楷体"/>
              </w:rPr>
            </w:pPr>
            <w:r>
              <w:rPr>
                <w:rFonts w:cs="楷体"/>
              </w:rPr>
              <w:t>适用于再销售者未对商品进行改变外型、性能、结构或更换商标等实质性增值加工的简单加工或单纯购销业务。</w:t>
            </w:r>
          </w:p>
        </w:tc>
        <w:tc>
          <w:tcPr>
            <w:tcW w:w="3087" w:type="dxa"/>
            <w:vAlign w:val="center"/>
          </w:tcPr>
          <w:p w14:paraId="293E0FD6" w14:textId="77777777" w:rsidR="006B4107" w:rsidRDefault="004E70C7">
            <w:pPr>
              <w:jc w:val="both"/>
              <w:rPr>
                <w:rFonts w:cs="楷体"/>
              </w:rPr>
            </w:pPr>
            <w:r>
              <w:rPr>
                <w:rFonts w:cs="楷体" w:hint="eastAsia"/>
              </w:rPr>
              <w:t>由于该方法适用于简单加工或单纯的购销业务，</w:t>
            </w:r>
            <w:proofErr w:type="gramStart"/>
            <w:r>
              <w:rPr>
                <w:rFonts w:cs="楷体" w:hint="eastAsia"/>
              </w:rPr>
              <w:t>远化物流</w:t>
            </w:r>
            <w:proofErr w:type="gramEnd"/>
            <w:r>
              <w:rPr>
                <w:rFonts w:cs="楷体" w:hint="eastAsia"/>
              </w:rPr>
              <w:t>是服务供应商。因此，该方法不适用。</w:t>
            </w:r>
          </w:p>
        </w:tc>
      </w:tr>
      <w:tr w:rsidR="006B4107" w14:paraId="52878CDE" w14:textId="77777777">
        <w:trPr>
          <w:jc w:val="center"/>
        </w:trPr>
        <w:tc>
          <w:tcPr>
            <w:tcW w:w="1980" w:type="dxa"/>
            <w:vAlign w:val="center"/>
          </w:tcPr>
          <w:p w14:paraId="06A80863" w14:textId="77777777" w:rsidR="006B4107" w:rsidRDefault="004E70C7">
            <w:pPr>
              <w:jc w:val="both"/>
              <w:rPr>
                <w:rFonts w:cs="楷体"/>
              </w:rPr>
            </w:pPr>
            <w:r>
              <w:rPr>
                <w:rFonts w:cs="楷体"/>
              </w:rPr>
              <w:t>成本加成法</w:t>
            </w:r>
          </w:p>
        </w:tc>
        <w:tc>
          <w:tcPr>
            <w:tcW w:w="3118" w:type="dxa"/>
            <w:vAlign w:val="center"/>
          </w:tcPr>
          <w:p w14:paraId="77566706" w14:textId="77777777" w:rsidR="006B4107" w:rsidRDefault="004E70C7">
            <w:pPr>
              <w:jc w:val="both"/>
              <w:rPr>
                <w:rFonts w:cs="楷体"/>
              </w:rPr>
            </w:pPr>
            <w:r>
              <w:rPr>
                <w:rFonts w:cs="楷体"/>
              </w:rPr>
              <w:t>成本加成法通常适用于涉及有形资产购销、转让和使用、劳务提供或资金融通的关联交易。</w:t>
            </w:r>
          </w:p>
        </w:tc>
        <w:tc>
          <w:tcPr>
            <w:tcW w:w="3087" w:type="dxa"/>
            <w:vAlign w:val="center"/>
          </w:tcPr>
          <w:p w14:paraId="48BB3FB3" w14:textId="77777777" w:rsidR="006B4107" w:rsidRDefault="004E70C7">
            <w:pPr>
              <w:jc w:val="both"/>
              <w:rPr>
                <w:rFonts w:cs="楷体"/>
              </w:rPr>
            </w:pPr>
            <w:r>
              <w:rPr>
                <w:rFonts w:cs="楷体" w:hint="eastAsia"/>
              </w:rPr>
              <w:t>成本加成法通常适用于成本数据详尽的涉及劳务或有形产品生产或组装的关联交易。</w:t>
            </w:r>
            <w:proofErr w:type="gramStart"/>
            <w:r>
              <w:rPr>
                <w:rFonts w:cs="楷体" w:hint="eastAsia"/>
              </w:rPr>
              <w:t>远化物流</w:t>
            </w:r>
            <w:proofErr w:type="gramEnd"/>
            <w:r>
              <w:rPr>
                <w:rFonts w:cs="楷体" w:hint="eastAsia"/>
              </w:rPr>
              <w:t>向关联方提供的劳务服务，由于会计核算及会计准则的差异，难以获取可以适用成本加成法的外部可比交易成本数据，因此该方法不适用。</w:t>
            </w:r>
          </w:p>
        </w:tc>
      </w:tr>
      <w:tr w:rsidR="006B4107" w14:paraId="3D816E2E" w14:textId="77777777">
        <w:trPr>
          <w:jc w:val="center"/>
        </w:trPr>
        <w:tc>
          <w:tcPr>
            <w:tcW w:w="1980" w:type="dxa"/>
            <w:vAlign w:val="center"/>
          </w:tcPr>
          <w:p w14:paraId="35340E7F" w14:textId="77777777" w:rsidR="006B4107" w:rsidRDefault="004E70C7">
            <w:pPr>
              <w:jc w:val="both"/>
              <w:rPr>
                <w:rFonts w:cs="楷体"/>
              </w:rPr>
            </w:pPr>
            <w:r>
              <w:rPr>
                <w:rFonts w:cs="楷体"/>
              </w:rPr>
              <w:t>交易净利润法</w:t>
            </w:r>
          </w:p>
        </w:tc>
        <w:tc>
          <w:tcPr>
            <w:tcW w:w="3118" w:type="dxa"/>
            <w:vAlign w:val="center"/>
          </w:tcPr>
          <w:p w14:paraId="291CDC8E" w14:textId="77777777" w:rsidR="006B4107" w:rsidRDefault="004E70C7">
            <w:pPr>
              <w:jc w:val="both"/>
              <w:rPr>
                <w:rFonts w:cs="楷体"/>
              </w:rPr>
            </w:pPr>
            <w:r>
              <w:rPr>
                <w:rFonts w:cs="楷体"/>
              </w:rPr>
              <w:t>交易净利润法一般适用于涉及有形资产购销、转让和使用、无形资产的转让和使用以及劳务提供等关联交易。由于该方法的应用基于对净利润指标的分析，因此该方法</w:t>
            </w:r>
            <w:proofErr w:type="gramStart"/>
            <w:r>
              <w:rPr>
                <w:rFonts w:cs="楷体"/>
              </w:rPr>
              <w:t>受功能</w:t>
            </w:r>
            <w:proofErr w:type="gramEnd"/>
            <w:r>
              <w:rPr>
                <w:rFonts w:cs="楷体"/>
              </w:rPr>
              <w:t>或会计处理方法差异的影响较小。</w:t>
            </w:r>
          </w:p>
        </w:tc>
        <w:tc>
          <w:tcPr>
            <w:tcW w:w="3087" w:type="dxa"/>
            <w:vAlign w:val="center"/>
          </w:tcPr>
          <w:p w14:paraId="5345F2D3" w14:textId="77777777" w:rsidR="006B4107" w:rsidRDefault="004E70C7">
            <w:pPr>
              <w:jc w:val="both"/>
              <w:rPr>
                <w:rFonts w:cs="楷体"/>
              </w:rPr>
            </w:pPr>
            <w:r>
              <w:rPr>
                <w:rFonts w:cs="楷体"/>
              </w:rPr>
              <w:t>由于应用交易净利润法所需</w:t>
            </w:r>
            <w:r>
              <w:rPr>
                <w:rFonts w:cs="楷体"/>
              </w:rPr>
              <w:t>要的信息数据可以获得，因此选择该方法为评估受测关联交易是否符合独立交易原则的最合适的方法。因此，我们选择交易净利润法作为分析关联交易的转让定价方法。</w:t>
            </w:r>
          </w:p>
        </w:tc>
      </w:tr>
      <w:tr w:rsidR="006B4107" w14:paraId="4E59A721" w14:textId="77777777">
        <w:trPr>
          <w:jc w:val="center"/>
        </w:trPr>
        <w:tc>
          <w:tcPr>
            <w:tcW w:w="1980" w:type="dxa"/>
            <w:vAlign w:val="center"/>
          </w:tcPr>
          <w:p w14:paraId="296CB946" w14:textId="77777777" w:rsidR="006B4107" w:rsidRDefault="004E70C7">
            <w:pPr>
              <w:jc w:val="both"/>
              <w:rPr>
                <w:rFonts w:cs="楷体"/>
              </w:rPr>
            </w:pPr>
            <w:r>
              <w:rPr>
                <w:rFonts w:cs="楷体"/>
              </w:rPr>
              <w:t>利润分割法</w:t>
            </w:r>
          </w:p>
        </w:tc>
        <w:tc>
          <w:tcPr>
            <w:tcW w:w="3118" w:type="dxa"/>
            <w:vAlign w:val="center"/>
          </w:tcPr>
          <w:p w14:paraId="4B0C6EBF" w14:textId="77777777" w:rsidR="006B4107" w:rsidRDefault="004E70C7">
            <w:pPr>
              <w:jc w:val="both"/>
              <w:rPr>
                <w:rFonts w:cs="楷体"/>
              </w:rPr>
            </w:pPr>
            <w:r>
              <w:rPr>
                <w:rFonts w:cs="楷体"/>
              </w:rPr>
              <w:t>利润分割法适用于各参与方关联交易高度</w:t>
            </w:r>
            <w:proofErr w:type="gramStart"/>
            <w:r>
              <w:rPr>
                <w:rFonts w:cs="楷体"/>
              </w:rPr>
              <w:t>整合且</w:t>
            </w:r>
            <w:proofErr w:type="gramEnd"/>
            <w:r>
              <w:rPr>
                <w:rFonts w:cs="楷体"/>
              </w:rPr>
              <w:t>难以单独评估各方交易结果的情况。该方法也适用于交易各方拥有或贡献独特无形资产的情形。</w:t>
            </w:r>
          </w:p>
        </w:tc>
        <w:tc>
          <w:tcPr>
            <w:tcW w:w="3087" w:type="dxa"/>
            <w:vAlign w:val="center"/>
          </w:tcPr>
          <w:p w14:paraId="370177B2" w14:textId="77777777" w:rsidR="006B4107" w:rsidRDefault="004E70C7">
            <w:pPr>
              <w:jc w:val="both"/>
              <w:rPr>
                <w:rFonts w:cs="楷体"/>
              </w:rPr>
            </w:pPr>
            <w:r>
              <w:rPr>
                <w:rFonts w:cs="楷体"/>
              </w:rPr>
              <w:t>利润分割法为根据企业与其关联方对关联交易合并利润的贡献计算各自应该分配的利润额，适用于关联交易双方，且需要可比非关联方数据，我们无法获取这方面的可比非关联方数据，因此该方法不适用关联交易。</w:t>
            </w:r>
          </w:p>
        </w:tc>
      </w:tr>
    </w:tbl>
    <w:p w14:paraId="606D710E" w14:textId="77777777" w:rsidR="006B4107" w:rsidRDefault="004E70C7">
      <w:pPr>
        <w:pStyle w:val="2"/>
        <w:rPr>
          <w:rFonts w:ascii="Arial Narrow" w:eastAsia="仿宋_GB2312" w:hAnsi="Arial Narrow"/>
          <w:iCs w:val="0"/>
          <w:color w:val="002060"/>
        </w:rPr>
      </w:pPr>
      <w:bookmarkStart w:id="651" w:name="_Toc140761340"/>
      <w:bookmarkStart w:id="652" w:name="_Toc185598877"/>
      <w:r>
        <w:rPr>
          <w:rFonts w:ascii="Arial Narrow" w:eastAsia="仿宋_GB2312" w:hAnsi="Arial Narrow" w:cs="楷体"/>
          <w:b w:val="0"/>
          <w:iCs w:val="0"/>
          <w:color w:val="002060"/>
          <w:sz w:val="22"/>
          <w:szCs w:val="22"/>
        </w:rPr>
        <w:t>验证对象的选择</w:t>
      </w:r>
      <w:bookmarkEnd w:id="649"/>
      <w:bookmarkEnd w:id="650"/>
      <w:bookmarkEnd w:id="651"/>
      <w:bookmarkEnd w:id="652"/>
    </w:p>
    <w:p w14:paraId="61971EA5" w14:textId="77777777" w:rsidR="006B4107" w:rsidRDefault="004E70C7">
      <w:pPr>
        <w:spacing w:beforeLines="50" w:before="156" w:afterLines="50" w:after="156" w:line="360" w:lineRule="auto"/>
        <w:ind w:firstLineChars="200" w:firstLine="440"/>
        <w:jc w:val="both"/>
        <w:rPr>
          <w:rFonts w:cs="Arial Unicode MS"/>
        </w:rPr>
      </w:pPr>
      <w:bookmarkStart w:id="653" w:name="_Toc48317174"/>
      <w:bookmarkStart w:id="654" w:name="_Toc48317529"/>
      <w:bookmarkStart w:id="655" w:name="_Toc274480832"/>
      <w:r>
        <w:rPr>
          <w:rFonts w:cs="Arial Unicode MS"/>
        </w:rPr>
        <w:t>可比非受控价</w:t>
      </w:r>
      <w:r>
        <w:rPr>
          <w:rFonts w:cs="Arial Unicode MS"/>
        </w:rPr>
        <w:t>格法适用于参与受控交易的任何一方，利润分割法通常适用于受控交易的各方，而用其他的转让定价方法时必须首先明确</w:t>
      </w:r>
      <w:proofErr w:type="gramStart"/>
      <w:r>
        <w:rPr>
          <w:rFonts w:cs="Arial Unicode MS"/>
        </w:rPr>
        <w:t>应对哪</w:t>
      </w:r>
      <w:proofErr w:type="gramEnd"/>
      <w:r>
        <w:rPr>
          <w:rFonts w:cs="Arial Unicode MS"/>
        </w:rPr>
        <w:t>一方的毛利或营业利润进行分析。</w:t>
      </w:r>
      <w:r>
        <w:rPr>
          <w:rFonts w:cs="Arial Unicode MS"/>
        </w:rPr>
        <w:t>“</w:t>
      </w:r>
      <w:r>
        <w:rPr>
          <w:rFonts w:cs="Arial Unicode MS"/>
        </w:rPr>
        <w:t>验证对象</w:t>
      </w:r>
      <w:r>
        <w:rPr>
          <w:rFonts w:cs="Arial Unicode MS"/>
        </w:rPr>
        <w:t>”</w:t>
      </w:r>
      <w:r>
        <w:rPr>
          <w:rFonts w:cs="Arial Unicode MS"/>
        </w:rPr>
        <w:t>一般为可以根据非受控交易的可靠公开数据确定其受测关联交易中应收取的价格或应获得的利润，并且所需调整</w:t>
      </w:r>
      <w:proofErr w:type="gramStart"/>
      <w:r>
        <w:rPr>
          <w:rFonts w:cs="Arial Unicode MS"/>
        </w:rPr>
        <w:t>最少且</w:t>
      </w:r>
      <w:proofErr w:type="gramEnd"/>
      <w:r>
        <w:rPr>
          <w:rFonts w:cs="Arial Unicode MS"/>
        </w:rPr>
        <w:t>最可靠的一方。因此，被测试</w:t>
      </w:r>
      <w:r>
        <w:rPr>
          <w:rFonts w:cs="Arial Unicode MS"/>
        </w:rPr>
        <w:lastRenderedPageBreak/>
        <w:t>方通常是那些承担功能最简单，并且不拥有（或并不有权使用）能使其与其他潜在非受控可比公司产生显著不同的重大无形资产或独特资产的企业。</w:t>
      </w:r>
    </w:p>
    <w:p w14:paraId="7D7F83BE" w14:textId="77777777" w:rsidR="006B4107" w:rsidRDefault="004E70C7">
      <w:pPr>
        <w:spacing w:beforeLines="50" w:before="156" w:afterLines="50" w:after="156" w:line="360" w:lineRule="auto"/>
        <w:ind w:firstLineChars="200" w:firstLine="440"/>
        <w:jc w:val="both"/>
        <w:rPr>
          <w:rFonts w:cs="Arial Unicode MS"/>
        </w:rPr>
      </w:pPr>
      <w:proofErr w:type="gramStart"/>
      <w:r>
        <w:rPr>
          <w:rFonts w:cs="Arial Unicode MS" w:hint="eastAsia"/>
        </w:rPr>
        <w:t>远化物流</w:t>
      </w:r>
      <w:proofErr w:type="gramEnd"/>
      <w:r>
        <w:rPr>
          <w:rFonts w:cs="Arial Unicode MS"/>
        </w:rPr>
        <w:t>主要承担物流</w:t>
      </w:r>
      <w:r>
        <w:rPr>
          <w:rFonts w:cs="Arial Unicode MS" w:hint="eastAsia"/>
        </w:rPr>
        <w:t>运输及有限的</w:t>
      </w:r>
      <w:r>
        <w:rPr>
          <w:rFonts w:cs="Arial Unicode MS"/>
        </w:rPr>
        <w:t>一般</w:t>
      </w:r>
      <w:r>
        <w:rPr>
          <w:rFonts w:cs="Arial Unicode MS" w:hint="eastAsia"/>
        </w:rPr>
        <w:t>行政</w:t>
      </w:r>
      <w:r>
        <w:rPr>
          <w:rFonts w:cs="Arial Unicode MS"/>
        </w:rPr>
        <w:t>管理的功能。同时承担</w:t>
      </w:r>
      <w:r>
        <w:rPr>
          <w:rFonts w:cs="Arial Unicode MS" w:hint="eastAsia"/>
        </w:rPr>
        <w:t>间接的市场风险、有限的信用风险、有限的</w:t>
      </w:r>
      <w:r>
        <w:rPr>
          <w:rFonts w:cs="Arial Unicode MS"/>
        </w:rPr>
        <w:t>责任风险。此外，</w:t>
      </w:r>
      <w:proofErr w:type="gramStart"/>
      <w:r>
        <w:rPr>
          <w:rFonts w:cs="Arial Unicode MS" w:hint="eastAsia"/>
        </w:rPr>
        <w:t>远化物流</w:t>
      </w:r>
      <w:proofErr w:type="gramEnd"/>
      <w:r>
        <w:rPr>
          <w:rFonts w:cs="Arial Unicode MS"/>
        </w:rPr>
        <w:t>不拥有非常规营销类无形资产和由其关联方创造的非常规制造类无形资产的所有权。</w:t>
      </w:r>
    </w:p>
    <w:p w14:paraId="1FEE0E21" w14:textId="77777777" w:rsidR="006B4107" w:rsidRDefault="004E70C7">
      <w:pPr>
        <w:spacing w:beforeLines="50" w:before="156" w:afterLines="50" w:after="156" w:line="360" w:lineRule="auto"/>
        <w:ind w:firstLineChars="200" w:firstLine="440"/>
        <w:jc w:val="both"/>
        <w:rPr>
          <w:rFonts w:cs="Arial Unicode MS"/>
        </w:rPr>
      </w:pPr>
      <w:r>
        <w:rPr>
          <w:rFonts w:cs="Arial Unicode MS"/>
        </w:rPr>
        <w:t>从转让定价的技术角度，对于承担功能风险较多的企业，其盈利能力往往受到多种因素影响，测试其利润率水平往往不能正确验证其关联交易定价的合理性；相对而言，功能较为简单的企业更容易辨识出一个与之匹配的稳定回报，且这类企业利润率水平受到关联交易定价的影响较大，测试其利润率水平往往可以有效地验证其关联交易定价政策的合理性。</w:t>
      </w:r>
    </w:p>
    <w:p w14:paraId="0AA0D671" w14:textId="77777777" w:rsidR="006B4107" w:rsidRDefault="004E70C7">
      <w:pPr>
        <w:spacing w:beforeLines="50" w:before="156" w:afterLines="50" w:after="156" w:line="360" w:lineRule="auto"/>
        <w:ind w:firstLineChars="200" w:firstLine="440"/>
        <w:jc w:val="both"/>
        <w:rPr>
          <w:rFonts w:cs="Arial Unicode MS"/>
        </w:rPr>
      </w:pPr>
      <w:proofErr w:type="gramStart"/>
      <w:r>
        <w:rPr>
          <w:rFonts w:cs="Arial Unicode MS"/>
        </w:rPr>
        <w:t>由于</w:t>
      </w:r>
      <w:r>
        <w:rPr>
          <w:rFonts w:cs="Arial Unicode MS" w:hint="eastAsia"/>
        </w:rPr>
        <w:t>远化物流</w:t>
      </w:r>
      <w:proofErr w:type="gramEnd"/>
      <w:r>
        <w:rPr>
          <w:rFonts w:cs="Arial Unicode MS"/>
        </w:rPr>
        <w:t>的受测关联交易财务数据可以可靠获得，我们</w:t>
      </w:r>
      <w:proofErr w:type="gramStart"/>
      <w:r>
        <w:rPr>
          <w:rFonts w:cs="Arial Unicode MS"/>
        </w:rPr>
        <w:t>选择</w:t>
      </w:r>
      <w:r>
        <w:rPr>
          <w:rFonts w:cs="Arial Unicode MS" w:hint="eastAsia"/>
        </w:rPr>
        <w:t>远化物流</w:t>
      </w:r>
      <w:proofErr w:type="gramEnd"/>
      <w:r>
        <w:rPr>
          <w:rFonts w:cs="Arial Unicode MS"/>
        </w:rPr>
        <w:t>作为受测关联交易的验证对象。</w:t>
      </w:r>
    </w:p>
    <w:p w14:paraId="574F6758" w14:textId="77777777" w:rsidR="006B4107" w:rsidRDefault="004E70C7">
      <w:pPr>
        <w:pStyle w:val="2"/>
        <w:rPr>
          <w:rFonts w:ascii="Arial Narrow" w:eastAsia="仿宋_GB2312" w:hAnsi="Arial Narrow"/>
          <w:iCs w:val="0"/>
          <w:color w:val="002060"/>
        </w:rPr>
      </w:pPr>
      <w:bookmarkStart w:id="656" w:name="_Toc140761341"/>
      <w:bookmarkStart w:id="657" w:name="_Toc185598878"/>
      <w:r>
        <w:rPr>
          <w:rFonts w:ascii="Arial Narrow" w:eastAsia="仿宋_GB2312" w:hAnsi="Arial Narrow" w:cs="楷体"/>
          <w:b w:val="0"/>
          <w:iCs w:val="0"/>
          <w:color w:val="002060"/>
          <w:sz w:val="22"/>
          <w:szCs w:val="22"/>
        </w:rPr>
        <w:t>转让定价方法的应用</w:t>
      </w:r>
      <w:bookmarkEnd w:id="653"/>
      <w:bookmarkEnd w:id="654"/>
      <w:bookmarkEnd w:id="656"/>
      <w:bookmarkEnd w:id="657"/>
    </w:p>
    <w:p w14:paraId="1C3C80F3" w14:textId="77777777" w:rsidR="006B4107" w:rsidRDefault="004E70C7">
      <w:pPr>
        <w:pStyle w:val="3"/>
        <w:rPr>
          <w:rFonts w:ascii="Arial Narrow" w:eastAsia="仿宋_GB2312" w:hAnsi="Arial Narrow"/>
          <w:iCs w:val="0"/>
          <w:color w:val="002060"/>
        </w:rPr>
      </w:pPr>
      <w:bookmarkStart w:id="658" w:name="_Toc185598879"/>
      <w:bookmarkStart w:id="659" w:name="_Toc140761342"/>
      <w:r>
        <w:rPr>
          <w:rFonts w:ascii="Arial Narrow" w:eastAsia="仿宋_GB2312" w:hAnsi="Arial Narrow" w:cs="楷体"/>
          <w:b w:val="0"/>
          <w:iCs w:val="0"/>
          <w:color w:val="002060"/>
          <w:sz w:val="22"/>
          <w:szCs w:val="22"/>
        </w:rPr>
        <w:t>概述</w:t>
      </w:r>
      <w:bookmarkEnd w:id="658"/>
      <w:bookmarkEnd w:id="659"/>
    </w:p>
    <w:p w14:paraId="582BA5EB" w14:textId="77777777" w:rsidR="006B4107" w:rsidRDefault="004E70C7">
      <w:pPr>
        <w:spacing w:beforeLines="50" w:before="156" w:afterLines="50" w:after="156" w:line="360" w:lineRule="auto"/>
        <w:ind w:firstLineChars="200" w:firstLine="440"/>
        <w:jc w:val="both"/>
        <w:rPr>
          <w:rFonts w:cs="Arial Unicode MS"/>
        </w:rPr>
      </w:pPr>
      <w:bookmarkStart w:id="660" w:name="_Toc48582671"/>
      <w:bookmarkStart w:id="661" w:name="_Toc48317554"/>
      <w:bookmarkStart w:id="662" w:name="_Toc48317352"/>
      <w:bookmarkStart w:id="663" w:name="_Toc48582654"/>
      <w:bookmarkStart w:id="664" w:name="_Toc48582679"/>
      <w:bookmarkStart w:id="665" w:name="_Toc48583092"/>
      <w:bookmarkStart w:id="666" w:name="_Toc48582675"/>
      <w:bookmarkStart w:id="667" w:name="_Toc48317347"/>
      <w:bookmarkStart w:id="668" w:name="_Toc48583084"/>
      <w:bookmarkStart w:id="669" w:name="_Toc48583073"/>
      <w:bookmarkStart w:id="670" w:name="_Toc48583088"/>
      <w:bookmarkStart w:id="671" w:name="_Toc48583067"/>
      <w:bookmarkStart w:id="672" w:name="_Toc522205849"/>
      <w:bookmarkStart w:id="673" w:name="_Toc48399670"/>
      <w:bookmarkStart w:id="674" w:name="_Toc48317346"/>
      <w:bookmarkStart w:id="675" w:name="_Toc48317532"/>
      <w:bookmarkStart w:id="676" w:name="_Toc522205850"/>
      <w:bookmarkStart w:id="677" w:name="_Toc489952591"/>
      <w:bookmarkStart w:id="678" w:name="_Toc48317537"/>
      <w:bookmarkStart w:id="679" w:name="_Toc48317531"/>
      <w:bookmarkStart w:id="680" w:name="_Toc48583068"/>
      <w:bookmarkStart w:id="681" w:name="_Toc48583071"/>
      <w:bookmarkStart w:id="682" w:name="_Toc48317533"/>
      <w:bookmarkStart w:id="683" w:name="_Toc48582660"/>
      <w:bookmarkStart w:id="684" w:name="_Toc48399673"/>
      <w:bookmarkStart w:id="685" w:name="_Toc48317348"/>
      <w:bookmarkStart w:id="686" w:name="_Toc48399675"/>
      <w:bookmarkStart w:id="687" w:name="_Toc48399671"/>
      <w:bookmarkStart w:id="688" w:name="_Toc48317350"/>
      <w:bookmarkStart w:id="689" w:name="_Toc48582655"/>
      <w:bookmarkStart w:id="690" w:name="_Toc48582658"/>
      <w:bookmarkStart w:id="691" w:name="_Toc48317535"/>
      <w:bookmarkStart w:id="692" w:name="_Toc48399692"/>
      <w:bookmarkStart w:id="693" w:name="_Toc48317369"/>
      <w:bookmarkStart w:id="694" w:name="_Toc522205851"/>
      <w:bookmarkStart w:id="695" w:name="_Toc48583069"/>
      <w:bookmarkStart w:id="696" w:name="_Toc48582656"/>
      <w:bookmarkStart w:id="697" w:name="_Toc48399669"/>
      <w:bookmarkStart w:id="698" w:name="_Toc48317555"/>
      <w:bookmarkEnd w:id="655"/>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r>
        <w:rPr>
          <w:rFonts w:cs="Arial Unicode MS"/>
        </w:rPr>
        <w:t>[2016]42</w:t>
      </w:r>
      <w:r>
        <w:rPr>
          <w:rFonts w:cs="Arial Unicode MS"/>
        </w:rPr>
        <w:t>号公告中列举的各种转让定价方法的分析（详见上文章节</w:t>
      </w:r>
      <w:r>
        <w:rPr>
          <w:rFonts w:cs="Arial Unicode MS"/>
        </w:rPr>
        <w:t>7.2)</w:t>
      </w:r>
      <w:r>
        <w:rPr>
          <w:rFonts w:cs="Arial Unicode MS"/>
        </w:rPr>
        <w:t>，交</w:t>
      </w:r>
      <w:r>
        <w:rPr>
          <w:rFonts w:cs="Arial Unicode MS"/>
        </w:rPr>
        <w:t>易净利润法被确定为对受测关联交易进行可比性分析最合适的转让定价方法。根据《</w:t>
      </w:r>
      <w:r>
        <w:rPr>
          <w:rFonts w:cs="Arial Unicode MS"/>
        </w:rPr>
        <w:t>OECD</w:t>
      </w:r>
      <w:r>
        <w:rPr>
          <w:rFonts w:cs="Arial Unicode MS"/>
        </w:rPr>
        <w:t>转让定价指南》中的相关原则，在理想的情况下，交易利润法的应用应当通过比较：纳税人在受控交易（或适宜于合并的交易）中获取的净利润指标与同一纳税人在可比非受控交易中获得的净利润指标。</w:t>
      </w:r>
      <w:r>
        <w:rPr>
          <w:rFonts w:cs="Arial Unicode MS"/>
          <w:vertAlign w:val="superscript"/>
        </w:rPr>
        <w:footnoteReference w:id="13"/>
      </w:r>
    </w:p>
    <w:p w14:paraId="1D8918B1" w14:textId="77777777" w:rsidR="006B4107" w:rsidRDefault="004E70C7">
      <w:pPr>
        <w:spacing w:beforeLines="50" w:before="156" w:afterLines="50" w:after="156" w:line="360" w:lineRule="auto"/>
        <w:ind w:firstLineChars="200" w:firstLine="440"/>
        <w:jc w:val="both"/>
        <w:rPr>
          <w:rFonts w:cs="Arial Unicode MS"/>
        </w:rPr>
      </w:pPr>
      <w:r>
        <w:rPr>
          <w:rFonts w:cs="Arial Unicode MS"/>
        </w:rPr>
        <w:t>下面我们将应用交易净利润法进行可比分析。</w:t>
      </w:r>
    </w:p>
    <w:p w14:paraId="2F84FC7E" w14:textId="77777777" w:rsidR="006B4107" w:rsidRDefault="004E70C7">
      <w:pPr>
        <w:pStyle w:val="3"/>
        <w:rPr>
          <w:rFonts w:ascii="Arial Narrow" w:eastAsia="仿宋_GB2312" w:hAnsi="Arial Narrow"/>
          <w:iCs w:val="0"/>
          <w:color w:val="002060"/>
        </w:rPr>
      </w:pPr>
      <w:bookmarkStart w:id="699" w:name="_Toc185598880"/>
      <w:bookmarkStart w:id="700" w:name="_Toc140761343"/>
      <w:r>
        <w:rPr>
          <w:rFonts w:ascii="Arial Narrow" w:eastAsia="仿宋_GB2312" w:hAnsi="Arial Narrow" w:cs="楷体"/>
          <w:b w:val="0"/>
          <w:iCs w:val="0"/>
          <w:color w:val="002060"/>
          <w:sz w:val="22"/>
          <w:szCs w:val="22"/>
        </w:rPr>
        <w:t>确定与</w:t>
      </w:r>
      <w:bookmarkStart w:id="701" w:name="_Hlk43068633"/>
      <w:r>
        <w:rPr>
          <w:rFonts w:ascii="Arial Narrow" w:eastAsia="仿宋_GB2312" w:hAnsi="Arial Narrow" w:cs="楷体"/>
          <w:b w:val="0"/>
          <w:iCs w:val="0"/>
          <w:color w:val="002060"/>
          <w:sz w:val="22"/>
          <w:szCs w:val="22"/>
        </w:rPr>
        <w:t>受测关联交易</w:t>
      </w:r>
      <w:bookmarkEnd w:id="701"/>
      <w:r>
        <w:rPr>
          <w:rFonts w:ascii="Arial Narrow" w:eastAsia="仿宋_GB2312" w:hAnsi="Arial Narrow" w:cs="楷体"/>
          <w:b w:val="0"/>
          <w:iCs w:val="0"/>
          <w:color w:val="002060"/>
          <w:sz w:val="22"/>
          <w:szCs w:val="22"/>
        </w:rPr>
        <w:t>相关的财务数据</w:t>
      </w:r>
      <w:bookmarkEnd w:id="698"/>
      <w:bookmarkEnd w:id="699"/>
      <w:bookmarkEnd w:id="700"/>
    </w:p>
    <w:p w14:paraId="1BD73E79" w14:textId="77777777" w:rsidR="006B4107" w:rsidRDefault="004E70C7">
      <w:pPr>
        <w:spacing w:beforeLines="50" w:before="156" w:afterLines="50" w:after="156" w:line="360" w:lineRule="auto"/>
        <w:ind w:firstLineChars="200" w:firstLine="440"/>
        <w:jc w:val="both"/>
        <w:rPr>
          <w:rFonts w:cs="Arial Unicode MS"/>
        </w:rPr>
      </w:pPr>
      <w:r>
        <w:rPr>
          <w:rFonts w:cs="Arial Unicode MS" w:hint="eastAsia"/>
        </w:rPr>
        <w:t>报告期间，</w:t>
      </w:r>
      <w:proofErr w:type="gramStart"/>
      <w:r>
        <w:rPr>
          <w:rFonts w:cs="Arial Unicode MS" w:hint="eastAsia"/>
        </w:rPr>
        <w:t>远化物流</w:t>
      </w:r>
      <w:proofErr w:type="gramEnd"/>
      <w:r>
        <w:rPr>
          <w:rFonts w:cs="Arial Unicode MS" w:hint="eastAsia"/>
        </w:rPr>
        <w:t>的整体财务数据均与关联交易相关。</w:t>
      </w:r>
      <w:proofErr w:type="gramStart"/>
      <w:r>
        <w:rPr>
          <w:rFonts w:cs="Arial Unicode MS" w:hint="eastAsia"/>
        </w:rPr>
        <w:t>远化物流</w:t>
      </w:r>
      <w:proofErr w:type="gramEnd"/>
      <w:r>
        <w:rPr>
          <w:rFonts w:cs="Arial Unicode MS" w:hint="eastAsia"/>
        </w:rPr>
        <w:t>2</w:t>
      </w:r>
      <w:r>
        <w:rPr>
          <w:rFonts w:cs="Arial Unicode MS"/>
        </w:rPr>
        <w:t>023</w:t>
      </w:r>
      <w:r>
        <w:rPr>
          <w:rFonts w:cs="Arial Unicode MS" w:hint="eastAsia"/>
        </w:rPr>
        <w:t>年度的整体财务数据如下表所示</w:t>
      </w:r>
      <w:r>
        <w:rPr>
          <w:rFonts w:cs="Arial Unicode MS" w:hint="eastAsia"/>
        </w:rPr>
        <w:t>:</w:t>
      </w:r>
      <w:r>
        <w:rPr>
          <w:rFonts w:cs="Arial Unicode MS"/>
        </w:rPr>
        <w:t>。</w:t>
      </w:r>
    </w:p>
    <w:p w14:paraId="2B84737C" w14:textId="77777777" w:rsidR="006B4107" w:rsidRDefault="006B4107">
      <w:pPr>
        <w:spacing w:beforeLines="50" w:before="156" w:afterLines="50" w:after="156" w:line="360" w:lineRule="auto"/>
        <w:ind w:firstLineChars="200" w:firstLine="440"/>
        <w:jc w:val="both"/>
      </w:pPr>
    </w:p>
    <w:p w14:paraId="134F397C" w14:textId="77777777" w:rsidR="006B4107" w:rsidRDefault="006B4107">
      <w:pPr>
        <w:spacing w:beforeLines="50" w:before="156" w:afterLines="50" w:after="156" w:line="360" w:lineRule="auto"/>
        <w:ind w:firstLineChars="200" w:firstLine="440"/>
        <w:jc w:val="both"/>
      </w:pPr>
    </w:p>
    <w:p w14:paraId="615D10ED" w14:textId="77777777" w:rsidR="006B4107" w:rsidRDefault="004E70C7">
      <w:pPr>
        <w:pStyle w:val="a6"/>
        <w:ind w:left="420" w:hanging="420"/>
        <w:jc w:val="center"/>
        <w:rPr>
          <w:rFonts w:ascii="仿宋" w:eastAsia="仿宋" w:hAnsi="仿宋"/>
        </w:rPr>
      </w:pPr>
      <w:r>
        <w:rPr>
          <w:rFonts w:ascii="仿宋" w:eastAsia="仿宋" w:hAnsi="仿宋"/>
        </w:rPr>
        <w:lastRenderedPageBreak/>
        <w:t>图表</w:t>
      </w:r>
      <w:r>
        <w:rPr>
          <w:rFonts w:eastAsia="仿宋" w:cs="Arial Narrow"/>
        </w:rPr>
        <w:t>19</w:t>
      </w:r>
      <w:r>
        <w:rPr>
          <w:rFonts w:ascii="仿宋" w:eastAsia="仿宋" w:hAnsi="仿宋"/>
        </w:rPr>
        <w:t>：</w:t>
      </w:r>
      <w:proofErr w:type="gramStart"/>
      <w:r>
        <w:rPr>
          <w:rFonts w:ascii="仿宋" w:eastAsia="仿宋" w:hAnsi="仿宋" w:hint="eastAsia"/>
        </w:rPr>
        <w:t>远化物流</w:t>
      </w:r>
      <w:proofErr w:type="gramEnd"/>
      <w:r>
        <w:rPr>
          <w:rFonts w:ascii="仿宋" w:eastAsia="仿宋" w:hAnsi="仿宋"/>
        </w:rPr>
        <w:t>2023</w:t>
      </w:r>
      <w:r>
        <w:rPr>
          <w:rFonts w:ascii="仿宋" w:eastAsia="仿宋" w:hAnsi="仿宋"/>
        </w:rPr>
        <w:t>年度</w:t>
      </w:r>
      <w:r>
        <w:rPr>
          <w:rFonts w:ascii="仿宋" w:eastAsia="仿宋" w:hAnsi="仿宋" w:hint="eastAsia"/>
        </w:rPr>
        <w:t>财务数据</w:t>
      </w:r>
    </w:p>
    <w:tbl>
      <w:tblPr>
        <w:tblW w:w="7087" w:type="dxa"/>
        <w:tblInd w:w="841" w:type="dxa"/>
        <w:tblCellMar>
          <w:left w:w="0" w:type="dxa"/>
          <w:right w:w="0" w:type="dxa"/>
        </w:tblCellMar>
        <w:tblLook w:val="04A0" w:firstRow="1" w:lastRow="0" w:firstColumn="1" w:lastColumn="0" w:noHBand="0" w:noVBand="1"/>
      </w:tblPr>
      <w:tblGrid>
        <w:gridCol w:w="2835"/>
        <w:gridCol w:w="1753"/>
        <w:gridCol w:w="2499"/>
      </w:tblGrid>
      <w:tr w:rsidR="006B4107" w14:paraId="3FBA17AB" w14:textId="77777777">
        <w:trPr>
          <w:trHeight w:val="363"/>
        </w:trPr>
        <w:tc>
          <w:tcPr>
            <w:tcW w:w="2835" w:type="dxa"/>
            <w:vMerge w:val="restart"/>
            <w:tcBorders>
              <w:top w:val="single" w:sz="8" w:space="0" w:color="auto"/>
              <w:left w:val="single" w:sz="8" w:space="0" w:color="000000"/>
              <w:bottom w:val="single" w:sz="4" w:space="0" w:color="auto"/>
              <w:right w:val="single" w:sz="4" w:space="0" w:color="auto"/>
            </w:tcBorders>
            <w:shd w:val="clear" w:color="auto" w:fill="002060"/>
            <w:tcMar>
              <w:top w:w="15" w:type="dxa"/>
              <w:left w:w="15" w:type="dxa"/>
              <w:bottom w:w="0" w:type="dxa"/>
              <w:right w:w="15" w:type="dxa"/>
            </w:tcMar>
            <w:vAlign w:val="center"/>
          </w:tcPr>
          <w:p w14:paraId="4A5F4DDB" w14:textId="77777777" w:rsidR="006B4107" w:rsidRDefault="004E70C7">
            <w:pPr>
              <w:jc w:val="center"/>
              <w:rPr>
                <w:rFonts w:ascii="仿宋" w:eastAsia="仿宋" w:hAnsi="仿宋" w:cs="楷体"/>
                <w:b/>
                <w:bCs/>
                <w:color w:val="FFFFFF" w:themeColor="background1"/>
              </w:rPr>
            </w:pPr>
            <w:r>
              <w:rPr>
                <w:rFonts w:ascii="仿宋" w:eastAsia="仿宋" w:hAnsi="仿宋" w:cs="楷体"/>
                <w:b/>
                <w:bCs/>
                <w:color w:val="FFFFFF" w:themeColor="background1"/>
              </w:rPr>
              <w:t>项目</w:t>
            </w:r>
          </w:p>
        </w:tc>
        <w:tc>
          <w:tcPr>
            <w:tcW w:w="1753" w:type="dxa"/>
            <w:vMerge w:val="restart"/>
            <w:tcBorders>
              <w:top w:val="single" w:sz="8" w:space="0" w:color="auto"/>
              <w:left w:val="single" w:sz="4" w:space="0" w:color="auto"/>
              <w:bottom w:val="single" w:sz="4" w:space="0" w:color="auto"/>
              <w:right w:val="single" w:sz="4" w:space="0" w:color="auto"/>
            </w:tcBorders>
            <w:shd w:val="clear" w:color="auto" w:fill="002060"/>
            <w:tcMar>
              <w:top w:w="15" w:type="dxa"/>
              <w:left w:w="15" w:type="dxa"/>
              <w:bottom w:w="0" w:type="dxa"/>
              <w:right w:w="15" w:type="dxa"/>
            </w:tcMar>
            <w:vAlign w:val="center"/>
          </w:tcPr>
          <w:p w14:paraId="453AAAC4" w14:textId="77777777" w:rsidR="006B4107" w:rsidRDefault="004E70C7">
            <w:pPr>
              <w:jc w:val="center"/>
              <w:rPr>
                <w:rFonts w:ascii="仿宋" w:eastAsia="仿宋" w:hAnsi="仿宋" w:cs="楷体"/>
                <w:b/>
                <w:bCs/>
                <w:color w:val="FFFFFF" w:themeColor="background1"/>
              </w:rPr>
            </w:pPr>
            <w:r>
              <w:rPr>
                <w:rFonts w:ascii="仿宋" w:eastAsia="仿宋" w:hAnsi="仿宋" w:cs="楷体"/>
                <w:b/>
                <w:bCs/>
                <w:color w:val="FFFFFF" w:themeColor="background1"/>
              </w:rPr>
              <w:t>公式</w:t>
            </w:r>
          </w:p>
        </w:tc>
        <w:tc>
          <w:tcPr>
            <w:tcW w:w="2499" w:type="dxa"/>
            <w:tcBorders>
              <w:top w:val="single" w:sz="8" w:space="0" w:color="000000"/>
              <w:left w:val="single" w:sz="4" w:space="0" w:color="auto"/>
              <w:bottom w:val="single" w:sz="4" w:space="0" w:color="auto"/>
              <w:right w:val="single" w:sz="8" w:space="0" w:color="000000"/>
            </w:tcBorders>
            <w:shd w:val="clear" w:color="auto" w:fill="002060"/>
            <w:tcMar>
              <w:top w:w="15" w:type="dxa"/>
              <w:left w:w="15" w:type="dxa"/>
              <w:bottom w:w="0" w:type="dxa"/>
              <w:right w:w="15" w:type="dxa"/>
            </w:tcMar>
            <w:vAlign w:val="center"/>
          </w:tcPr>
          <w:p w14:paraId="76B603BB" w14:textId="77777777" w:rsidR="006B4107" w:rsidRDefault="004E70C7">
            <w:pPr>
              <w:jc w:val="center"/>
              <w:rPr>
                <w:rFonts w:ascii="仿宋" w:eastAsia="仿宋" w:hAnsi="仿宋" w:cs="楷体"/>
                <w:b/>
                <w:bCs/>
                <w:color w:val="FFFFFF" w:themeColor="background1"/>
              </w:rPr>
            </w:pPr>
            <w:r>
              <w:rPr>
                <w:rFonts w:ascii="仿宋" w:eastAsia="仿宋" w:hAnsi="仿宋" w:cs="楷体"/>
                <w:b/>
                <w:bCs/>
                <w:color w:val="FFFFFF" w:themeColor="background1"/>
              </w:rPr>
              <w:t>金额</w:t>
            </w:r>
          </w:p>
        </w:tc>
      </w:tr>
      <w:tr w:rsidR="006B4107" w14:paraId="299A63BE" w14:textId="77777777">
        <w:trPr>
          <w:trHeight w:val="244"/>
        </w:trPr>
        <w:tc>
          <w:tcPr>
            <w:tcW w:w="2835" w:type="dxa"/>
            <w:vMerge/>
            <w:tcBorders>
              <w:top w:val="single" w:sz="4" w:space="0" w:color="auto"/>
              <w:left w:val="single" w:sz="8" w:space="0" w:color="000000"/>
              <w:bottom w:val="single" w:sz="4" w:space="0" w:color="auto"/>
              <w:right w:val="single" w:sz="4" w:space="0" w:color="auto"/>
            </w:tcBorders>
            <w:shd w:val="clear" w:color="auto" w:fill="002060"/>
            <w:vAlign w:val="center"/>
          </w:tcPr>
          <w:p w14:paraId="612AC2FA" w14:textId="77777777" w:rsidR="006B4107" w:rsidRDefault="006B4107">
            <w:pPr>
              <w:jc w:val="center"/>
              <w:rPr>
                <w:rFonts w:ascii="仿宋" w:eastAsia="仿宋" w:hAnsi="仿宋" w:cs="楷体"/>
                <w:b/>
                <w:bCs/>
                <w:color w:val="FFFFFF" w:themeColor="background1"/>
              </w:rPr>
            </w:pPr>
          </w:p>
        </w:tc>
        <w:tc>
          <w:tcPr>
            <w:tcW w:w="1753" w:type="dxa"/>
            <w:vMerge/>
            <w:tcBorders>
              <w:top w:val="single" w:sz="4" w:space="0" w:color="auto"/>
              <w:left w:val="single" w:sz="4" w:space="0" w:color="auto"/>
              <w:bottom w:val="single" w:sz="4" w:space="0" w:color="auto"/>
              <w:right w:val="single" w:sz="4" w:space="0" w:color="auto"/>
            </w:tcBorders>
            <w:shd w:val="clear" w:color="auto" w:fill="002060"/>
            <w:vAlign w:val="center"/>
          </w:tcPr>
          <w:p w14:paraId="4086D214" w14:textId="77777777" w:rsidR="006B4107" w:rsidRDefault="006B4107">
            <w:pPr>
              <w:jc w:val="center"/>
              <w:rPr>
                <w:rFonts w:ascii="仿宋" w:eastAsia="仿宋" w:hAnsi="仿宋" w:cs="楷体"/>
                <w:b/>
                <w:bCs/>
                <w:color w:val="FFFFFF" w:themeColor="background1"/>
              </w:rPr>
            </w:pPr>
          </w:p>
        </w:tc>
        <w:tc>
          <w:tcPr>
            <w:tcW w:w="2499" w:type="dxa"/>
            <w:tcBorders>
              <w:top w:val="single" w:sz="4" w:space="0" w:color="auto"/>
              <w:left w:val="single" w:sz="4" w:space="0" w:color="auto"/>
              <w:bottom w:val="single" w:sz="4" w:space="0" w:color="auto"/>
              <w:right w:val="single" w:sz="8" w:space="0" w:color="000000"/>
            </w:tcBorders>
            <w:shd w:val="clear" w:color="auto" w:fill="002060"/>
            <w:tcMar>
              <w:top w:w="15" w:type="dxa"/>
              <w:left w:w="15" w:type="dxa"/>
              <w:bottom w:w="0" w:type="dxa"/>
              <w:right w:w="15" w:type="dxa"/>
            </w:tcMar>
            <w:vAlign w:val="center"/>
          </w:tcPr>
          <w:p w14:paraId="0F361A44" w14:textId="77777777" w:rsidR="006B4107" w:rsidRDefault="004E70C7">
            <w:pPr>
              <w:jc w:val="center"/>
              <w:rPr>
                <w:rFonts w:ascii="仿宋" w:eastAsia="仿宋" w:hAnsi="仿宋" w:cs="楷体"/>
                <w:b/>
                <w:bCs/>
                <w:color w:val="FFFFFF" w:themeColor="background1"/>
              </w:rPr>
            </w:pPr>
            <w:r>
              <w:rPr>
                <w:rFonts w:ascii="仿宋" w:eastAsia="仿宋" w:hAnsi="仿宋" w:cs="楷体"/>
                <w:b/>
                <w:bCs/>
                <w:color w:val="FFFFFF" w:themeColor="background1"/>
              </w:rPr>
              <w:t>人民币元</w:t>
            </w:r>
          </w:p>
        </w:tc>
      </w:tr>
      <w:tr w:rsidR="006B4107" w14:paraId="0C79720B" w14:textId="77777777">
        <w:trPr>
          <w:trHeight w:val="363"/>
        </w:trPr>
        <w:tc>
          <w:tcPr>
            <w:tcW w:w="2835" w:type="dxa"/>
            <w:tcBorders>
              <w:top w:val="single" w:sz="4" w:space="0" w:color="auto"/>
              <w:left w:val="single" w:sz="8" w:space="0" w:color="000000"/>
              <w:bottom w:val="single" w:sz="4" w:space="0" w:color="auto"/>
              <w:right w:val="single" w:sz="4" w:space="0" w:color="auto"/>
            </w:tcBorders>
            <w:shd w:val="clear" w:color="auto" w:fill="auto"/>
            <w:tcMar>
              <w:top w:w="15" w:type="dxa"/>
              <w:left w:w="15" w:type="dxa"/>
              <w:bottom w:w="0" w:type="dxa"/>
              <w:right w:w="15" w:type="dxa"/>
            </w:tcMar>
            <w:vAlign w:val="center"/>
          </w:tcPr>
          <w:p w14:paraId="22F13CFA" w14:textId="77777777" w:rsidR="006B4107" w:rsidRDefault="004E70C7">
            <w:pPr>
              <w:jc w:val="both"/>
              <w:rPr>
                <w:rFonts w:cs="楷体"/>
                <w:color w:val="000000"/>
              </w:rPr>
            </w:pPr>
            <w:r>
              <w:rPr>
                <w:rFonts w:cs="楷体"/>
                <w:color w:val="000000"/>
              </w:rPr>
              <w:t>营业收入</w:t>
            </w:r>
          </w:p>
        </w:tc>
        <w:tc>
          <w:tcPr>
            <w:tcW w:w="1753"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14:paraId="1BBD0B34" w14:textId="77777777" w:rsidR="006B4107" w:rsidRDefault="004E70C7">
            <w:pPr>
              <w:jc w:val="center"/>
              <w:rPr>
                <w:rFonts w:cs="楷体"/>
                <w:bCs/>
                <w:color w:val="000000"/>
              </w:rPr>
            </w:pPr>
            <w:r>
              <w:rPr>
                <w:rFonts w:cs="楷体"/>
                <w:bCs/>
                <w:color w:val="000000"/>
              </w:rPr>
              <w:t>[A]</w:t>
            </w:r>
          </w:p>
        </w:tc>
        <w:tc>
          <w:tcPr>
            <w:tcW w:w="2499"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3E638F33" w14:textId="77777777" w:rsidR="006B4107" w:rsidRDefault="004E70C7">
            <w:pPr>
              <w:jc w:val="right"/>
              <w:rPr>
                <w:rFonts w:cs="楷体"/>
                <w:color w:val="000000"/>
              </w:rPr>
            </w:pPr>
            <w:r>
              <w:rPr>
                <w:rFonts w:eastAsia="等线"/>
                <w:color w:val="000000"/>
              </w:rPr>
              <w:t>48,639,289.41</w:t>
            </w:r>
          </w:p>
        </w:tc>
      </w:tr>
      <w:tr w:rsidR="006B4107" w14:paraId="127E40C4" w14:textId="77777777">
        <w:trPr>
          <w:trHeight w:val="363"/>
        </w:trPr>
        <w:tc>
          <w:tcPr>
            <w:tcW w:w="2835" w:type="dxa"/>
            <w:tcBorders>
              <w:top w:val="single" w:sz="4" w:space="0" w:color="auto"/>
              <w:left w:val="single" w:sz="8" w:space="0" w:color="000000"/>
              <w:bottom w:val="single" w:sz="4" w:space="0" w:color="auto"/>
              <w:right w:val="single" w:sz="4" w:space="0" w:color="auto"/>
            </w:tcBorders>
            <w:shd w:val="clear" w:color="auto" w:fill="auto"/>
            <w:tcMar>
              <w:top w:w="15" w:type="dxa"/>
              <w:left w:w="15" w:type="dxa"/>
              <w:bottom w:w="0" w:type="dxa"/>
              <w:right w:w="15" w:type="dxa"/>
            </w:tcMar>
            <w:vAlign w:val="center"/>
          </w:tcPr>
          <w:p w14:paraId="2A18D3A8" w14:textId="77777777" w:rsidR="006B4107" w:rsidRDefault="004E70C7">
            <w:pPr>
              <w:jc w:val="both"/>
              <w:rPr>
                <w:rFonts w:cs="楷体"/>
                <w:color w:val="000000"/>
              </w:rPr>
            </w:pPr>
            <w:r>
              <w:rPr>
                <w:rFonts w:cs="楷体"/>
                <w:color w:val="000000"/>
              </w:rPr>
              <w:t>营业成本</w:t>
            </w:r>
          </w:p>
        </w:tc>
        <w:tc>
          <w:tcPr>
            <w:tcW w:w="1753"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14:paraId="157CAEB3" w14:textId="77777777" w:rsidR="006B4107" w:rsidRDefault="004E70C7">
            <w:pPr>
              <w:jc w:val="center"/>
              <w:rPr>
                <w:rFonts w:cs="楷体"/>
                <w:bCs/>
                <w:color w:val="000000"/>
              </w:rPr>
            </w:pPr>
            <w:r>
              <w:rPr>
                <w:rFonts w:cs="楷体"/>
                <w:bCs/>
                <w:color w:val="000000"/>
              </w:rPr>
              <w:t>[B]</w:t>
            </w:r>
          </w:p>
        </w:tc>
        <w:tc>
          <w:tcPr>
            <w:tcW w:w="2499"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6B46B442" w14:textId="77777777" w:rsidR="006B4107" w:rsidRDefault="004E70C7">
            <w:pPr>
              <w:jc w:val="right"/>
              <w:rPr>
                <w:rFonts w:cs="楷体"/>
                <w:color w:val="000000"/>
              </w:rPr>
            </w:pPr>
            <w:r>
              <w:rPr>
                <w:rFonts w:eastAsia="等线"/>
                <w:color w:val="000000"/>
              </w:rPr>
              <w:t>45,936,209.00</w:t>
            </w:r>
          </w:p>
        </w:tc>
      </w:tr>
      <w:tr w:rsidR="006B4107" w14:paraId="650474B8" w14:textId="77777777">
        <w:trPr>
          <w:trHeight w:val="363"/>
        </w:trPr>
        <w:tc>
          <w:tcPr>
            <w:tcW w:w="2835" w:type="dxa"/>
            <w:tcBorders>
              <w:top w:val="single" w:sz="4" w:space="0" w:color="auto"/>
              <w:left w:val="single" w:sz="8" w:space="0" w:color="000000"/>
              <w:bottom w:val="single" w:sz="4" w:space="0" w:color="auto"/>
              <w:right w:val="single" w:sz="4" w:space="0" w:color="auto"/>
            </w:tcBorders>
            <w:shd w:val="clear" w:color="auto" w:fill="auto"/>
            <w:tcMar>
              <w:top w:w="15" w:type="dxa"/>
              <w:left w:w="15" w:type="dxa"/>
              <w:bottom w:w="0" w:type="dxa"/>
              <w:right w:w="15" w:type="dxa"/>
            </w:tcMar>
            <w:vAlign w:val="center"/>
          </w:tcPr>
          <w:p w14:paraId="10874B30" w14:textId="77777777" w:rsidR="006B4107" w:rsidRDefault="004E70C7">
            <w:pPr>
              <w:jc w:val="both"/>
              <w:rPr>
                <w:rFonts w:cs="楷体"/>
                <w:color w:val="000000"/>
              </w:rPr>
            </w:pPr>
            <w:r>
              <w:rPr>
                <w:rFonts w:cs="楷体"/>
                <w:color w:val="000000"/>
              </w:rPr>
              <w:t>营业税金及附加</w:t>
            </w:r>
          </w:p>
        </w:tc>
        <w:tc>
          <w:tcPr>
            <w:tcW w:w="1753"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14:paraId="315C3BD1" w14:textId="77777777" w:rsidR="006B4107" w:rsidRDefault="004E70C7">
            <w:pPr>
              <w:jc w:val="center"/>
              <w:rPr>
                <w:rFonts w:cs="楷体"/>
                <w:bCs/>
                <w:color w:val="000000"/>
              </w:rPr>
            </w:pPr>
            <w:r>
              <w:rPr>
                <w:rFonts w:cs="楷体"/>
                <w:bCs/>
                <w:color w:val="000000"/>
              </w:rPr>
              <w:t>[C]</w:t>
            </w:r>
          </w:p>
        </w:tc>
        <w:tc>
          <w:tcPr>
            <w:tcW w:w="2499"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3A6F906D" w14:textId="77777777" w:rsidR="006B4107" w:rsidRDefault="004E70C7">
            <w:pPr>
              <w:jc w:val="right"/>
              <w:rPr>
                <w:rFonts w:cs="楷体"/>
                <w:color w:val="000000"/>
              </w:rPr>
            </w:pPr>
            <w:r>
              <w:rPr>
                <w:rFonts w:eastAsia="等线"/>
                <w:color w:val="000000"/>
              </w:rPr>
              <w:t>125,324.59</w:t>
            </w:r>
          </w:p>
        </w:tc>
      </w:tr>
      <w:tr w:rsidR="006B4107" w14:paraId="5A73DB1C" w14:textId="77777777">
        <w:trPr>
          <w:trHeight w:val="363"/>
        </w:trPr>
        <w:tc>
          <w:tcPr>
            <w:tcW w:w="2835" w:type="dxa"/>
            <w:tcBorders>
              <w:top w:val="single" w:sz="4" w:space="0" w:color="auto"/>
              <w:left w:val="single" w:sz="8" w:space="0" w:color="000000"/>
              <w:bottom w:val="single" w:sz="4" w:space="0" w:color="auto"/>
              <w:right w:val="single" w:sz="4" w:space="0" w:color="auto"/>
            </w:tcBorders>
            <w:shd w:val="clear" w:color="auto" w:fill="auto"/>
            <w:tcMar>
              <w:top w:w="15" w:type="dxa"/>
              <w:left w:w="15" w:type="dxa"/>
              <w:bottom w:w="0" w:type="dxa"/>
              <w:right w:w="15" w:type="dxa"/>
            </w:tcMar>
            <w:vAlign w:val="center"/>
          </w:tcPr>
          <w:p w14:paraId="76FEAFDA" w14:textId="77777777" w:rsidR="006B4107" w:rsidRDefault="004E70C7">
            <w:pPr>
              <w:jc w:val="both"/>
              <w:rPr>
                <w:rFonts w:cs="楷体"/>
                <w:color w:val="000000"/>
              </w:rPr>
            </w:pPr>
            <w:r>
              <w:rPr>
                <w:rFonts w:cs="楷体" w:hint="eastAsia"/>
                <w:color w:val="000000"/>
              </w:rPr>
              <w:t>主营业务利润</w:t>
            </w:r>
          </w:p>
        </w:tc>
        <w:tc>
          <w:tcPr>
            <w:tcW w:w="1753"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14:paraId="23AD2573" w14:textId="77777777" w:rsidR="006B4107" w:rsidRDefault="004E70C7">
            <w:pPr>
              <w:jc w:val="center"/>
              <w:rPr>
                <w:rFonts w:cs="楷体"/>
                <w:bCs/>
                <w:color w:val="000000"/>
              </w:rPr>
            </w:pPr>
            <w:r>
              <w:rPr>
                <w:rFonts w:cs="楷体"/>
                <w:bCs/>
                <w:color w:val="000000"/>
              </w:rPr>
              <w:t>[D]</w:t>
            </w:r>
            <w:r>
              <w:rPr>
                <w:rFonts w:cs="楷体" w:hint="eastAsia"/>
                <w:bCs/>
                <w:color w:val="000000"/>
              </w:rPr>
              <w:t>=</w:t>
            </w:r>
            <w:r>
              <w:rPr>
                <w:rFonts w:cs="楷体"/>
                <w:bCs/>
                <w:color w:val="000000"/>
              </w:rPr>
              <w:t>[A]-[B]-[C]</w:t>
            </w:r>
          </w:p>
        </w:tc>
        <w:tc>
          <w:tcPr>
            <w:tcW w:w="2499"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44826BF1" w14:textId="77777777" w:rsidR="006B4107" w:rsidRDefault="004E70C7">
            <w:pPr>
              <w:jc w:val="right"/>
              <w:rPr>
                <w:rFonts w:cs="楷体"/>
                <w:color w:val="000000"/>
              </w:rPr>
            </w:pPr>
            <w:r>
              <w:rPr>
                <w:rFonts w:eastAsia="等线"/>
                <w:color w:val="000000"/>
              </w:rPr>
              <w:t>2,577,755.82</w:t>
            </w:r>
          </w:p>
        </w:tc>
      </w:tr>
      <w:tr w:rsidR="006B4107" w14:paraId="143D92AA" w14:textId="77777777">
        <w:trPr>
          <w:trHeight w:val="363"/>
        </w:trPr>
        <w:tc>
          <w:tcPr>
            <w:tcW w:w="2835" w:type="dxa"/>
            <w:tcBorders>
              <w:top w:val="single" w:sz="4" w:space="0" w:color="auto"/>
              <w:left w:val="single" w:sz="8" w:space="0" w:color="000000"/>
              <w:bottom w:val="single" w:sz="4" w:space="0" w:color="auto"/>
              <w:right w:val="single" w:sz="4" w:space="0" w:color="auto"/>
            </w:tcBorders>
            <w:shd w:val="clear" w:color="auto" w:fill="auto"/>
            <w:tcMar>
              <w:top w:w="15" w:type="dxa"/>
              <w:left w:w="15" w:type="dxa"/>
              <w:bottom w:w="0" w:type="dxa"/>
              <w:right w:w="15" w:type="dxa"/>
            </w:tcMar>
            <w:vAlign w:val="center"/>
          </w:tcPr>
          <w:p w14:paraId="29A9A3DB" w14:textId="77777777" w:rsidR="006B4107" w:rsidRDefault="004E70C7">
            <w:pPr>
              <w:jc w:val="both"/>
              <w:rPr>
                <w:rFonts w:cs="楷体"/>
                <w:color w:val="000000"/>
              </w:rPr>
            </w:pPr>
            <w:r>
              <w:rPr>
                <w:rFonts w:cs="楷体" w:hint="eastAsia"/>
                <w:color w:val="000000"/>
              </w:rPr>
              <w:t>营业</w:t>
            </w:r>
            <w:r>
              <w:rPr>
                <w:rFonts w:cs="楷体"/>
                <w:color w:val="000000"/>
              </w:rPr>
              <w:t>费用</w:t>
            </w:r>
          </w:p>
        </w:tc>
        <w:tc>
          <w:tcPr>
            <w:tcW w:w="1753"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14:paraId="6BFFC480" w14:textId="77777777" w:rsidR="006B4107" w:rsidRDefault="004E70C7">
            <w:pPr>
              <w:jc w:val="center"/>
              <w:rPr>
                <w:rFonts w:cs="楷体"/>
                <w:bCs/>
                <w:color w:val="000000"/>
              </w:rPr>
            </w:pPr>
            <w:r>
              <w:rPr>
                <w:rFonts w:cs="楷体"/>
                <w:bCs/>
                <w:color w:val="000000"/>
              </w:rPr>
              <w:t>[E]</w:t>
            </w:r>
          </w:p>
        </w:tc>
        <w:tc>
          <w:tcPr>
            <w:tcW w:w="2499"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4E224854" w14:textId="77777777" w:rsidR="006B4107" w:rsidRDefault="004E70C7">
            <w:pPr>
              <w:jc w:val="right"/>
              <w:rPr>
                <w:rFonts w:cs="楷体"/>
                <w:color w:val="000000"/>
              </w:rPr>
            </w:pPr>
            <w:r>
              <w:rPr>
                <w:rFonts w:eastAsia="等线"/>
                <w:color w:val="000000"/>
              </w:rPr>
              <w:t>0.00</w:t>
            </w:r>
          </w:p>
        </w:tc>
      </w:tr>
      <w:tr w:rsidR="006B4107" w14:paraId="380A5DF3" w14:textId="77777777">
        <w:trPr>
          <w:trHeight w:val="363"/>
        </w:trPr>
        <w:tc>
          <w:tcPr>
            <w:tcW w:w="2835" w:type="dxa"/>
            <w:tcBorders>
              <w:top w:val="single" w:sz="4" w:space="0" w:color="auto"/>
              <w:left w:val="single" w:sz="8" w:space="0" w:color="000000"/>
              <w:bottom w:val="single" w:sz="4" w:space="0" w:color="auto"/>
              <w:right w:val="single" w:sz="4" w:space="0" w:color="auto"/>
            </w:tcBorders>
            <w:shd w:val="clear" w:color="auto" w:fill="auto"/>
            <w:tcMar>
              <w:top w:w="15" w:type="dxa"/>
              <w:left w:w="15" w:type="dxa"/>
              <w:bottom w:w="0" w:type="dxa"/>
              <w:right w:w="15" w:type="dxa"/>
            </w:tcMar>
            <w:vAlign w:val="center"/>
          </w:tcPr>
          <w:p w14:paraId="19303690" w14:textId="77777777" w:rsidR="006B4107" w:rsidRDefault="004E70C7">
            <w:pPr>
              <w:jc w:val="both"/>
              <w:rPr>
                <w:rFonts w:cs="楷体"/>
                <w:color w:val="000000"/>
              </w:rPr>
            </w:pPr>
            <w:r>
              <w:rPr>
                <w:rFonts w:cs="楷体" w:hint="eastAsia"/>
                <w:color w:val="000000"/>
              </w:rPr>
              <w:t>管理费用</w:t>
            </w:r>
          </w:p>
        </w:tc>
        <w:tc>
          <w:tcPr>
            <w:tcW w:w="1753"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14:paraId="69A9EBA1" w14:textId="77777777" w:rsidR="006B4107" w:rsidRDefault="004E70C7">
            <w:pPr>
              <w:jc w:val="center"/>
              <w:rPr>
                <w:rFonts w:cs="楷体"/>
                <w:bCs/>
                <w:color w:val="000000"/>
              </w:rPr>
            </w:pPr>
            <w:r>
              <w:rPr>
                <w:rFonts w:cs="楷体"/>
                <w:bCs/>
                <w:color w:val="000000"/>
              </w:rPr>
              <w:t>[F]</w:t>
            </w:r>
          </w:p>
        </w:tc>
        <w:tc>
          <w:tcPr>
            <w:tcW w:w="2499"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36C17DF8" w14:textId="77777777" w:rsidR="006B4107" w:rsidRDefault="004E70C7">
            <w:pPr>
              <w:jc w:val="right"/>
              <w:rPr>
                <w:rFonts w:eastAsia="等线"/>
                <w:color w:val="000000"/>
              </w:rPr>
            </w:pPr>
            <w:r>
              <w:rPr>
                <w:rFonts w:eastAsia="等线"/>
                <w:color w:val="000000"/>
              </w:rPr>
              <w:t>885,860.73</w:t>
            </w:r>
          </w:p>
        </w:tc>
      </w:tr>
      <w:tr w:rsidR="006B4107" w14:paraId="6263307B" w14:textId="77777777">
        <w:trPr>
          <w:trHeight w:val="363"/>
        </w:trPr>
        <w:tc>
          <w:tcPr>
            <w:tcW w:w="2835" w:type="dxa"/>
            <w:tcBorders>
              <w:top w:val="single" w:sz="4" w:space="0" w:color="auto"/>
              <w:left w:val="single" w:sz="8" w:space="0" w:color="000000"/>
              <w:bottom w:val="single" w:sz="4" w:space="0" w:color="auto"/>
              <w:right w:val="single" w:sz="4" w:space="0" w:color="auto"/>
            </w:tcBorders>
            <w:shd w:val="clear" w:color="auto" w:fill="auto"/>
            <w:tcMar>
              <w:top w:w="15" w:type="dxa"/>
              <w:left w:w="15" w:type="dxa"/>
              <w:bottom w:w="0" w:type="dxa"/>
              <w:right w:w="15" w:type="dxa"/>
            </w:tcMar>
            <w:vAlign w:val="center"/>
          </w:tcPr>
          <w:p w14:paraId="00C2F85E" w14:textId="77777777" w:rsidR="006B4107" w:rsidRDefault="004E70C7">
            <w:pPr>
              <w:jc w:val="both"/>
              <w:rPr>
                <w:rFonts w:cs="楷体"/>
                <w:color w:val="000000"/>
              </w:rPr>
            </w:pPr>
            <w:r>
              <w:rPr>
                <w:rFonts w:cs="楷体"/>
                <w:color w:val="000000"/>
              </w:rPr>
              <w:t>资产减值损失</w:t>
            </w:r>
          </w:p>
        </w:tc>
        <w:tc>
          <w:tcPr>
            <w:tcW w:w="1753"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14:paraId="52BECD65" w14:textId="77777777" w:rsidR="006B4107" w:rsidRDefault="004E70C7">
            <w:pPr>
              <w:jc w:val="center"/>
              <w:rPr>
                <w:rFonts w:cs="楷体"/>
                <w:bCs/>
                <w:color w:val="000000"/>
              </w:rPr>
            </w:pPr>
            <w:r>
              <w:rPr>
                <w:rFonts w:cs="楷体"/>
                <w:bCs/>
                <w:color w:val="000000"/>
              </w:rPr>
              <w:t>[G]</w:t>
            </w:r>
          </w:p>
        </w:tc>
        <w:tc>
          <w:tcPr>
            <w:tcW w:w="2499"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7CDA6BB6" w14:textId="77777777" w:rsidR="006B4107" w:rsidRDefault="004E70C7">
            <w:pPr>
              <w:jc w:val="right"/>
              <w:rPr>
                <w:rFonts w:cs="楷体"/>
                <w:color w:val="000000"/>
              </w:rPr>
            </w:pPr>
            <w:r>
              <w:rPr>
                <w:rFonts w:eastAsia="等线"/>
                <w:color w:val="000000"/>
              </w:rPr>
              <w:t>0.00</w:t>
            </w:r>
          </w:p>
        </w:tc>
      </w:tr>
      <w:tr w:rsidR="006B4107" w14:paraId="36271EA0" w14:textId="77777777">
        <w:trPr>
          <w:trHeight w:val="363"/>
        </w:trPr>
        <w:tc>
          <w:tcPr>
            <w:tcW w:w="2835" w:type="dxa"/>
            <w:tcBorders>
              <w:top w:val="single" w:sz="4" w:space="0" w:color="auto"/>
              <w:left w:val="single" w:sz="8" w:space="0" w:color="000000"/>
              <w:bottom w:val="single" w:sz="4" w:space="0" w:color="auto"/>
              <w:right w:val="single" w:sz="4" w:space="0" w:color="auto"/>
            </w:tcBorders>
            <w:shd w:val="clear" w:color="auto" w:fill="auto"/>
            <w:tcMar>
              <w:top w:w="15" w:type="dxa"/>
              <w:left w:w="15" w:type="dxa"/>
              <w:bottom w:w="0" w:type="dxa"/>
              <w:right w:w="15" w:type="dxa"/>
            </w:tcMar>
            <w:vAlign w:val="center"/>
          </w:tcPr>
          <w:p w14:paraId="1247D932" w14:textId="77777777" w:rsidR="006B4107" w:rsidRDefault="004E70C7">
            <w:pPr>
              <w:jc w:val="both"/>
              <w:rPr>
                <w:rFonts w:cs="楷体"/>
                <w:color w:val="000000"/>
              </w:rPr>
            </w:pPr>
            <w:proofErr w:type="gramStart"/>
            <w:r>
              <w:rPr>
                <w:rFonts w:cs="楷体"/>
                <w:color w:val="000000"/>
              </w:rPr>
              <w:t>息</w:t>
            </w:r>
            <w:proofErr w:type="gramEnd"/>
            <w:r>
              <w:rPr>
                <w:rFonts w:cs="楷体"/>
                <w:color w:val="000000"/>
              </w:rPr>
              <w:t>税前利润</w:t>
            </w:r>
          </w:p>
        </w:tc>
        <w:tc>
          <w:tcPr>
            <w:tcW w:w="1753"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14:paraId="696405F7" w14:textId="77777777" w:rsidR="006B4107" w:rsidRDefault="004E70C7">
            <w:pPr>
              <w:jc w:val="center"/>
              <w:rPr>
                <w:rFonts w:cs="楷体"/>
                <w:bCs/>
                <w:color w:val="000000"/>
              </w:rPr>
            </w:pPr>
            <w:r>
              <w:rPr>
                <w:rFonts w:cs="楷体"/>
                <w:bCs/>
                <w:color w:val="000000"/>
              </w:rPr>
              <w:t>[H]=[D]-[E]-[F]-[G]</w:t>
            </w:r>
          </w:p>
        </w:tc>
        <w:tc>
          <w:tcPr>
            <w:tcW w:w="2499" w:type="dxa"/>
            <w:tcBorders>
              <w:top w:val="single" w:sz="4" w:space="0" w:color="auto"/>
              <w:left w:val="single" w:sz="4" w:space="0" w:color="auto"/>
              <w:bottom w:val="single" w:sz="4" w:space="0" w:color="auto"/>
              <w:right w:val="single" w:sz="8" w:space="0" w:color="000000"/>
            </w:tcBorders>
            <w:shd w:val="clear" w:color="auto" w:fill="auto"/>
            <w:tcMar>
              <w:top w:w="15" w:type="dxa"/>
              <w:left w:w="15" w:type="dxa"/>
              <w:bottom w:w="0" w:type="dxa"/>
              <w:right w:w="15" w:type="dxa"/>
            </w:tcMar>
            <w:vAlign w:val="center"/>
          </w:tcPr>
          <w:p w14:paraId="3D45B46A" w14:textId="77777777" w:rsidR="006B4107" w:rsidRDefault="004E70C7">
            <w:pPr>
              <w:jc w:val="right"/>
              <w:rPr>
                <w:rFonts w:cs="楷体"/>
                <w:color w:val="000000"/>
              </w:rPr>
            </w:pPr>
            <w:r>
              <w:rPr>
                <w:rFonts w:cs="楷体"/>
                <w:color w:val="000000"/>
              </w:rPr>
              <w:t>1,691,895.09</w:t>
            </w:r>
          </w:p>
        </w:tc>
      </w:tr>
      <w:tr w:rsidR="006B4107" w14:paraId="0B762CE0" w14:textId="77777777">
        <w:trPr>
          <w:trHeight w:val="363"/>
        </w:trPr>
        <w:tc>
          <w:tcPr>
            <w:tcW w:w="2835" w:type="dxa"/>
            <w:tcBorders>
              <w:top w:val="single" w:sz="4" w:space="0" w:color="auto"/>
              <w:left w:val="single" w:sz="8" w:space="0" w:color="000000"/>
              <w:bottom w:val="single" w:sz="4" w:space="0" w:color="auto"/>
              <w:right w:val="single" w:sz="4" w:space="0" w:color="auto"/>
            </w:tcBorders>
            <w:shd w:val="clear" w:color="auto" w:fill="auto"/>
            <w:tcMar>
              <w:top w:w="15" w:type="dxa"/>
              <w:left w:w="15" w:type="dxa"/>
              <w:bottom w:w="0" w:type="dxa"/>
              <w:right w:w="15" w:type="dxa"/>
            </w:tcMar>
            <w:vAlign w:val="center"/>
          </w:tcPr>
          <w:p w14:paraId="15CEAAFB" w14:textId="77777777" w:rsidR="006B4107" w:rsidRDefault="004E70C7">
            <w:pPr>
              <w:jc w:val="both"/>
              <w:rPr>
                <w:rFonts w:cs="楷体"/>
                <w:color w:val="000000"/>
              </w:rPr>
            </w:pPr>
            <w:r>
              <w:rPr>
                <w:rFonts w:cs="楷体" w:hint="eastAsia"/>
                <w:color w:val="000000"/>
              </w:rPr>
              <w:t>完全成本</w:t>
            </w:r>
          </w:p>
        </w:tc>
        <w:tc>
          <w:tcPr>
            <w:tcW w:w="1753"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14:paraId="34822445" w14:textId="77777777" w:rsidR="006B4107" w:rsidRDefault="004E70C7">
            <w:pPr>
              <w:jc w:val="center"/>
              <w:rPr>
                <w:rFonts w:cs="楷体"/>
                <w:bCs/>
                <w:color w:val="000000"/>
              </w:rPr>
            </w:pPr>
            <w:r>
              <w:rPr>
                <w:rFonts w:cs="楷体"/>
                <w:bCs/>
                <w:color w:val="000000"/>
              </w:rPr>
              <w:t>[I]=[B]+[C]+[E]+[F]</w:t>
            </w:r>
            <w:r>
              <w:rPr>
                <w:rFonts w:cs="楷体"/>
                <w:bCs/>
                <w:color w:val="000000"/>
              </w:rPr>
              <w:br/>
              <w:t>+[G]</w:t>
            </w:r>
          </w:p>
        </w:tc>
        <w:tc>
          <w:tcPr>
            <w:tcW w:w="2499" w:type="dxa"/>
            <w:tcBorders>
              <w:top w:val="single" w:sz="4" w:space="0" w:color="auto"/>
              <w:left w:val="single" w:sz="4" w:space="0" w:color="auto"/>
              <w:bottom w:val="single" w:sz="4" w:space="0" w:color="auto"/>
              <w:right w:val="single" w:sz="8" w:space="0" w:color="000000"/>
            </w:tcBorders>
            <w:shd w:val="clear" w:color="auto" w:fill="auto"/>
            <w:tcMar>
              <w:top w:w="15" w:type="dxa"/>
              <w:left w:w="15" w:type="dxa"/>
              <w:bottom w:w="0" w:type="dxa"/>
              <w:right w:w="15" w:type="dxa"/>
            </w:tcMar>
            <w:vAlign w:val="center"/>
          </w:tcPr>
          <w:p w14:paraId="7FB630AC" w14:textId="77777777" w:rsidR="006B4107" w:rsidRDefault="004E70C7">
            <w:pPr>
              <w:jc w:val="right"/>
              <w:rPr>
                <w:rFonts w:cs="楷体"/>
                <w:color w:val="000000"/>
              </w:rPr>
            </w:pPr>
            <w:r>
              <w:rPr>
                <w:rFonts w:cs="楷体"/>
                <w:color w:val="000000"/>
              </w:rPr>
              <w:t>46,947,394.32</w:t>
            </w:r>
          </w:p>
        </w:tc>
      </w:tr>
      <w:tr w:rsidR="006B4107" w14:paraId="55898F1F" w14:textId="77777777">
        <w:trPr>
          <w:trHeight w:val="363"/>
        </w:trPr>
        <w:tc>
          <w:tcPr>
            <w:tcW w:w="2835" w:type="dxa"/>
            <w:tcBorders>
              <w:top w:val="single" w:sz="4" w:space="0" w:color="auto"/>
              <w:left w:val="single" w:sz="8" w:space="0" w:color="000000"/>
              <w:bottom w:val="single" w:sz="8" w:space="0" w:color="000000"/>
              <w:right w:val="single" w:sz="4" w:space="0" w:color="auto"/>
            </w:tcBorders>
            <w:shd w:val="clear" w:color="auto" w:fill="auto"/>
            <w:tcMar>
              <w:top w:w="15" w:type="dxa"/>
              <w:left w:w="15" w:type="dxa"/>
              <w:bottom w:w="0" w:type="dxa"/>
              <w:right w:w="15" w:type="dxa"/>
            </w:tcMar>
            <w:vAlign w:val="center"/>
          </w:tcPr>
          <w:p w14:paraId="4FA4408D" w14:textId="77777777" w:rsidR="006B4107" w:rsidRDefault="004E70C7">
            <w:pPr>
              <w:jc w:val="both"/>
              <w:rPr>
                <w:rFonts w:cs="楷体"/>
                <w:bCs/>
                <w:color w:val="000000"/>
              </w:rPr>
            </w:pPr>
            <w:r>
              <w:rPr>
                <w:rFonts w:cs="楷体"/>
                <w:bCs/>
                <w:color w:val="000000"/>
              </w:rPr>
              <w:t>完全成本加成率</w:t>
            </w:r>
          </w:p>
        </w:tc>
        <w:tc>
          <w:tcPr>
            <w:tcW w:w="1753" w:type="dxa"/>
            <w:tcBorders>
              <w:top w:val="single" w:sz="4" w:space="0" w:color="auto"/>
              <w:left w:val="single" w:sz="4" w:space="0" w:color="auto"/>
              <w:bottom w:val="single" w:sz="8" w:space="0" w:color="000000"/>
              <w:right w:val="single" w:sz="4" w:space="0" w:color="auto"/>
            </w:tcBorders>
            <w:shd w:val="clear" w:color="auto" w:fill="auto"/>
            <w:tcMar>
              <w:top w:w="15" w:type="dxa"/>
              <w:left w:w="15" w:type="dxa"/>
              <w:bottom w:w="0" w:type="dxa"/>
              <w:right w:w="15" w:type="dxa"/>
            </w:tcMar>
            <w:vAlign w:val="center"/>
          </w:tcPr>
          <w:p w14:paraId="6B4D3D62" w14:textId="77777777" w:rsidR="006B4107" w:rsidRDefault="004E70C7">
            <w:pPr>
              <w:jc w:val="center"/>
              <w:rPr>
                <w:rFonts w:cs="楷体"/>
                <w:bCs/>
                <w:color w:val="000000"/>
              </w:rPr>
            </w:pPr>
            <w:r>
              <w:rPr>
                <w:rFonts w:cs="楷体"/>
                <w:bCs/>
                <w:color w:val="000000"/>
              </w:rPr>
              <w:t>[J]=[H]/[I]</w:t>
            </w:r>
          </w:p>
        </w:tc>
        <w:tc>
          <w:tcPr>
            <w:tcW w:w="2499" w:type="dxa"/>
            <w:tcBorders>
              <w:top w:val="single" w:sz="4" w:space="0" w:color="auto"/>
              <w:left w:val="single" w:sz="4" w:space="0" w:color="auto"/>
              <w:bottom w:val="single" w:sz="8" w:space="0" w:color="000000"/>
              <w:right w:val="single" w:sz="8" w:space="0" w:color="000000"/>
            </w:tcBorders>
            <w:shd w:val="clear" w:color="auto" w:fill="auto"/>
            <w:tcMar>
              <w:top w:w="15" w:type="dxa"/>
              <w:left w:w="15" w:type="dxa"/>
              <w:bottom w:w="0" w:type="dxa"/>
              <w:right w:w="15" w:type="dxa"/>
            </w:tcMar>
            <w:vAlign w:val="center"/>
          </w:tcPr>
          <w:p w14:paraId="0D38C27B" w14:textId="77777777" w:rsidR="006B4107" w:rsidRDefault="004E70C7">
            <w:pPr>
              <w:jc w:val="right"/>
              <w:rPr>
                <w:rFonts w:cs="楷体"/>
                <w:color w:val="000000"/>
              </w:rPr>
            </w:pPr>
            <w:r>
              <w:rPr>
                <w:rFonts w:cs="楷体"/>
                <w:color w:val="000000"/>
              </w:rPr>
              <w:t>3.60%</w:t>
            </w:r>
          </w:p>
        </w:tc>
      </w:tr>
    </w:tbl>
    <w:p w14:paraId="19447912" w14:textId="77777777" w:rsidR="006B4107" w:rsidRDefault="004E70C7">
      <w:pPr>
        <w:ind w:leftChars="200" w:left="440"/>
        <w:jc w:val="both"/>
        <w:rPr>
          <w:rFonts w:cs="STXihei,Italic"/>
          <w:i/>
          <w:iCs/>
          <w:sz w:val="16"/>
          <w:szCs w:val="16"/>
        </w:rPr>
      </w:pPr>
      <w:r>
        <w:rPr>
          <w:rFonts w:cs="STXihei,Italic"/>
          <w:i/>
          <w:iCs/>
          <w:sz w:val="16"/>
          <w:szCs w:val="16"/>
        </w:rPr>
        <w:t>信息来源：</w:t>
      </w:r>
      <w:proofErr w:type="gramStart"/>
      <w:r>
        <w:rPr>
          <w:rFonts w:cs="STXihei,Italic"/>
          <w:i/>
          <w:iCs/>
          <w:sz w:val="16"/>
          <w:szCs w:val="16"/>
        </w:rPr>
        <w:t>由</w:t>
      </w:r>
      <w:r>
        <w:rPr>
          <w:rFonts w:cs="STXihei,Italic" w:hint="eastAsia"/>
          <w:i/>
          <w:iCs/>
          <w:sz w:val="16"/>
          <w:szCs w:val="16"/>
        </w:rPr>
        <w:t>远化物流</w:t>
      </w:r>
      <w:proofErr w:type="gramEnd"/>
      <w:r>
        <w:rPr>
          <w:rFonts w:cs="STXihei,Italic"/>
          <w:i/>
          <w:iCs/>
          <w:sz w:val="16"/>
          <w:szCs w:val="16"/>
        </w:rPr>
        <w:t>提供</w:t>
      </w:r>
    </w:p>
    <w:p w14:paraId="72E57516" w14:textId="77777777" w:rsidR="006B4107" w:rsidRDefault="004E70C7">
      <w:pPr>
        <w:pStyle w:val="3"/>
        <w:rPr>
          <w:rFonts w:ascii="Arial Narrow" w:eastAsia="仿宋_GB2312" w:hAnsi="Arial Narrow"/>
          <w:iCs w:val="0"/>
          <w:color w:val="002060"/>
        </w:rPr>
      </w:pPr>
      <w:bookmarkStart w:id="702" w:name="_Toc173171124"/>
      <w:bookmarkStart w:id="703" w:name="_Toc173171123"/>
      <w:bookmarkStart w:id="704" w:name="_Toc185598958"/>
      <w:bookmarkStart w:id="705" w:name="_Toc140761344"/>
      <w:bookmarkStart w:id="706" w:name="_Toc48317556"/>
      <w:bookmarkStart w:id="707" w:name="_Toc274480835"/>
      <w:bookmarkEnd w:id="702"/>
      <w:bookmarkEnd w:id="703"/>
      <w:r>
        <w:rPr>
          <w:rFonts w:ascii="Arial Narrow" w:eastAsia="仿宋_GB2312" w:hAnsi="Arial Narrow" w:cs="楷体"/>
          <w:b w:val="0"/>
          <w:iCs w:val="0"/>
          <w:color w:val="002060"/>
          <w:sz w:val="22"/>
          <w:szCs w:val="22"/>
        </w:rPr>
        <w:t>搜寻外部可比公司</w:t>
      </w:r>
      <w:bookmarkEnd w:id="704"/>
      <w:bookmarkEnd w:id="705"/>
      <w:bookmarkEnd w:id="706"/>
    </w:p>
    <w:bookmarkEnd w:id="707"/>
    <w:p w14:paraId="67C9CD1E" w14:textId="77777777" w:rsidR="006B4107" w:rsidRDefault="004E70C7">
      <w:pPr>
        <w:pStyle w:val="4"/>
        <w:rPr>
          <w:rFonts w:ascii="Arial Narrow" w:eastAsia="仿宋_GB2312" w:hAnsi="Arial Narrow"/>
          <w:iCs w:val="0"/>
          <w:color w:val="002060"/>
        </w:rPr>
      </w:pPr>
      <w:r>
        <w:rPr>
          <w:rFonts w:ascii="Arial Narrow" w:eastAsia="仿宋_GB2312" w:hAnsi="Arial Narrow" w:cs="楷体"/>
          <w:b w:val="0"/>
          <w:iCs w:val="0"/>
          <w:color w:val="002060"/>
          <w:szCs w:val="22"/>
        </w:rPr>
        <w:t>数据库</w:t>
      </w:r>
    </w:p>
    <w:p w14:paraId="43CEE91D" w14:textId="77777777" w:rsidR="006B4107" w:rsidRDefault="004E70C7">
      <w:pPr>
        <w:spacing w:beforeLines="50" w:before="156" w:afterLines="50" w:after="156" w:line="360" w:lineRule="auto"/>
        <w:ind w:firstLineChars="200" w:firstLine="440"/>
        <w:jc w:val="both"/>
        <w:rPr>
          <w:rFonts w:cs="Arial Unicode MS"/>
        </w:rPr>
      </w:pPr>
      <w:r>
        <w:rPr>
          <w:rFonts w:cs="Arial Unicode MS"/>
        </w:rPr>
        <w:t>为了对外部可比公司（即所执行的功能</w:t>
      </w:r>
      <w:proofErr w:type="gramStart"/>
      <w:r>
        <w:rPr>
          <w:rFonts w:cs="Arial Unicode MS"/>
        </w:rPr>
        <w:t>与</w:t>
      </w:r>
      <w:r>
        <w:rPr>
          <w:rFonts w:cs="Arial Unicode MS" w:hint="eastAsia"/>
        </w:rPr>
        <w:t>远化物流</w:t>
      </w:r>
      <w:proofErr w:type="gramEnd"/>
      <w:r>
        <w:rPr>
          <w:rFonts w:cs="Arial Unicode MS"/>
        </w:rPr>
        <w:t>的活动宽泛可比的独立企业）进行一次基准搜索，我们使用了由</w:t>
      </w:r>
      <w:r>
        <w:rPr>
          <w:rFonts w:cs="Arial Unicode MS"/>
        </w:rPr>
        <w:t>Bureau van Dijk</w:t>
      </w:r>
      <w:r>
        <w:rPr>
          <w:rFonts w:cs="Arial Unicode MS"/>
          <w:vertAlign w:val="superscript"/>
        </w:rPr>
        <w:footnoteReference w:id="14"/>
      </w:r>
      <w:r>
        <w:rPr>
          <w:rFonts w:cs="Arial Unicode MS"/>
        </w:rPr>
        <w:t>提供的</w:t>
      </w:r>
      <w:r>
        <w:rPr>
          <w:rFonts w:cs="Arial Unicode MS"/>
        </w:rPr>
        <w:t>TP Catalyst</w:t>
      </w:r>
      <w:r>
        <w:rPr>
          <w:rFonts w:cs="Arial Unicode MS"/>
        </w:rPr>
        <w:t>数据库。</w:t>
      </w:r>
    </w:p>
    <w:p w14:paraId="73D1E8FB" w14:textId="77777777" w:rsidR="006B4107" w:rsidRDefault="004E70C7">
      <w:pPr>
        <w:spacing w:beforeLines="50" w:before="156" w:afterLines="50" w:after="156" w:line="360" w:lineRule="auto"/>
        <w:ind w:firstLineChars="200" w:firstLine="440"/>
        <w:jc w:val="both"/>
        <w:rPr>
          <w:rFonts w:cs="Arial Unicode MS"/>
        </w:rPr>
      </w:pPr>
      <w:r>
        <w:t xml:space="preserve"> </w:t>
      </w:r>
      <w:r>
        <w:rPr>
          <w:rFonts w:cs="Arial Unicode MS"/>
        </w:rPr>
        <w:t>TP Catalyst</w:t>
      </w:r>
      <w:r>
        <w:rPr>
          <w:rFonts w:cs="Arial Unicode MS"/>
        </w:rPr>
        <w:t>数据库囊括了全球逾</w:t>
      </w:r>
      <w:r>
        <w:rPr>
          <w:rFonts w:cs="Arial Unicode MS"/>
        </w:rPr>
        <w:t xml:space="preserve">70,000 </w:t>
      </w:r>
      <w:r>
        <w:rPr>
          <w:rFonts w:cs="Arial Unicode MS"/>
        </w:rPr>
        <w:t>家上市公司（其中包括远东及中亚地区逾</w:t>
      </w:r>
      <w:r>
        <w:rPr>
          <w:rFonts w:cs="Arial Unicode MS"/>
        </w:rPr>
        <w:t>40,000</w:t>
      </w:r>
      <w:r>
        <w:rPr>
          <w:rFonts w:cs="Arial Unicode MS"/>
        </w:rPr>
        <w:t>家上市公司）的财务数据，向专业用户提供深入分析各国上市公司所需的详细财务经营报表、分析比率、股权结构、企业评级数据、历年股价系列与企业行业分析。</w:t>
      </w:r>
      <w:r>
        <w:rPr>
          <w:rFonts w:cs="Arial Unicode MS"/>
        </w:rPr>
        <w:t>TP Catalyst</w:t>
      </w:r>
      <w:r>
        <w:rPr>
          <w:rFonts w:cs="Arial Unicode MS"/>
        </w:rPr>
        <w:t>数据库是目前欧美各国广泛使用于全球上市公司证券投资分析、企业战略经营分析、跨国企业转让定价、公司财务分析等领域的著名实证分析数据库。目前，中国税务主管机关在转让定价调查审计中也使用该数据库。</w:t>
      </w:r>
    </w:p>
    <w:p w14:paraId="56E3D127" w14:textId="77777777" w:rsidR="006B4107" w:rsidRDefault="004E70C7">
      <w:pPr>
        <w:pStyle w:val="4"/>
        <w:rPr>
          <w:rFonts w:ascii="Arial Narrow" w:eastAsia="仿宋_GB2312" w:hAnsi="Arial Narrow"/>
          <w:iCs w:val="0"/>
          <w:color w:val="002060"/>
        </w:rPr>
      </w:pPr>
      <w:r>
        <w:rPr>
          <w:rFonts w:ascii="Arial Narrow" w:eastAsia="仿宋_GB2312" w:hAnsi="Arial Narrow" w:cs="楷体"/>
          <w:b w:val="0"/>
          <w:iCs w:val="0"/>
          <w:color w:val="002060"/>
          <w:szCs w:val="22"/>
        </w:rPr>
        <w:t>SIC</w:t>
      </w:r>
      <w:r>
        <w:rPr>
          <w:rFonts w:ascii="Arial Narrow" w:eastAsia="仿宋_GB2312" w:hAnsi="Arial Narrow" w:cs="楷体"/>
          <w:b w:val="0"/>
          <w:iCs w:val="0"/>
          <w:color w:val="002060"/>
          <w:szCs w:val="22"/>
        </w:rPr>
        <w:t>编码及地区的选择</w:t>
      </w:r>
    </w:p>
    <w:p w14:paraId="7CDBBBA0" w14:textId="77777777" w:rsidR="006B4107" w:rsidRDefault="004E70C7">
      <w:pPr>
        <w:spacing w:beforeLines="50" w:before="156" w:afterLines="50" w:after="156" w:line="360" w:lineRule="auto"/>
        <w:ind w:firstLineChars="200" w:firstLine="440"/>
        <w:jc w:val="both"/>
        <w:rPr>
          <w:rFonts w:cs="Arial Unicode MS"/>
        </w:rPr>
      </w:pPr>
      <w:r>
        <w:rPr>
          <w:rFonts w:cs="Arial Unicode MS"/>
        </w:rPr>
        <w:t>根据</w:t>
      </w:r>
      <w:r>
        <w:rPr>
          <w:rFonts w:cs="Arial Unicode MS"/>
        </w:rPr>
        <w:t>[2017]6</w:t>
      </w:r>
      <w:r>
        <w:rPr>
          <w:rFonts w:cs="Arial Unicode MS"/>
        </w:rPr>
        <w:t>号公告第</w:t>
      </w:r>
      <w:r>
        <w:rPr>
          <w:rFonts w:cs="Arial Unicode MS"/>
        </w:rPr>
        <w:t>20</w:t>
      </w:r>
      <w:r>
        <w:rPr>
          <w:rFonts w:cs="Arial Unicode MS"/>
        </w:rPr>
        <w:t>条规定，应用交易净利润法进行可比性分析应特别考察关联</w:t>
      </w:r>
      <w:r>
        <w:rPr>
          <w:rFonts w:cs="Arial Unicode MS"/>
        </w:rPr>
        <w:t>交易与非关联交易之间在例如执行功能、承担风险和使用资产等各方面的可比性因</w:t>
      </w:r>
      <w:r>
        <w:rPr>
          <w:rFonts w:cs="Arial Unicode MS"/>
        </w:rPr>
        <w:lastRenderedPageBreak/>
        <w:t>素。由于</w:t>
      </w:r>
      <w:r>
        <w:rPr>
          <w:rFonts w:cs="Arial Unicode MS"/>
        </w:rPr>
        <w:t>SIC</w:t>
      </w:r>
      <w:r>
        <w:rPr>
          <w:rFonts w:cs="Arial Unicode MS"/>
        </w:rPr>
        <w:t>的分类方法是基于企业在功能及产品的可比</w:t>
      </w:r>
      <w:proofErr w:type="gramStart"/>
      <w:r>
        <w:rPr>
          <w:rFonts w:cs="Arial Unicode MS"/>
        </w:rPr>
        <w:t>性制定</w:t>
      </w:r>
      <w:proofErr w:type="gramEnd"/>
      <w:r>
        <w:rPr>
          <w:rFonts w:cs="Arial Unicode MS"/>
        </w:rPr>
        <w:t>的，因此，</w:t>
      </w:r>
      <w:r>
        <w:rPr>
          <w:rFonts w:cs="Arial Unicode MS"/>
        </w:rPr>
        <w:t>SIC</w:t>
      </w:r>
      <w:r>
        <w:rPr>
          <w:rFonts w:cs="Arial Unicode MS"/>
        </w:rPr>
        <w:t>编码是用来初步搜寻潜在可比公司的一个有效的筛选标准。</w:t>
      </w:r>
    </w:p>
    <w:p w14:paraId="14B9F000" w14:textId="77777777" w:rsidR="006B4107" w:rsidRDefault="004E70C7">
      <w:pPr>
        <w:spacing w:beforeLines="50" w:before="156" w:afterLines="50" w:after="156" w:line="360" w:lineRule="auto"/>
        <w:ind w:firstLineChars="200" w:firstLine="440"/>
        <w:jc w:val="both"/>
        <w:rPr>
          <w:rFonts w:cs="Arial Unicode MS"/>
        </w:rPr>
      </w:pPr>
      <w:r>
        <w:rPr>
          <w:rFonts w:cs="Arial Unicode MS"/>
        </w:rPr>
        <w:t>我们对美国</w:t>
      </w:r>
      <w:r>
        <w:rPr>
          <w:rFonts w:cs="Arial Unicode MS"/>
        </w:rPr>
        <w:t>SIC</w:t>
      </w:r>
      <w:r>
        <w:rPr>
          <w:rFonts w:cs="Arial Unicode MS"/>
        </w:rPr>
        <w:t>编码列表进行了全面查阅，并选择了最合适的</w:t>
      </w:r>
      <w:r>
        <w:rPr>
          <w:rFonts w:cs="Arial Unicode MS"/>
        </w:rPr>
        <w:t>SIC</w:t>
      </w:r>
      <w:r>
        <w:rPr>
          <w:rFonts w:cs="Arial Unicode MS"/>
        </w:rPr>
        <w:t>编码（见下图表）来搜寻</w:t>
      </w:r>
      <w:proofErr w:type="gramStart"/>
      <w:r>
        <w:rPr>
          <w:rFonts w:cs="Arial Unicode MS"/>
        </w:rPr>
        <w:t>与</w:t>
      </w:r>
      <w:r>
        <w:rPr>
          <w:rFonts w:cs="Arial Unicode MS" w:hint="eastAsia"/>
        </w:rPr>
        <w:t>远化物流</w:t>
      </w:r>
      <w:proofErr w:type="gramEnd"/>
      <w:r>
        <w:rPr>
          <w:rFonts w:cs="Arial Unicode MS"/>
        </w:rPr>
        <w:t>的关联企业在制造活动中承担的职能宽泛可比的潜在可比公司。</w:t>
      </w:r>
    </w:p>
    <w:p w14:paraId="3C38E1AE" w14:textId="77777777" w:rsidR="006B4107" w:rsidRDefault="004E70C7">
      <w:pPr>
        <w:pStyle w:val="a6"/>
        <w:ind w:left="420" w:hanging="420"/>
        <w:jc w:val="center"/>
        <w:rPr>
          <w:rFonts w:ascii="仿宋" w:eastAsia="仿宋" w:hAnsi="仿宋"/>
        </w:rPr>
      </w:pPr>
      <w:r>
        <w:rPr>
          <w:rFonts w:ascii="仿宋" w:eastAsia="仿宋" w:hAnsi="仿宋"/>
        </w:rPr>
        <w:t>图表</w:t>
      </w:r>
      <w:r>
        <w:rPr>
          <w:rFonts w:eastAsia="仿宋" w:cs="Arial Narrow"/>
        </w:rPr>
        <w:t>20</w:t>
      </w:r>
      <w:r>
        <w:rPr>
          <w:rFonts w:ascii="仿宋" w:eastAsia="仿宋" w:hAnsi="仿宋"/>
        </w:rPr>
        <w:t>：</w:t>
      </w:r>
      <w:r>
        <w:rPr>
          <w:rFonts w:ascii="仿宋" w:eastAsia="仿宋" w:hAnsi="仿宋"/>
        </w:rPr>
        <w:t>SIC</w:t>
      </w:r>
      <w:r>
        <w:rPr>
          <w:rFonts w:ascii="仿宋" w:eastAsia="仿宋" w:hAnsi="仿宋"/>
        </w:rPr>
        <w:t>编码的选择</w:t>
      </w:r>
    </w:p>
    <w:tbl>
      <w:tblPr>
        <w:tblW w:w="6521" w:type="dxa"/>
        <w:tblInd w:w="1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4961"/>
      </w:tblGrid>
      <w:tr w:rsidR="006B4107" w14:paraId="5B677831" w14:textId="77777777">
        <w:trPr>
          <w:trHeight w:val="507"/>
          <w:tblHeader/>
        </w:trPr>
        <w:tc>
          <w:tcPr>
            <w:tcW w:w="1560" w:type="dxa"/>
            <w:shd w:val="clear" w:color="auto" w:fill="002060"/>
            <w:vAlign w:val="center"/>
          </w:tcPr>
          <w:p w14:paraId="6D369418" w14:textId="77777777" w:rsidR="006B4107" w:rsidRDefault="004E70C7">
            <w:pPr>
              <w:jc w:val="center"/>
              <w:rPr>
                <w:rStyle w:val="affb"/>
                <w:rFonts w:ascii="仿宋" w:eastAsia="仿宋" w:hAnsi="仿宋" w:cs="楷体"/>
                <w:b/>
                <w:color w:val="FFFFFF" w:themeColor="background1"/>
                <w:sz w:val="22"/>
                <w:szCs w:val="24"/>
              </w:rPr>
            </w:pPr>
            <w:r>
              <w:rPr>
                <w:rFonts w:ascii="仿宋" w:eastAsia="仿宋" w:hAnsi="仿宋" w:cs="楷体"/>
                <w:b/>
                <w:color w:val="FFFFFF" w:themeColor="background1"/>
              </w:rPr>
              <w:t>SIC</w:t>
            </w:r>
            <w:r>
              <w:rPr>
                <w:rFonts w:ascii="仿宋" w:eastAsia="仿宋" w:hAnsi="仿宋" w:cs="楷体"/>
                <w:b/>
                <w:color w:val="FFFFFF" w:themeColor="background1"/>
              </w:rPr>
              <w:t>编码</w:t>
            </w:r>
          </w:p>
        </w:tc>
        <w:tc>
          <w:tcPr>
            <w:tcW w:w="4961" w:type="dxa"/>
            <w:shd w:val="clear" w:color="auto" w:fill="002060"/>
            <w:vAlign w:val="center"/>
          </w:tcPr>
          <w:p w14:paraId="61DC4C49" w14:textId="77777777" w:rsidR="006B4107" w:rsidRDefault="004E70C7">
            <w:pPr>
              <w:jc w:val="center"/>
              <w:rPr>
                <w:rStyle w:val="affb"/>
                <w:rFonts w:ascii="仿宋" w:eastAsia="仿宋" w:hAnsi="仿宋" w:cs="楷体"/>
                <w:b/>
                <w:color w:val="FFFFFF" w:themeColor="background1"/>
                <w:sz w:val="22"/>
                <w:szCs w:val="24"/>
              </w:rPr>
            </w:pPr>
            <w:r>
              <w:rPr>
                <w:rStyle w:val="affb"/>
                <w:rFonts w:ascii="仿宋" w:eastAsia="仿宋" w:hAnsi="仿宋" w:cs="楷体"/>
                <w:b/>
                <w:color w:val="FFFFFF" w:themeColor="background1"/>
                <w:sz w:val="22"/>
                <w:szCs w:val="24"/>
              </w:rPr>
              <w:t>描述</w:t>
            </w:r>
          </w:p>
        </w:tc>
      </w:tr>
      <w:tr w:rsidR="006B4107" w14:paraId="25F0ABA8" w14:textId="77777777">
        <w:trPr>
          <w:trHeight w:val="507"/>
        </w:trPr>
        <w:tc>
          <w:tcPr>
            <w:tcW w:w="1560" w:type="dxa"/>
            <w:vAlign w:val="center"/>
          </w:tcPr>
          <w:p w14:paraId="2B7ACA51" w14:textId="77777777" w:rsidR="006B4107" w:rsidRDefault="004E70C7">
            <w:pPr>
              <w:jc w:val="center"/>
              <w:rPr>
                <w:rFonts w:cs="楷体"/>
              </w:rPr>
            </w:pPr>
            <w:r>
              <w:t>4212</w:t>
            </w:r>
          </w:p>
        </w:tc>
        <w:tc>
          <w:tcPr>
            <w:tcW w:w="4961" w:type="dxa"/>
            <w:vAlign w:val="center"/>
          </w:tcPr>
          <w:p w14:paraId="20B04917" w14:textId="77777777" w:rsidR="006B4107" w:rsidRDefault="004E70C7">
            <w:pPr>
              <w:textAlignment w:val="center"/>
              <w:rPr>
                <w:rFonts w:ascii="仿宋" w:eastAsia="仿宋" w:hAnsi="仿宋" w:cs="仿宋"/>
              </w:rPr>
            </w:pPr>
            <w:r>
              <w:rPr>
                <w:rFonts w:ascii="仿宋" w:eastAsia="仿宋" w:hAnsi="仿宋" w:cs="仿宋" w:hint="eastAsia"/>
                <w:color w:val="000000"/>
                <w:kern w:val="0"/>
                <w:lang w:bidi="ar"/>
              </w:rPr>
              <w:t>本地货车运输，不提供仓储</w:t>
            </w:r>
          </w:p>
        </w:tc>
      </w:tr>
      <w:tr w:rsidR="006B4107" w14:paraId="072D6BFF" w14:textId="77777777">
        <w:trPr>
          <w:trHeight w:val="507"/>
        </w:trPr>
        <w:tc>
          <w:tcPr>
            <w:tcW w:w="1560" w:type="dxa"/>
            <w:vAlign w:val="center"/>
          </w:tcPr>
          <w:p w14:paraId="1CF61DA1" w14:textId="77777777" w:rsidR="006B4107" w:rsidRDefault="004E70C7">
            <w:pPr>
              <w:jc w:val="center"/>
              <w:rPr>
                <w:rFonts w:cs="楷体"/>
              </w:rPr>
            </w:pPr>
            <w:r>
              <w:t>4213</w:t>
            </w:r>
          </w:p>
        </w:tc>
        <w:tc>
          <w:tcPr>
            <w:tcW w:w="4961" w:type="dxa"/>
            <w:vAlign w:val="center"/>
          </w:tcPr>
          <w:p w14:paraId="28DB7BE9" w14:textId="77777777" w:rsidR="006B4107" w:rsidRDefault="004E70C7">
            <w:pPr>
              <w:textAlignment w:val="center"/>
              <w:rPr>
                <w:rFonts w:ascii="仿宋" w:eastAsia="仿宋" w:hAnsi="仿宋" w:cs="仿宋"/>
              </w:rPr>
            </w:pPr>
            <w:r>
              <w:rPr>
                <w:rFonts w:ascii="仿宋" w:eastAsia="仿宋" w:hAnsi="仿宋" w:cs="仿宋" w:hint="eastAsia"/>
                <w:color w:val="000000"/>
                <w:kern w:val="0"/>
                <w:lang w:bidi="ar"/>
              </w:rPr>
              <w:t>除本地货车以外的货车运输</w:t>
            </w:r>
          </w:p>
        </w:tc>
      </w:tr>
      <w:tr w:rsidR="006B4107" w14:paraId="31AE08D2" w14:textId="77777777">
        <w:trPr>
          <w:trHeight w:val="507"/>
        </w:trPr>
        <w:tc>
          <w:tcPr>
            <w:tcW w:w="1560" w:type="dxa"/>
            <w:vAlign w:val="center"/>
          </w:tcPr>
          <w:p w14:paraId="7494BAA6" w14:textId="77777777" w:rsidR="006B4107" w:rsidRDefault="004E70C7">
            <w:pPr>
              <w:jc w:val="center"/>
              <w:rPr>
                <w:rFonts w:cs="楷体"/>
              </w:rPr>
            </w:pPr>
            <w:r>
              <w:t>4214</w:t>
            </w:r>
          </w:p>
        </w:tc>
        <w:tc>
          <w:tcPr>
            <w:tcW w:w="4961" w:type="dxa"/>
            <w:vAlign w:val="center"/>
          </w:tcPr>
          <w:p w14:paraId="08C9682C" w14:textId="77777777" w:rsidR="006B4107" w:rsidRDefault="004E70C7">
            <w:pPr>
              <w:textAlignment w:val="center"/>
              <w:rPr>
                <w:rFonts w:ascii="仿宋" w:eastAsia="仿宋" w:hAnsi="仿宋" w:cs="仿宋"/>
              </w:rPr>
            </w:pPr>
            <w:r>
              <w:rPr>
                <w:rFonts w:ascii="仿宋" w:eastAsia="仿宋" w:hAnsi="仿宋" w:cs="仿宋" w:hint="eastAsia"/>
                <w:color w:val="000000"/>
                <w:kern w:val="0"/>
                <w:lang w:bidi="ar"/>
              </w:rPr>
              <w:t>本地货车运输，提供仓储</w:t>
            </w:r>
          </w:p>
        </w:tc>
      </w:tr>
      <w:tr w:rsidR="006B4107" w14:paraId="0BB55031" w14:textId="77777777">
        <w:trPr>
          <w:trHeight w:val="507"/>
        </w:trPr>
        <w:tc>
          <w:tcPr>
            <w:tcW w:w="1560" w:type="dxa"/>
            <w:vAlign w:val="center"/>
          </w:tcPr>
          <w:p w14:paraId="7C9539E6" w14:textId="77777777" w:rsidR="006B4107" w:rsidRDefault="004E70C7">
            <w:pPr>
              <w:jc w:val="center"/>
              <w:rPr>
                <w:rFonts w:cs="楷体"/>
              </w:rPr>
            </w:pPr>
            <w:r>
              <w:t>4731</w:t>
            </w:r>
          </w:p>
        </w:tc>
        <w:tc>
          <w:tcPr>
            <w:tcW w:w="4961" w:type="dxa"/>
            <w:vAlign w:val="center"/>
          </w:tcPr>
          <w:p w14:paraId="03DB360D" w14:textId="77777777" w:rsidR="006B4107" w:rsidRDefault="004E70C7">
            <w:pPr>
              <w:textAlignment w:val="center"/>
              <w:rPr>
                <w:rFonts w:ascii="仿宋" w:eastAsia="仿宋" w:hAnsi="仿宋" w:cs="仿宋"/>
              </w:rPr>
            </w:pPr>
            <w:r>
              <w:rPr>
                <w:rFonts w:ascii="仿宋" w:eastAsia="仿宋" w:hAnsi="仿宋" w:cs="仿宋" w:hint="eastAsia"/>
                <w:color w:val="000000"/>
                <w:kern w:val="0"/>
                <w:lang w:bidi="ar"/>
              </w:rPr>
              <w:t>货运安排</w:t>
            </w:r>
          </w:p>
        </w:tc>
      </w:tr>
      <w:tr w:rsidR="006B4107" w14:paraId="57BA890A" w14:textId="77777777">
        <w:trPr>
          <w:trHeight w:val="507"/>
        </w:trPr>
        <w:tc>
          <w:tcPr>
            <w:tcW w:w="1560" w:type="dxa"/>
            <w:vAlign w:val="center"/>
          </w:tcPr>
          <w:p w14:paraId="45D21582" w14:textId="77777777" w:rsidR="006B4107" w:rsidRDefault="004E70C7">
            <w:pPr>
              <w:jc w:val="center"/>
              <w:rPr>
                <w:rFonts w:cs="楷体"/>
              </w:rPr>
            </w:pPr>
            <w:r>
              <w:t>4783</w:t>
            </w:r>
          </w:p>
        </w:tc>
        <w:tc>
          <w:tcPr>
            <w:tcW w:w="4961" w:type="dxa"/>
            <w:vAlign w:val="center"/>
          </w:tcPr>
          <w:p w14:paraId="278FEE6D" w14:textId="77777777" w:rsidR="006B4107" w:rsidRDefault="004E70C7">
            <w:pPr>
              <w:textAlignment w:val="center"/>
              <w:rPr>
                <w:rFonts w:ascii="仿宋" w:eastAsia="仿宋" w:hAnsi="仿宋" w:cs="仿宋"/>
              </w:rPr>
            </w:pPr>
            <w:r>
              <w:rPr>
                <w:rFonts w:ascii="仿宋" w:eastAsia="仿宋" w:hAnsi="仿宋" w:cs="仿宋" w:hint="eastAsia"/>
                <w:color w:val="000000"/>
                <w:kern w:val="0"/>
                <w:lang w:bidi="ar"/>
              </w:rPr>
              <w:t>包装和装箱服务</w:t>
            </w:r>
          </w:p>
        </w:tc>
      </w:tr>
      <w:tr w:rsidR="006B4107" w14:paraId="176739F1" w14:textId="77777777">
        <w:trPr>
          <w:trHeight w:val="507"/>
        </w:trPr>
        <w:tc>
          <w:tcPr>
            <w:tcW w:w="1560" w:type="dxa"/>
            <w:vAlign w:val="center"/>
          </w:tcPr>
          <w:p w14:paraId="2A281C60" w14:textId="77777777" w:rsidR="006B4107" w:rsidRDefault="004E70C7">
            <w:pPr>
              <w:jc w:val="center"/>
              <w:rPr>
                <w:rFonts w:cs="楷体"/>
              </w:rPr>
            </w:pPr>
            <w:r>
              <w:t>4785</w:t>
            </w:r>
          </w:p>
        </w:tc>
        <w:tc>
          <w:tcPr>
            <w:tcW w:w="4961" w:type="dxa"/>
            <w:vAlign w:val="center"/>
          </w:tcPr>
          <w:p w14:paraId="5FD55D40" w14:textId="77777777" w:rsidR="006B4107" w:rsidRDefault="004E70C7">
            <w:pPr>
              <w:textAlignment w:val="center"/>
              <w:rPr>
                <w:rFonts w:ascii="仿宋" w:eastAsia="仿宋" w:hAnsi="仿宋" w:cs="仿宋"/>
              </w:rPr>
            </w:pPr>
            <w:r>
              <w:rPr>
                <w:rFonts w:ascii="仿宋" w:eastAsia="仿宋" w:hAnsi="仿宋" w:cs="仿宋" w:hint="eastAsia"/>
                <w:color w:val="000000"/>
                <w:kern w:val="0"/>
                <w:lang w:bidi="ar"/>
              </w:rPr>
              <w:t>汽车运输的固定设备，检查设备和称重服务</w:t>
            </w:r>
          </w:p>
        </w:tc>
      </w:tr>
      <w:tr w:rsidR="006B4107" w14:paraId="5EEFB5B8" w14:textId="77777777">
        <w:trPr>
          <w:trHeight w:val="507"/>
        </w:trPr>
        <w:tc>
          <w:tcPr>
            <w:tcW w:w="1560" w:type="dxa"/>
            <w:vAlign w:val="center"/>
          </w:tcPr>
          <w:p w14:paraId="6E269649" w14:textId="77777777" w:rsidR="006B4107" w:rsidRDefault="004E70C7">
            <w:pPr>
              <w:jc w:val="center"/>
              <w:rPr>
                <w:rFonts w:cs="楷体"/>
              </w:rPr>
            </w:pPr>
            <w:r>
              <w:t>4789</w:t>
            </w:r>
          </w:p>
        </w:tc>
        <w:tc>
          <w:tcPr>
            <w:tcW w:w="4961" w:type="dxa"/>
            <w:vAlign w:val="center"/>
          </w:tcPr>
          <w:p w14:paraId="59605026" w14:textId="77777777" w:rsidR="006B4107" w:rsidRDefault="004E70C7">
            <w:pPr>
              <w:textAlignment w:val="center"/>
              <w:rPr>
                <w:rFonts w:ascii="仿宋" w:eastAsia="仿宋" w:hAnsi="仿宋" w:cs="仿宋"/>
              </w:rPr>
            </w:pPr>
            <w:r>
              <w:rPr>
                <w:rFonts w:ascii="仿宋" w:eastAsia="仿宋" w:hAnsi="仿宋" w:cs="仿宋" w:hint="eastAsia"/>
                <w:color w:val="000000"/>
                <w:kern w:val="0"/>
                <w:lang w:bidi="ar"/>
              </w:rPr>
              <w:t>其他运输服务</w:t>
            </w:r>
          </w:p>
        </w:tc>
      </w:tr>
    </w:tbl>
    <w:p w14:paraId="2D1B2D9C" w14:textId="77777777" w:rsidR="006B4107" w:rsidRDefault="004E70C7">
      <w:pPr>
        <w:spacing w:beforeLines="50" w:before="156" w:afterLines="50" w:after="156" w:line="360" w:lineRule="auto"/>
        <w:ind w:firstLineChars="200" w:firstLine="440"/>
        <w:jc w:val="both"/>
        <w:rPr>
          <w:rFonts w:cs="Arial Unicode MS"/>
        </w:rPr>
      </w:pPr>
      <w:r>
        <w:rPr>
          <w:rFonts w:cs="Arial Unicode MS"/>
        </w:rPr>
        <w:t>通过以上图表中所选定的</w:t>
      </w:r>
      <w:r>
        <w:rPr>
          <w:rFonts w:cs="Arial Unicode MS"/>
        </w:rPr>
        <w:t>SIC</w:t>
      </w:r>
      <w:r>
        <w:rPr>
          <w:rFonts w:cs="Arial Unicode MS"/>
        </w:rPr>
        <w:t>编码，我们在</w:t>
      </w:r>
      <w:r>
        <w:rPr>
          <w:rFonts w:cs="Arial Unicode MS"/>
        </w:rPr>
        <w:t>TP Catalyst</w:t>
      </w:r>
      <w:r>
        <w:rPr>
          <w:rFonts w:cs="Arial Unicode MS"/>
        </w:rPr>
        <w:t>数据库中进行了初步搜索，通过这种</w:t>
      </w:r>
      <w:r>
        <w:rPr>
          <w:rFonts w:cs="Arial Unicode MS"/>
        </w:rPr>
        <w:t>SIC</w:t>
      </w:r>
      <w:r>
        <w:rPr>
          <w:rFonts w:cs="Arial Unicode MS"/>
        </w:rPr>
        <w:t>编码的筛选，我们得到了一部分潜在的可比公司。</w:t>
      </w:r>
    </w:p>
    <w:p w14:paraId="06B18461" w14:textId="77777777" w:rsidR="006B4107" w:rsidRDefault="004E70C7">
      <w:pPr>
        <w:spacing w:beforeLines="50" w:before="156" w:afterLines="50" w:after="156" w:line="360" w:lineRule="auto"/>
        <w:ind w:firstLineChars="200" w:firstLine="440"/>
        <w:jc w:val="both"/>
        <w:rPr>
          <w:rFonts w:cs="Arial Unicode MS"/>
        </w:rPr>
      </w:pPr>
      <w:r>
        <w:rPr>
          <w:rFonts w:cs="Arial Unicode MS"/>
        </w:rPr>
        <w:t>通过</w:t>
      </w:r>
      <w:proofErr w:type="gramStart"/>
      <w:r>
        <w:rPr>
          <w:rFonts w:cs="Arial Unicode MS"/>
        </w:rPr>
        <w:t>对</w:t>
      </w:r>
      <w:r>
        <w:rPr>
          <w:rFonts w:cs="Arial Unicode MS" w:hint="eastAsia"/>
        </w:rPr>
        <w:t>远化物流</w:t>
      </w:r>
      <w:proofErr w:type="gramEnd"/>
      <w:r>
        <w:rPr>
          <w:rFonts w:cs="Arial Unicode MS"/>
        </w:rPr>
        <w:t>地理位置及商业描述的分析，我们将搜索范围确定在远东和中亚地区，包括：</w:t>
      </w:r>
    </w:p>
    <w:tbl>
      <w:tblPr>
        <w:tblStyle w:val="TableNormal1"/>
        <w:tblW w:w="8363" w:type="dxa"/>
        <w:tblInd w:w="284" w:type="dxa"/>
        <w:tblLayout w:type="fixed"/>
        <w:tblLook w:val="04A0" w:firstRow="1" w:lastRow="0" w:firstColumn="1" w:lastColumn="0" w:noHBand="0" w:noVBand="1"/>
      </w:tblPr>
      <w:tblGrid>
        <w:gridCol w:w="1134"/>
        <w:gridCol w:w="1701"/>
        <w:gridCol w:w="1900"/>
        <w:gridCol w:w="1673"/>
        <w:gridCol w:w="1955"/>
      </w:tblGrid>
      <w:tr w:rsidR="006B4107" w14:paraId="03B440D8" w14:textId="77777777">
        <w:trPr>
          <w:trHeight w:hRule="exact" w:val="505"/>
        </w:trPr>
        <w:tc>
          <w:tcPr>
            <w:tcW w:w="1134" w:type="dxa"/>
          </w:tcPr>
          <w:p w14:paraId="63303462" w14:textId="77777777" w:rsidR="006B4107" w:rsidRDefault="004E70C7">
            <w:pPr>
              <w:pStyle w:val="TableParagraph"/>
              <w:spacing w:before="35"/>
              <w:ind w:left="50"/>
              <w:jc w:val="both"/>
              <w:rPr>
                <w:rFonts w:ascii="Arial Narrow" w:eastAsia="仿宋_GB2312" w:hAnsi="Arial Narrow"/>
              </w:rPr>
            </w:pPr>
            <w:proofErr w:type="spellStart"/>
            <w:r>
              <w:rPr>
                <w:rFonts w:ascii="Arial Narrow" w:eastAsia="仿宋_GB2312" w:hAnsi="Arial Narrow"/>
              </w:rPr>
              <w:t>阿富汗</w:t>
            </w:r>
            <w:proofErr w:type="spellEnd"/>
          </w:p>
        </w:tc>
        <w:tc>
          <w:tcPr>
            <w:tcW w:w="1701" w:type="dxa"/>
          </w:tcPr>
          <w:p w14:paraId="4B5687D1" w14:textId="77777777" w:rsidR="006B4107" w:rsidRDefault="004E70C7">
            <w:pPr>
              <w:pStyle w:val="TableParagraph"/>
              <w:spacing w:before="35"/>
              <w:ind w:left="328"/>
              <w:jc w:val="both"/>
              <w:rPr>
                <w:rFonts w:ascii="Arial Narrow" w:eastAsia="仿宋_GB2312" w:hAnsi="Arial Narrow"/>
              </w:rPr>
            </w:pPr>
            <w:proofErr w:type="spellStart"/>
            <w:r>
              <w:rPr>
                <w:rFonts w:ascii="Arial Narrow" w:eastAsia="仿宋_GB2312" w:hAnsi="Arial Narrow"/>
              </w:rPr>
              <w:t>亚美尼亚</w:t>
            </w:r>
            <w:proofErr w:type="spellEnd"/>
          </w:p>
        </w:tc>
        <w:tc>
          <w:tcPr>
            <w:tcW w:w="1900" w:type="dxa"/>
          </w:tcPr>
          <w:p w14:paraId="51A52C33" w14:textId="77777777" w:rsidR="006B4107" w:rsidRDefault="004E70C7">
            <w:pPr>
              <w:pStyle w:val="TableParagraph"/>
              <w:spacing w:before="35"/>
              <w:ind w:left="374"/>
              <w:jc w:val="both"/>
              <w:rPr>
                <w:rFonts w:ascii="Arial Narrow" w:eastAsia="仿宋_GB2312" w:hAnsi="Arial Narrow"/>
              </w:rPr>
            </w:pPr>
            <w:proofErr w:type="spellStart"/>
            <w:r>
              <w:rPr>
                <w:rFonts w:ascii="Arial Narrow" w:eastAsia="仿宋_GB2312" w:hAnsi="Arial Narrow"/>
              </w:rPr>
              <w:t>阿塞拜疆</w:t>
            </w:r>
            <w:proofErr w:type="spellEnd"/>
          </w:p>
        </w:tc>
        <w:tc>
          <w:tcPr>
            <w:tcW w:w="1673" w:type="dxa"/>
          </w:tcPr>
          <w:p w14:paraId="489D811C" w14:textId="77777777" w:rsidR="006B4107" w:rsidRDefault="004E70C7">
            <w:pPr>
              <w:pStyle w:val="TableParagraph"/>
              <w:spacing w:before="35"/>
              <w:ind w:left="388"/>
              <w:jc w:val="both"/>
              <w:rPr>
                <w:rFonts w:ascii="Arial Narrow" w:eastAsia="仿宋_GB2312" w:hAnsi="Arial Narrow"/>
              </w:rPr>
            </w:pPr>
            <w:proofErr w:type="spellStart"/>
            <w:r>
              <w:rPr>
                <w:rFonts w:ascii="Arial Narrow" w:eastAsia="仿宋_GB2312" w:hAnsi="Arial Narrow"/>
              </w:rPr>
              <w:t>孟加拉国</w:t>
            </w:r>
            <w:proofErr w:type="spellEnd"/>
          </w:p>
        </w:tc>
        <w:tc>
          <w:tcPr>
            <w:tcW w:w="1955" w:type="dxa"/>
          </w:tcPr>
          <w:p w14:paraId="5D6EEE2E" w14:textId="77777777" w:rsidR="006B4107" w:rsidRDefault="004E70C7">
            <w:pPr>
              <w:pStyle w:val="TableParagraph"/>
              <w:spacing w:before="35"/>
              <w:ind w:left="307"/>
              <w:jc w:val="both"/>
              <w:rPr>
                <w:rFonts w:ascii="Arial Narrow" w:eastAsia="仿宋_GB2312" w:hAnsi="Arial Narrow"/>
              </w:rPr>
            </w:pPr>
            <w:proofErr w:type="spellStart"/>
            <w:r>
              <w:rPr>
                <w:rFonts w:ascii="Arial Narrow" w:eastAsia="仿宋_GB2312" w:hAnsi="Arial Narrow"/>
              </w:rPr>
              <w:t>不丹</w:t>
            </w:r>
            <w:proofErr w:type="spellEnd"/>
          </w:p>
        </w:tc>
      </w:tr>
      <w:tr w:rsidR="006B4107" w14:paraId="75AAD37E" w14:textId="77777777">
        <w:trPr>
          <w:trHeight w:hRule="exact" w:val="505"/>
        </w:trPr>
        <w:tc>
          <w:tcPr>
            <w:tcW w:w="1134" w:type="dxa"/>
          </w:tcPr>
          <w:p w14:paraId="352841B0" w14:textId="77777777" w:rsidR="006B4107" w:rsidRDefault="004E70C7">
            <w:pPr>
              <w:pStyle w:val="TableParagraph"/>
              <w:spacing w:before="35"/>
              <w:ind w:left="50"/>
              <w:jc w:val="both"/>
              <w:rPr>
                <w:rFonts w:ascii="Arial Narrow" w:eastAsia="仿宋_GB2312" w:hAnsi="Arial Narrow"/>
              </w:rPr>
            </w:pPr>
            <w:proofErr w:type="spellStart"/>
            <w:r>
              <w:rPr>
                <w:rFonts w:ascii="Arial Narrow" w:eastAsia="仿宋_GB2312" w:hAnsi="Arial Narrow"/>
              </w:rPr>
              <w:t>文莱</w:t>
            </w:r>
            <w:proofErr w:type="spellEnd"/>
          </w:p>
        </w:tc>
        <w:tc>
          <w:tcPr>
            <w:tcW w:w="1701" w:type="dxa"/>
          </w:tcPr>
          <w:p w14:paraId="646CBEA6" w14:textId="77777777" w:rsidR="006B4107" w:rsidRDefault="004E70C7">
            <w:pPr>
              <w:pStyle w:val="TableParagraph"/>
              <w:spacing w:before="35"/>
              <w:ind w:left="328"/>
              <w:jc w:val="both"/>
              <w:rPr>
                <w:rFonts w:ascii="Arial Narrow" w:eastAsia="仿宋_GB2312" w:hAnsi="Arial Narrow"/>
              </w:rPr>
            </w:pPr>
            <w:proofErr w:type="spellStart"/>
            <w:r>
              <w:rPr>
                <w:rFonts w:ascii="Arial Narrow" w:eastAsia="仿宋_GB2312" w:hAnsi="Arial Narrow"/>
              </w:rPr>
              <w:t>柬埔寨</w:t>
            </w:r>
            <w:proofErr w:type="spellEnd"/>
          </w:p>
        </w:tc>
        <w:tc>
          <w:tcPr>
            <w:tcW w:w="1900" w:type="dxa"/>
          </w:tcPr>
          <w:p w14:paraId="3ADACB9C" w14:textId="77777777" w:rsidR="006B4107" w:rsidRDefault="004E70C7">
            <w:pPr>
              <w:pStyle w:val="TableParagraph"/>
              <w:spacing w:before="35"/>
              <w:ind w:left="374"/>
              <w:jc w:val="both"/>
              <w:rPr>
                <w:rFonts w:ascii="Arial Narrow" w:eastAsia="仿宋_GB2312" w:hAnsi="Arial Narrow"/>
              </w:rPr>
            </w:pPr>
            <w:proofErr w:type="spellStart"/>
            <w:r>
              <w:rPr>
                <w:rFonts w:ascii="Arial Narrow" w:eastAsia="仿宋_GB2312" w:hAnsi="Arial Narrow"/>
              </w:rPr>
              <w:t>中国</w:t>
            </w:r>
            <w:proofErr w:type="spellEnd"/>
          </w:p>
        </w:tc>
        <w:tc>
          <w:tcPr>
            <w:tcW w:w="1673" w:type="dxa"/>
          </w:tcPr>
          <w:p w14:paraId="76C1E953" w14:textId="77777777" w:rsidR="006B4107" w:rsidRDefault="004E70C7">
            <w:pPr>
              <w:pStyle w:val="TableParagraph"/>
              <w:spacing w:before="35"/>
              <w:ind w:left="388"/>
              <w:jc w:val="both"/>
              <w:rPr>
                <w:rFonts w:ascii="Arial Narrow" w:eastAsia="仿宋_GB2312" w:hAnsi="Arial Narrow"/>
              </w:rPr>
            </w:pPr>
            <w:proofErr w:type="spellStart"/>
            <w:r>
              <w:rPr>
                <w:rFonts w:ascii="Arial Narrow" w:eastAsia="仿宋_GB2312" w:hAnsi="Arial Narrow"/>
              </w:rPr>
              <w:t>格鲁吉亚</w:t>
            </w:r>
            <w:proofErr w:type="spellEnd"/>
          </w:p>
        </w:tc>
        <w:tc>
          <w:tcPr>
            <w:tcW w:w="1955" w:type="dxa"/>
          </w:tcPr>
          <w:p w14:paraId="08210433" w14:textId="77777777" w:rsidR="006B4107" w:rsidRDefault="004E70C7">
            <w:pPr>
              <w:pStyle w:val="TableParagraph"/>
              <w:spacing w:before="35"/>
              <w:ind w:left="307"/>
              <w:jc w:val="both"/>
              <w:rPr>
                <w:rFonts w:ascii="Arial Narrow" w:eastAsia="仿宋_GB2312" w:hAnsi="Arial Narrow"/>
              </w:rPr>
            </w:pPr>
            <w:proofErr w:type="spellStart"/>
            <w:r>
              <w:rPr>
                <w:rFonts w:ascii="Arial Narrow" w:eastAsia="仿宋_GB2312" w:hAnsi="Arial Narrow"/>
              </w:rPr>
              <w:t>香港</w:t>
            </w:r>
            <w:proofErr w:type="spellEnd"/>
          </w:p>
        </w:tc>
      </w:tr>
      <w:tr w:rsidR="006B4107" w14:paraId="59238287" w14:textId="77777777">
        <w:trPr>
          <w:trHeight w:hRule="exact" w:val="505"/>
        </w:trPr>
        <w:tc>
          <w:tcPr>
            <w:tcW w:w="1134" w:type="dxa"/>
          </w:tcPr>
          <w:p w14:paraId="3580871A" w14:textId="77777777" w:rsidR="006B4107" w:rsidRDefault="004E70C7">
            <w:pPr>
              <w:pStyle w:val="TableParagraph"/>
              <w:spacing w:before="37"/>
              <w:ind w:left="50"/>
              <w:jc w:val="both"/>
              <w:rPr>
                <w:rFonts w:ascii="Arial Narrow" w:eastAsia="仿宋_GB2312" w:hAnsi="Arial Narrow"/>
              </w:rPr>
            </w:pPr>
            <w:proofErr w:type="spellStart"/>
            <w:r>
              <w:rPr>
                <w:rFonts w:ascii="Arial Narrow" w:eastAsia="仿宋_GB2312" w:hAnsi="Arial Narrow"/>
              </w:rPr>
              <w:t>印度</w:t>
            </w:r>
            <w:proofErr w:type="spellEnd"/>
          </w:p>
        </w:tc>
        <w:tc>
          <w:tcPr>
            <w:tcW w:w="1701" w:type="dxa"/>
          </w:tcPr>
          <w:p w14:paraId="1ECBD3E1" w14:textId="77777777" w:rsidR="006B4107" w:rsidRDefault="004E70C7">
            <w:pPr>
              <w:pStyle w:val="TableParagraph"/>
              <w:spacing w:before="37"/>
              <w:ind w:left="328"/>
              <w:jc w:val="both"/>
              <w:rPr>
                <w:rFonts w:ascii="Arial Narrow" w:eastAsia="仿宋_GB2312" w:hAnsi="Arial Narrow"/>
              </w:rPr>
            </w:pPr>
            <w:proofErr w:type="spellStart"/>
            <w:r>
              <w:rPr>
                <w:rFonts w:ascii="Arial Narrow" w:eastAsia="仿宋_GB2312" w:hAnsi="Arial Narrow"/>
              </w:rPr>
              <w:t>印度尼西亚</w:t>
            </w:r>
            <w:proofErr w:type="spellEnd"/>
          </w:p>
        </w:tc>
        <w:tc>
          <w:tcPr>
            <w:tcW w:w="1900" w:type="dxa"/>
          </w:tcPr>
          <w:p w14:paraId="0C8C13A4" w14:textId="77777777" w:rsidR="006B4107" w:rsidRDefault="004E70C7">
            <w:pPr>
              <w:pStyle w:val="TableParagraph"/>
              <w:spacing w:before="37"/>
              <w:ind w:left="374"/>
              <w:jc w:val="both"/>
              <w:rPr>
                <w:rFonts w:ascii="Arial Narrow" w:eastAsia="仿宋_GB2312" w:hAnsi="Arial Narrow"/>
              </w:rPr>
            </w:pPr>
            <w:proofErr w:type="spellStart"/>
            <w:r>
              <w:rPr>
                <w:rFonts w:ascii="Arial Narrow" w:eastAsia="仿宋_GB2312" w:hAnsi="Arial Narrow"/>
              </w:rPr>
              <w:t>日本</w:t>
            </w:r>
            <w:proofErr w:type="spellEnd"/>
          </w:p>
        </w:tc>
        <w:tc>
          <w:tcPr>
            <w:tcW w:w="1673" w:type="dxa"/>
          </w:tcPr>
          <w:p w14:paraId="74DA3731" w14:textId="77777777" w:rsidR="006B4107" w:rsidRDefault="004E70C7">
            <w:pPr>
              <w:pStyle w:val="TableParagraph"/>
              <w:spacing w:before="37"/>
              <w:ind w:left="388"/>
              <w:jc w:val="both"/>
              <w:rPr>
                <w:rFonts w:ascii="Arial Narrow" w:eastAsia="仿宋_GB2312" w:hAnsi="Arial Narrow"/>
              </w:rPr>
            </w:pPr>
            <w:proofErr w:type="spellStart"/>
            <w:r>
              <w:rPr>
                <w:rFonts w:ascii="Arial Narrow" w:eastAsia="仿宋_GB2312" w:hAnsi="Arial Narrow"/>
              </w:rPr>
              <w:t>哈萨克斯坦</w:t>
            </w:r>
            <w:proofErr w:type="spellEnd"/>
          </w:p>
        </w:tc>
        <w:tc>
          <w:tcPr>
            <w:tcW w:w="1955" w:type="dxa"/>
          </w:tcPr>
          <w:p w14:paraId="728450FA" w14:textId="77777777" w:rsidR="006B4107" w:rsidRDefault="004E70C7">
            <w:pPr>
              <w:pStyle w:val="TableParagraph"/>
              <w:spacing w:before="37"/>
              <w:ind w:left="307"/>
              <w:jc w:val="both"/>
              <w:rPr>
                <w:rFonts w:ascii="Arial Narrow" w:eastAsia="仿宋_GB2312" w:hAnsi="Arial Narrow"/>
              </w:rPr>
            </w:pPr>
            <w:proofErr w:type="spellStart"/>
            <w:r>
              <w:rPr>
                <w:rFonts w:ascii="Arial Narrow" w:eastAsia="仿宋_GB2312" w:hAnsi="Arial Narrow"/>
              </w:rPr>
              <w:t>朝鲜</w:t>
            </w:r>
            <w:proofErr w:type="spellEnd"/>
          </w:p>
        </w:tc>
      </w:tr>
      <w:tr w:rsidR="006B4107" w14:paraId="1BA75179" w14:textId="77777777">
        <w:trPr>
          <w:trHeight w:hRule="exact" w:val="505"/>
        </w:trPr>
        <w:tc>
          <w:tcPr>
            <w:tcW w:w="1134" w:type="dxa"/>
          </w:tcPr>
          <w:p w14:paraId="42534AB0" w14:textId="77777777" w:rsidR="006B4107" w:rsidRDefault="004E70C7">
            <w:pPr>
              <w:pStyle w:val="TableParagraph"/>
              <w:spacing w:before="35"/>
              <w:ind w:left="50"/>
              <w:jc w:val="both"/>
              <w:rPr>
                <w:rFonts w:ascii="Arial Narrow" w:eastAsia="仿宋_GB2312" w:hAnsi="Arial Narrow"/>
              </w:rPr>
            </w:pPr>
            <w:proofErr w:type="spellStart"/>
            <w:r>
              <w:rPr>
                <w:rFonts w:ascii="Arial Narrow" w:eastAsia="仿宋_GB2312" w:hAnsi="Arial Narrow"/>
              </w:rPr>
              <w:t>韩国</w:t>
            </w:r>
            <w:proofErr w:type="spellEnd"/>
          </w:p>
        </w:tc>
        <w:tc>
          <w:tcPr>
            <w:tcW w:w="1701" w:type="dxa"/>
          </w:tcPr>
          <w:p w14:paraId="10650D05" w14:textId="77777777" w:rsidR="006B4107" w:rsidRDefault="004E70C7">
            <w:pPr>
              <w:pStyle w:val="TableParagraph"/>
              <w:spacing w:before="35"/>
              <w:ind w:left="328"/>
              <w:jc w:val="both"/>
              <w:rPr>
                <w:rFonts w:ascii="Arial Narrow" w:eastAsia="仿宋_GB2312" w:hAnsi="Arial Narrow"/>
              </w:rPr>
            </w:pPr>
            <w:proofErr w:type="spellStart"/>
            <w:r>
              <w:rPr>
                <w:rFonts w:ascii="Arial Narrow" w:eastAsia="仿宋_GB2312" w:hAnsi="Arial Narrow"/>
              </w:rPr>
              <w:t>吉尔吉斯斯坦</w:t>
            </w:r>
            <w:proofErr w:type="spellEnd"/>
          </w:p>
        </w:tc>
        <w:tc>
          <w:tcPr>
            <w:tcW w:w="1900" w:type="dxa"/>
          </w:tcPr>
          <w:p w14:paraId="0FB12C72" w14:textId="77777777" w:rsidR="006B4107" w:rsidRDefault="004E70C7">
            <w:pPr>
              <w:pStyle w:val="TableParagraph"/>
              <w:spacing w:before="35"/>
              <w:ind w:left="374"/>
              <w:jc w:val="both"/>
              <w:rPr>
                <w:rFonts w:ascii="Arial Narrow" w:eastAsia="仿宋_GB2312" w:hAnsi="Arial Narrow"/>
              </w:rPr>
            </w:pPr>
            <w:proofErr w:type="spellStart"/>
            <w:r>
              <w:rPr>
                <w:rFonts w:ascii="Arial Narrow" w:eastAsia="仿宋_GB2312" w:hAnsi="Arial Narrow"/>
              </w:rPr>
              <w:t>老挝</w:t>
            </w:r>
            <w:proofErr w:type="spellEnd"/>
          </w:p>
        </w:tc>
        <w:tc>
          <w:tcPr>
            <w:tcW w:w="1673" w:type="dxa"/>
          </w:tcPr>
          <w:p w14:paraId="1B02CAA9" w14:textId="77777777" w:rsidR="006B4107" w:rsidRDefault="004E70C7">
            <w:pPr>
              <w:pStyle w:val="TableParagraph"/>
              <w:spacing w:before="35"/>
              <w:ind w:left="388"/>
              <w:jc w:val="both"/>
              <w:rPr>
                <w:rFonts w:ascii="Arial Narrow" w:eastAsia="仿宋_GB2312" w:hAnsi="Arial Narrow"/>
              </w:rPr>
            </w:pPr>
            <w:proofErr w:type="spellStart"/>
            <w:r>
              <w:rPr>
                <w:rFonts w:ascii="Arial Narrow" w:eastAsia="仿宋_GB2312" w:hAnsi="Arial Narrow"/>
              </w:rPr>
              <w:t>澳门</w:t>
            </w:r>
            <w:proofErr w:type="spellEnd"/>
          </w:p>
        </w:tc>
        <w:tc>
          <w:tcPr>
            <w:tcW w:w="1955" w:type="dxa"/>
          </w:tcPr>
          <w:p w14:paraId="5525868A" w14:textId="77777777" w:rsidR="006B4107" w:rsidRDefault="004E70C7">
            <w:pPr>
              <w:pStyle w:val="TableParagraph"/>
              <w:spacing w:before="35"/>
              <w:ind w:left="307"/>
              <w:jc w:val="both"/>
              <w:rPr>
                <w:rFonts w:ascii="Arial Narrow" w:eastAsia="仿宋_GB2312" w:hAnsi="Arial Narrow"/>
              </w:rPr>
            </w:pPr>
            <w:proofErr w:type="spellStart"/>
            <w:r>
              <w:rPr>
                <w:rFonts w:ascii="Arial Narrow" w:eastAsia="仿宋_GB2312" w:hAnsi="Arial Narrow"/>
              </w:rPr>
              <w:t>马来西亚</w:t>
            </w:r>
            <w:proofErr w:type="spellEnd"/>
          </w:p>
        </w:tc>
      </w:tr>
      <w:tr w:rsidR="006B4107" w14:paraId="241E1640" w14:textId="77777777">
        <w:trPr>
          <w:trHeight w:hRule="exact" w:val="505"/>
        </w:trPr>
        <w:tc>
          <w:tcPr>
            <w:tcW w:w="1134" w:type="dxa"/>
          </w:tcPr>
          <w:p w14:paraId="7CED53AA" w14:textId="77777777" w:rsidR="006B4107" w:rsidRDefault="004E70C7">
            <w:pPr>
              <w:pStyle w:val="TableParagraph"/>
              <w:spacing w:before="37"/>
              <w:ind w:left="50"/>
              <w:jc w:val="both"/>
              <w:rPr>
                <w:rFonts w:ascii="Arial Narrow" w:eastAsia="仿宋_GB2312" w:hAnsi="Arial Narrow"/>
              </w:rPr>
            </w:pPr>
            <w:proofErr w:type="spellStart"/>
            <w:r>
              <w:rPr>
                <w:rFonts w:ascii="Arial Narrow" w:eastAsia="仿宋_GB2312" w:hAnsi="Arial Narrow"/>
              </w:rPr>
              <w:t>马尔代夫</w:t>
            </w:r>
            <w:proofErr w:type="spellEnd"/>
          </w:p>
        </w:tc>
        <w:tc>
          <w:tcPr>
            <w:tcW w:w="1701" w:type="dxa"/>
          </w:tcPr>
          <w:p w14:paraId="37AF9040" w14:textId="77777777" w:rsidR="006B4107" w:rsidRDefault="004E70C7">
            <w:pPr>
              <w:pStyle w:val="TableParagraph"/>
              <w:spacing w:before="37"/>
              <w:ind w:left="328"/>
              <w:jc w:val="both"/>
              <w:rPr>
                <w:rFonts w:ascii="Arial Narrow" w:eastAsia="仿宋_GB2312" w:hAnsi="Arial Narrow"/>
              </w:rPr>
            </w:pPr>
            <w:proofErr w:type="spellStart"/>
            <w:r>
              <w:rPr>
                <w:rFonts w:ascii="Arial Narrow" w:eastAsia="仿宋_GB2312" w:hAnsi="Arial Narrow"/>
              </w:rPr>
              <w:t>蒙古</w:t>
            </w:r>
            <w:proofErr w:type="spellEnd"/>
          </w:p>
        </w:tc>
        <w:tc>
          <w:tcPr>
            <w:tcW w:w="1900" w:type="dxa"/>
          </w:tcPr>
          <w:p w14:paraId="653DCBE0" w14:textId="77777777" w:rsidR="006B4107" w:rsidRDefault="004E70C7">
            <w:pPr>
              <w:pStyle w:val="TableParagraph"/>
              <w:spacing w:before="37"/>
              <w:ind w:left="374"/>
              <w:jc w:val="both"/>
              <w:rPr>
                <w:rFonts w:ascii="Arial Narrow" w:eastAsia="仿宋_GB2312" w:hAnsi="Arial Narrow"/>
              </w:rPr>
            </w:pPr>
            <w:proofErr w:type="spellStart"/>
            <w:r>
              <w:rPr>
                <w:rFonts w:ascii="Arial Narrow" w:eastAsia="仿宋_GB2312" w:hAnsi="Arial Narrow"/>
              </w:rPr>
              <w:t>缅甸</w:t>
            </w:r>
            <w:proofErr w:type="spellEnd"/>
          </w:p>
        </w:tc>
        <w:tc>
          <w:tcPr>
            <w:tcW w:w="1673" w:type="dxa"/>
          </w:tcPr>
          <w:p w14:paraId="0EC34E68" w14:textId="77777777" w:rsidR="006B4107" w:rsidRDefault="004E70C7">
            <w:pPr>
              <w:pStyle w:val="TableParagraph"/>
              <w:spacing w:before="37"/>
              <w:ind w:left="388"/>
              <w:jc w:val="both"/>
              <w:rPr>
                <w:rFonts w:ascii="Arial Narrow" w:eastAsia="仿宋_GB2312" w:hAnsi="Arial Narrow"/>
              </w:rPr>
            </w:pPr>
            <w:proofErr w:type="spellStart"/>
            <w:r>
              <w:rPr>
                <w:rFonts w:ascii="Arial Narrow" w:eastAsia="仿宋_GB2312" w:hAnsi="Arial Narrow"/>
              </w:rPr>
              <w:t>尼泊尔</w:t>
            </w:r>
            <w:proofErr w:type="spellEnd"/>
          </w:p>
        </w:tc>
        <w:tc>
          <w:tcPr>
            <w:tcW w:w="1955" w:type="dxa"/>
          </w:tcPr>
          <w:p w14:paraId="75A3B32F" w14:textId="77777777" w:rsidR="006B4107" w:rsidRDefault="004E70C7">
            <w:pPr>
              <w:pStyle w:val="TableParagraph"/>
              <w:spacing w:before="37"/>
              <w:ind w:left="307"/>
              <w:jc w:val="both"/>
              <w:rPr>
                <w:rFonts w:ascii="Arial Narrow" w:eastAsia="仿宋_GB2312" w:hAnsi="Arial Narrow"/>
              </w:rPr>
            </w:pPr>
            <w:proofErr w:type="spellStart"/>
            <w:r>
              <w:rPr>
                <w:rFonts w:ascii="Arial Narrow" w:eastAsia="仿宋_GB2312" w:hAnsi="Arial Narrow"/>
              </w:rPr>
              <w:t>巴基斯坦</w:t>
            </w:r>
            <w:proofErr w:type="spellEnd"/>
          </w:p>
        </w:tc>
      </w:tr>
      <w:tr w:rsidR="006B4107" w14:paraId="2FCB495E" w14:textId="77777777">
        <w:trPr>
          <w:trHeight w:hRule="exact" w:val="505"/>
        </w:trPr>
        <w:tc>
          <w:tcPr>
            <w:tcW w:w="1134" w:type="dxa"/>
          </w:tcPr>
          <w:p w14:paraId="3148589D" w14:textId="77777777" w:rsidR="006B4107" w:rsidRDefault="004E70C7">
            <w:pPr>
              <w:pStyle w:val="TableParagraph"/>
              <w:spacing w:before="35"/>
              <w:ind w:left="50"/>
              <w:jc w:val="both"/>
              <w:rPr>
                <w:rFonts w:ascii="Arial Narrow" w:eastAsia="仿宋_GB2312" w:hAnsi="Arial Narrow"/>
              </w:rPr>
            </w:pPr>
            <w:proofErr w:type="spellStart"/>
            <w:r>
              <w:rPr>
                <w:rFonts w:ascii="Arial Narrow" w:eastAsia="仿宋_GB2312" w:hAnsi="Arial Narrow"/>
              </w:rPr>
              <w:t>菲律宾</w:t>
            </w:r>
            <w:proofErr w:type="spellEnd"/>
          </w:p>
        </w:tc>
        <w:tc>
          <w:tcPr>
            <w:tcW w:w="1701" w:type="dxa"/>
          </w:tcPr>
          <w:p w14:paraId="3F7C3DD3" w14:textId="77777777" w:rsidR="006B4107" w:rsidRDefault="004E70C7">
            <w:pPr>
              <w:pStyle w:val="TableParagraph"/>
              <w:spacing w:before="35"/>
              <w:ind w:left="328"/>
              <w:jc w:val="both"/>
              <w:rPr>
                <w:rFonts w:ascii="Arial Narrow" w:eastAsia="仿宋_GB2312" w:hAnsi="Arial Narrow"/>
              </w:rPr>
            </w:pPr>
            <w:proofErr w:type="spellStart"/>
            <w:r>
              <w:rPr>
                <w:rFonts w:ascii="Arial Narrow" w:eastAsia="仿宋_GB2312" w:hAnsi="Arial Narrow"/>
              </w:rPr>
              <w:t>新加坡</w:t>
            </w:r>
            <w:proofErr w:type="spellEnd"/>
          </w:p>
        </w:tc>
        <w:tc>
          <w:tcPr>
            <w:tcW w:w="1900" w:type="dxa"/>
          </w:tcPr>
          <w:p w14:paraId="1C5CA9BC" w14:textId="77777777" w:rsidR="006B4107" w:rsidRDefault="004E70C7">
            <w:pPr>
              <w:pStyle w:val="TableParagraph"/>
              <w:spacing w:before="35"/>
              <w:ind w:left="374"/>
              <w:jc w:val="both"/>
              <w:rPr>
                <w:rFonts w:ascii="Arial Narrow" w:eastAsia="仿宋_GB2312" w:hAnsi="Arial Narrow"/>
              </w:rPr>
            </w:pPr>
            <w:proofErr w:type="spellStart"/>
            <w:r>
              <w:rPr>
                <w:rFonts w:ascii="Arial Narrow" w:eastAsia="仿宋_GB2312" w:hAnsi="Arial Narrow"/>
              </w:rPr>
              <w:t>斯里兰卡</w:t>
            </w:r>
            <w:proofErr w:type="spellEnd"/>
          </w:p>
        </w:tc>
        <w:tc>
          <w:tcPr>
            <w:tcW w:w="1673" w:type="dxa"/>
          </w:tcPr>
          <w:p w14:paraId="29E86239" w14:textId="77777777" w:rsidR="006B4107" w:rsidRDefault="004E70C7">
            <w:pPr>
              <w:pStyle w:val="TableParagraph"/>
              <w:spacing w:before="35"/>
              <w:ind w:left="388"/>
              <w:jc w:val="both"/>
              <w:rPr>
                <w:rFonts w:ascii="Arial Narrow" w:eastAsia="仿宋_GB2312" w:hAnsi="Arial Narrow"/>
              </w:rPr>
            </w:pPr>
            <w:proofErr w:type="spellStart"/>
            <w:r>
              <w:rPr>
                <w:rFonts w:ascii="Arial Narrow" w:eastAsia="仿宋_GB2312" w:hAnsi="Arial Narrow"/>
              </w:rPr>
              <w:t>台湾</w:t>
            </w:r>
            <w:proofErr w:type="spellEnd"/>
          </w:p>
        </w:tc>
        <w:tc>
          <w:tcPr>
            <w:tcW w:w="1955" w:type="dxa"/>
          </w:tcPr>
          <w:p w14:paraId="530CDEC7" w14:textId="77777777" w:rsidR="006B4107" w:rsidRDefault="004E70C7">
            <w:pPr>
              <w:pStyle w:val="TableParagraph"/>
              <w:spacing w:before="35"/>
              <w:ind w:left="307"/>
              <w:jc w:val="both"/>
              <w:rPr>
                <w:rFonts w:ascii="Arial Narrow" w:eastAsia="仿宋_GB2312" w:hAnsi="Arial Narrow"/>
              </w:rPr>
            </w:pPr>
            <w:proofErr w:type="spellStart"/>
            <w:r>
              <w:rPr>
                <w:rFonts w:ascii="Arial Narrow" w:eastAsia="仿宋_GB2312" w:hAnsi="Arial Narrow"/>
              </w:rPr>
              <w:t>塔吉克斯坦</w:t>
            </w:r>
            <w:proofErr w:type="spellEnd"/>
          </w:p>
        </w:tc>
      </w:tr>
      <w:tr w:rsidR="006B4107" w14:paraId="773D5C9F" w14:textId="77777777">
        <w:trPr>
          <w:trHeight w:hRule="exact" w:val="368"/>
        </w:trPr>
        <w:tc>
          <w:tcPr>
            <w:tcW w:w="1134" w:type="dxa"/>
          </w:tcPr>
          <w:p w14:paraId="24CA6328" w14:textId="77777777" w:rsidR="006B4107" w:rsidRDefault="004E70C7">
            <w:pPr>
              <w:pStyle w:val="TableParagraph"/>
              <w:spacing w:before="37"/>
              <w:ind w:left="50"/>
              <w:jc w:val="both"/>
              <w:rPr>
                <w:rFonts w:ascii="Arial Narrow" w:eastAsia="仿宋_GB2312" w:hAnsi="Arial Narrow"/>
                <w:lang w:eastAsia="zh-CN"/>
              </w:rPr>
            </w:pPr>
            <w:proofErr w:type="spellStart"/>
            <w:r>
              <w:rPr>
                <w:rFonts w:ascii="Arial Narrow" w:eastAsia="仿宋_GB2312" w:hAnsi="Arial Narrow"/>
              </w:rPr>
              <w:t>泰国</w:t>
            </w:r>
            <w:proofErr w:type="spellEnd"/>
          </w:p>
        </w:tc>
        <w:tc>
          <w:tcPr>
            <w:tcW w:w="1701" w:type="dxa"/>
          </w:tcPr>
          <w:p w14:paraId="034ABE5E" w14:textId="77777777" w:rsidR="006B4107" w:rsidRDefault="004E70C7">
            <w:pPr>
              <w:pStyle w:val="TableParagraph"/>
              <w:spacing w:before="37"/>
              <w:ind w:left="328"/>
              <w:jc w:val="both"/>
              <w:rPr>
                <w:rFonts w:ascii="Arial Narrow" w:eastAsia="仿宋_GB2312" w:hAnsi="Arial Narrow"/>
              </w:rPr>
            </w:pPr>
            <w:proofErr w:type="spellStart"/>
            <w:r>
              <w:rPr>
                <w:rFonts w:ascii="Arial Narrow" w:eastAsia="仿宋_GB2312" w:hAnsi="Arial Narrow"/>
              </w:rPr>
              <w:t>土库曼斯坦</w:t>
            </w:r>
            <w:proofErr w:type="spellEnd"/>
          </w:p>
        </w:tc>
        <w:tc>
          <w:tcPr>
            <w:tcW w:w="1900" w:type="dxa"/>
          </w:tcPr>
          <w:p w14:paraId="6575BE8A" w14:textId="77777777" w:rsidR="006B4107" w:rsidRDefault="004E70C7">
            <w:pPr>
              <w:pStyle w:val="TableParagraph"/>
              <w:spacing w:before="37"/>
              <w:ind w:left="374"/>
              <w:jc w:val="both"/>
              <w:rPr>
                <w:rFonts w:ascii="Arial Narrow" w:eastAsia="仿宋_GB2312" w:hAnsi="Arial Narrow"/>
              </w:rPr>
            </w:pPr>
            <w:proofErr w:type="spellStart"/>
            <w:r>
              <w:rPr>
                <w:rFonts w:ascii="Arial Narrow" w:eastAsia="仿宋_GB2312" w:hAnsi="Arial Narrow"/>
              </w:rPr>
              <w:t>乌兹别克斯坦</w:t>
            </w:r>
            <w:proofErr w:type="spellEnd"/>
          </w:p>
        </w:tc>
        <w:tc>
          <w:tcPr>
            <w:tcW w:w="1673" w:type="dxa"/>
          </w:tcPr>
          <w:p w14:paraId="711B9C48" w14:textId="77777777" w:rsidR="006B4107" w:rsidRDefault="004E70C7">
            <w:pPr>
              <w:pStyle w:val="TableParagraph"/>
              <w:spacing w:before="37"/>
              <w:ind w:left="388"/>
              <w:jc w:val="both"/>
              <w:rPr>
                <w:rFonts w:ascii="Arial Narrow" w:eastAsia="仿宋_GB2312" w:hAnsi="Arial Narrow"/>
              </w:rPr>
            </w:pPr>
            <w:proofErr w:type="spellStart"/>
            <w:r>
              <w:rPr>
                <w:rFonts w:ascii="Arial Narrow" w:eastAsia="仿宋_GB2312" w:hAnsi="Arial Narrow"/>
              </w:rPr>
              <w:t>越南</w:t>
            </w:r>
            <w:proofErr w:type="spellEnd"/>
          </w:p>
        </w:tc>
        <w:tc>
          <w:tcPr>
            <w:tcW w:w="1955" w:type="dxa"/>
          </w:tcPr>
          <w:p w14:paraId="4B47796E" w14:textId="77777777" w:rsidR="006B4107" w:rsidRDefault="004E70C7">
            <w:pPr>
              <w:pStyle w:val="TableParagraph"/>
              <w:spacing w:before="37"/>
              <w:ind w:left="307"/>
              <w:jc w:val="both"/>
              <w:rPr>
                <w:rFonts w:ascii="Arial Narrow" w:eastAsia="仿宋_GB2312" w:hAnsi="Arial Narrow"/>
                <w:lang w:eastAsia="zh-CN"/>
              </w:rPr>
            </w:pPr>
            <w:r>
              <w:rPr>
                <w:rFonts w:ascii="Arial Narrow" w:eastAsia="仿宋_GB2312" w:hAnsi="Arial Narrow" w:hint="eastAsia"/>
                <w:lang w:eastAsia="zh-CN"/>
              </w:rPr>
              <w:t>澳大利亚</w:t>
            </w:r>
          </w:p>
          <w:p w14:paraId="100A53CB" w14:textId="77777777" w:rsidR="006B4107" w:rsidRDefault="006B4107">
            <w:pPr>
              <w:pStyle w:val="TableParagraph"/>
              <w:spacing w:before="37"/>
              <w:jc w:val="both"/>
              <w:rPr>
                <w:rFonts w:ascii="Arial Narrow" w:eastAsia="仿宋_GB2312" w:hAnsi="Arial Narrow"/>
                <w:lang w:eastAsia="zh-CN"/>
              </w:rPr>
            </w:pPr>
          </w:p>
        </w:tc>
      </w:tr>
      <w:tr w:rsidR="006B4107" w14:paraId="495A593C" w14:textId="77777777">
        <w:trPr>
          <w:trHeight w:hRule="exact" w:val="368"/>
        </w:trPr>
        <w:tc>
          <w:tcPr>
            <w:tcW w:w="1134" w:type="dxa"/>
            <w:vAlign w:val="center"/>
          </w:tcPr>
          <w:p w14:paraId="081743B7" w14:textId="77777777" w:rsidR="006B4107" w:rsidRDefault="004E70C7">
            <w:pPr>
              <w:pStyle w:val="TableParagraph"/>
              <w:spacing w:before="37"/>
              <w:ind w:left="50"/>
              <w:jc w:val="both"/>
              <w:rPr>
                <w:rFonts w:ascii="Arial Narrow" w:eastAsia="仿宋_GB2312" w:hAnsi="Arial Narrow"/>
              </w:rPr>
            </w:pPr>
            <w:r>
              <w:rPr>
                <w:rFonts w:ascii="Arial Narrow" w:eastAsia="仿宋_GB2312" w:hAnsi="Arial Narrow" w:hint="eastAsia"/>
                <w:lang w:eastAsia="zh-CN"/>
              </w:rPr>
              <w:t>新西兰</w:t>
            </w:r>
          </w:p>
        </w:tc>
        <w:tc>
          <w:tcPr>
            <w:tcW w:w="1701" w:type="dxa"/>
          </w:tcPr>
          <w:p w14:paraId="7F8D7202" w14:textId="77777777" w:rsidR="006B4107" w:rsidRDefault="006B4107">
            <w:pPr>
              <w:pStyle w:val="TableParagraph"/>
              <w:spacing w:before="37"/>
              <w:ind w:left="328"/>
              <w:jc w:val="both"/>
              <w:rPr>
                <w:rFonts w:ascii="Arial Narrow" w:eastAsia="仿宋_GB2312" w:hAnsi="Arial Narrow"/>
              </w:rPr>
            </w:pPr>
          </w:p>
        </w:tc>
        <w:tc>
          <w:tcPr>
            <w:tcW w:w="1900" w:type="dxa"/>
          </w:tcPr>
          <w:p w14:paraId="705BAF35" w14:textId="77777777" w:rsidR="006B4107" w:rsidRDefault="006B4107">
            <w:pPr>
              <w:pStyle w:val="TableParagraph"/>
              <w:spacing w:before="37"/>
              <w:ind w:left="374"/>
              <w:jc w:val="both"/>
              <w:rPr>
                <w:rFonts w:ascii="Arial Narrow" w:eastAsia="仿宋_GB2312" w:hAnsi="Arial Narrow"/>
              </w:rPr>
            </w:pPr>
          </w:p>
        </w:tc>
        <w:tc>
          <w:tcPr>
            <w:tcW w:w="1673" w:type="dxa"/>
          </w:tcPr>
          <w:p w14:paraId="085D8775" w14:textId="77777777" w:rsidR="006B4107" w:rsidRDefault="006B4107">
            <w:pPr>
              <w:pStyle w:val="TableParagraph"/>
              <w:spacing w:before="37"/>
              <w:ind w:left="388"/>
              <w:jc w:val="both"/>
              <w:rPr>
                <w:rFonts w:ascii="Arial Narrow" w:eastAsia="仿宋_GB2312" w:hAnsi="Arial Narrow"/>
              </w:rPr>
            </w:pPr>
          </w:p>
        </w:tc>
        <w:tc>
          <w:tcPr>
            <w:tcW w:w="1955" w:type="dxa"/>
          </w:tcPr>
          <w:p w14:paraId="07224915" w14:textId="77777777" w:rsidR="006B4107" w:rsidRDefault="006B4107">
            <w:pPr>
              <w:pStyle w:val="TableParagraph"/>
              <w:spacing w:before="37"/>
              <w:ind w:left="307"/>
              <w:jc w:val="both"/>
              <w:rPr>
                <w:rFonts w:ascii="Arial Narrow" w:eastAsia="仿宋_GB2312" w:hAnsi="Arial Narrow"/>
                <w:lang w:eastAsia="zh-CN"/>
              </w:rPr>
            </w:pPr>
          </w:p>
        </w:tc>
      </w:tr>
    </w:tbl>
    <w:p w14:paraId="2A1E2BE3" w14:textId="77777777" w:rsidR="006B4107" w:rsidRDefault="004E70C7">
      <w:pPr>
        <w:spacing w:beforeLines="50" w:before="156" w:afterLines="50" w:after="156" w:line="360" w:lineRule="auto"/>
        <w:ind w:firstLineChars="200" w:firstLine="440"/>
        <w:jc w:val="both"/>
        <w:rPr>
          <w:rFonts w:cs="Arial Unicode MS"/>
        </w:rPr>
      </w:pPr>
      <w:r>
        <w:rPr>
          <w:rFonts w:cs="Arial Unicode MS"/>
        </w:rPr>
        <w:t>通过这种地理位置筛选，我们得到了</w:t>
      </w:r>
      <w:r>
        <w:rPr>
          <w:rFonts w:cs="Arial Unicode MS"/>
        </w:rPr>
        <w:t>432</w:t>
      </w:r>
      <w:r>
        <w:rPr>
          <w:rFonts w:cs="Arial Unicode MS"/>
        </w:rPr>
        <w:t>家可比公司。</w:t>
      </w:r>
    </w:p>
    <w:p w14:paraId="62867C2E" w14:textId="77777777" w:rsidR="006B4107" w:rsidRDefault="004E70C7">
      <w:pPr>
        <w:pStyle w:val="4"/>
        <w:rPr>
          <w:rFonts w:ascii="Arial Narrow" w:eastAsia="仿宋_GB2312" w:hAnsi="Arial Narrow" w:cs="楷体"/>
          <w:b w:val="0"/>
          <w:iCs w:val="0"/>
          <w:color w:val="002060"/>
          <w:szCs w:val="22"/>
        </w:rPr>
      </w:pPr>
      <w:r>
        <w:rPr>
          <w:rFonts w:ascii="Arial Narrow" w:eastAsia="仿宋_GB2312" w:hAnsi="Arial Narrow" w:cs="楷体"/>
          <w:b w:val="0"/>
          <w:iCs w:val="0"/>
          <w:color w:val="002060"/>
          <w:szCs w:val="22"/>
        </w:rPr>
        <w:lastRenderedPageBreak/>
        <w:t>独立性和上市公司筛选</w:t>
      </w:r>
    </w:p>
    <w:p w14:paraId="5C56CCF2" w14:textId="77777777" w:rsidR="006B4107" w:rsidRDefault="004E70C7">
      <w:pPr>
        <w:spacing w:beforeLines="50" w:before="156" w:afterLines="50" w:after="156" w:line="360" w:lineRule="auto"/>
        <w:ind w:firstLineChars="200" w:firstLine="440"/>
        <w:jc w:val="both"/>
        <w:rPr>
          <w:rFonts w:cs="Arial Unicode MS"/>
        </w:rPr>
      </w:pPr>
      <w:r>
        <w:rPr>
          <w:rFonts w:cs="Arial Unicode MS"/>
        </w:rPr>
        <w:t>受控企业或者非独立企业的交易价格或利润水平可能会受到其与关联公司之间进行的可能违反独立交易原则的交易的影响而发生扭曲。因此，我们采用了</w:t>
      </w:r>
      <w:r>
        <w:rPr>
          <w:rFonts w:cs="Arial Unicode MS"/>
        </w:rPr>
        <w:t>Bureau van Dijk</w:t>
      </w:r>
      <w:r>
        <w:rPr>
          <w:rFonts w:cs="Arial Unicode MS"/>
        </w:rPr>
        <w:t>的独立性指标，来排除那些可能被认定为非独立性的公司。</w:t>
      </w:r>
    </w:p>
    <w:p w14:paraId="090150C2" w14:textId="77777777" w:rsidR="006B4107" w:rsidRDefault="004E70C7">
      <w:pPr>
        <w:spacing w:beforeLines="50" w:before="156" w:afterLines="50" w:after="156" w:line="360" w:lineRule="auto"/>
        <w:ind w:firstLineChars="200" w:firstLine="440"/>
        <w:jc w:val="both"/>
        <w:rPr>
          <w:rFonts w:cs="Arial Unicode MS"/>
        </w:rPr>
      </w:pPr>
      <w:r>
        <w:rPr>
          <w:rFonts w:cs="Arial Unicode MS"/>
        </w:rPr>
        <w:t>我们保留了</w:t>
      </w:r>
      <w:r>
        <w:rPr>
          <w:rFonts w:cs="Arial Unicode MS"/>
        </w:rPr>
        <w:t>13</w:t>
      </w:r>
      <w:r>
        <w:rPr>
          <w:rFonts w:cs="Arial Unicode MS" w:hint="eastAsia"/>
        </w:rPr>
        <w:t>1</w:t>
      </w:r>
      <w:r>
        <w:rPr>
          <w:rFonts w:cs="Arial Unicode MS"/>
        </w:rPr>
        <w:t>家被标注为如下股权关系的上市公司：</w:t>
      </w:r>
    </w:p>
    <w:p w14:paraId="1283EB16" w14:textId="77777777" w:rsidR="006B4107" w:rsidRDefault="004E70C7">
      <w:pPr>
        <w:pStyle w:val="affd"/>
        <w:numPr>
          <w:ilvl w:val="0"/>
          <w:numId w:val="25"/>
        </w:numPr>
        <w:spacing w:beforeLines="50" w:before="156" w:afterLines="50" w:after="156" w:line="360" w:lineRule="auto"/>
        <w:ind w:right="113"/>
        <w:contextualSpacing w:val="0"/>
        <w:jc w:val="both"/>
        <w:rPr>
          <w:rFonts w:ascii="Arial Narrow" w:hAnsi="Arial Narrow" w:cs="Arial Unicode MS"/>
        </w:rPr>
      </w:pPr>
      <w:r>
        <w:rPr>
          <w:rFonts w:ascii="Arial Narrow" w:hAnsi="Arial Narrow" w:cs="Arial Unicode MS"/>
        </w:rPr>
        <w:t>A+</w:t>
      </w:r>
      <w:r>
        <w:rPr>
          <w:rFonts w:ascii="Arial Narrow" w:hAnsi="Arial Narrow" w:cs="Arial Unicode MS"/>
        </w:rPr>
        <w:t>，</w:t>
      </w:r>
      <w:r>
        <w:rPr>
          <w:rFonts w:ascii="Arial Narrow" w:hAnsi="Arial Narrow" w:cs="Arial Unicode MS"/>
        </w:rPr>
        <w:t>A</w:t>
      </w:r>
      <w:r>
        <w:rPr>
          <w:rFonts w:ascii="Arial Narrow" w:hAnsi="Arial Narrow" w:cs="Arial Unicode MS"/>
        </w:rPr>
        <w:t>，</w:t>
      </w:r>
      <w:r>
        <w:rPr>
          <w:rFonts w:ascii="Arial Narrow" w:hAnsi="Arial Narrow" w:cs="Arial Unicode MS"/>
        </w:rPr>
        <w:t>A-</w:t>
      </w:r>
      <w:r>
        <w:rPr>
          <w:rFonts w:ascii="Arial Narrow" w:hAnsi="Arial Narrow" w:cs="Arial Unicode MS"/>
        </w:rPr>
        <w:t>：表明没有任何单个股东控制该公司的股份超过</w:t>
      </w:r>
      <w:r>
        <w:rPr>
          <w:rFonts w:ascii="Arial Narrow" w:hAnsi="Arial Narrow" w:cs="Arial Unicode MS"/>
        </w:rPr>
        <w:t>25%</w:t>
      </w:r>
      <w:r>
        <w:rPr>
          <w:rFonts w:ascii="Arial Narrow" w:hAnsi="Arial Narrow" w:cs="Arial Unicode MS"/>
        </w:rPr>
        <w:t>；</w:t>
      </w:r>
    </w:p>
    <w:p w14:paraId="69DE5ED7" w14:textId="77777777" w:rsidR="006B4107" w:rsidRDefault="004E70C7">
      <w:pPr>
        <w:pStyle w:val="affd"/>
        <w:numPr>
          <w:ilvl w:val="0"/>
          <w:numId w:val="25"/>
        </w:numPr>
        <w:spacing w:beforeLines="50" w:before="156" w:afterLines="50" w:after="156" w:line="360" w:lineRule="auto"/>
        <w:ind w:right="113"/>
        <w:contextualSpacing w:val="0"/>
        <w:jc w:val="both"/>
        <w:rPr>
          <w:rFonts w:ascii="Arial Narrow" w:hAnsi="Arial Narrow" w:cs="Arial Unicode MS"/>
        </w:rPr>
      </w:pPr>
      <w:r>
        <w:rPr>
          <w:rFonts w:ascii="Arial Narrow" w:hAnsi="Arial Narrow" w:cs="Arial Unicode MS"/>
        </w:rPr>
        <w:t>U</w:t>
      </w:r>
      <w:r>
        <w:rPr>
          <w:rFonts w:ascii="Arial Narrow" w:hAnsi="Arial Narrow" w:cs="Arial Unicode MS"/>
        </w:rPr>
        <w:t>：表明持股不详。</w:t>
      </w:r>
    </w:p>
    <w:p w14:paraId="12E9529F" w14:textId="77777777" w:rsidR="006B4107" w:rsidRDefault="004E70C7">
      <w:pPr>
        <w:pStyle w:val="4"/>
        <w:rPr>
          <w:rFonts w:ascii="Arial Narrow" w:eastAsia="仿宋_GB2312" w:hAnsi="Arial Narrow"/>
          <w:iCs w:val="0"/>
          <w:color w:val="002060"/>
        </w:rPr>
      </w:pPr>
      <w:r>
        <w:rPr>
          <w:rFonts w:ascii="Arial Narrow" w:eastAsia="仿宋_GB2312" w:hAnsi="Arial Narrow" w:cs="楷体"/>
          <w:b w:val="0"/>
          <w:iCs w:val="0"/>
          <w:color w:val="002060"/>
          <w:szCs w:val="22"/>
        </w:rPr>
        <w:t>定量筛选</w:t>
      </w:r>
    </w:p>
    <w:p w14:paraId="1C13628C" w14:textId="77777777" w:rsidR="006B4107" w:rsidRDefault="004E70C7">
      <w:pPr>
        <w:spacing w:beforeLines="50" w:before="156" w:afterLines="50" w:after="156" w:line="360" w:lineRule="auto"/>
        <w:ind w:firstLineChars="200" w:firstLine="440"/>
        <w:jc w:val="both"/>
        <w:rPr>
          <w:rFonts w:cs="Arial Unicode MS"/>
        </w:rPr>
      </w:pPr>
      <w:r>
        <w:rPr>
          <w:rFonts w:cs="Arial Unicode MS"/>
        </w:rPr>
        <w:t>我们将</w:t>
      </w:r>
      <w:r>
        <w:rPr>
          <w:rFonts w:cs="Arial Unicode MS"/>
        </w:rPr>
        <w:t>13</w:t>
      </w:r>
      <w:r>
        <w:rPr>
          <w:rFonts w:cs="Arial Unicode MS" w:hint="eastAsia"/>
        </w:rPr>
        <w:t>1</w:t>
      </w:r>
      <w:r>
        <w:rPr>
          <w:rFonts w:cs="Arial Unicode MS"/>
        </w:rPr>
        <w:t>家样本公司中在</w:t>
      </w:r>
      <w:r>
        <w:rPr>
          <w:rFonts w:cs="Arial Unicode MS"/>
        </w:rPr>
        <w:t>2020</w:t>
      </w:r>
      <w:r>
        <w:rPr>
          <w:rFonts w:cs="Arial Unicode MS"/>
        </w:rPr>
        <w:t>到</w:t>
      </w:r>
      <w:r>
        <w:rPr>
          <w:rFonts w:cs="Arial Unicode MS"/>
        </w:rPr>
        <w:t>2022</w:t>
      </w:r>
      <w:r>
        <w:rPr>
          <w:rFonts w:cs="Arial Unicode MS"/>
        </w:rPr>
        <w:t>财年内满足以下一项或多项特征的样本公司予以排除，从而提高潜在可比</w:t>
      </w:r>
      <w:r>
        <w:rPr>
          <w:rFonts w:cs="Arial Unicode MS" w:hint="eastAsia"/>
        </w:rPr>
        <w:t>=</w:t>
      </w:r>
      <w:r>
        <w:rPr>
          <w:rFonts w:cs="Arial Unicode MS"/>
        </w:rPr>
        <w:t>公司样本的可比性：</w:t>
      </w:r>
    </w:p>
    <w:p w14:paraId="2EB864F6" w14:textId="77777777" w:rsidR="006B4107" w:rsidRDefault="004E70C7">
      <w:pPr>
        <w:spacing w:beforeLines="50" w:before="156" w:afterLines="50" w:after="156" w:line="360" w:lineRule="auto"/>
        <w:ind w:firstLineChars="200" w:firstLine="442"/>
        <w:jc w:val="both"/>
        <w:rPr>
          <w:rFonts w:cs="Arial Unicode MS"/>
        </w:rPr>
      </w:pPr>
      <w:r>
        <w:rPr>
          <w:rFonts w:cs="Arial Unicode MS"/>
          <w:b/>
        </w:rPr>
        <w:t>数据完整性：</w:t>
      </w:r>
      <w:r>
        <w:rPr>
          <w:rFonts w:cs="Arial Unicode MS"/>
        </w:rPr>
        <w:t>正如</w:t>
      </w:r>
      <w:r>
        <w:rPr>
          <w:rFonts w:cs="Arial Unicode MS"/>
        </w:rPr>
        <w:t>我们将在以下章节</w:t>
      </w:r>
      <w:r>
        <w:rPr>
          <w:rFonts w:cs="Arial Unicode MS"/>
        </w:rPr>
        <w:t>7.4.4.2</w:t>
      </w:r>
      <w:r>
        <w:rPr>
          <w:rFonts w:cs="Arial Unicode MS"/>
        </w:rPr>
        <w:t>中所讨论的，使用多年度数据可以降低短期市场波动对转让定价分析的影响。因此，我们排除了那些在</w:t>
      </w:r>
      <w:r>
        <w:rPr>
          <w:rFonts w:cs="Arial Unicode MS"/>
        </w:rPr>
        <w:t>2020</w:t>
      </w:r>
      <w:r>
        <w:rPr>
          <w:rFonts w:cs="Arial Unicode MS"/>
        </w:rPr>
        <w:t>年至</w:t>
      </w:r>
      <w:r>
        <w:rPr>
          <w:rFonts w:cs="Arial Unicode MS"/>
        </w:rPr>
        <w:t>2022</w:t>
      </w:r>
      <w:r>
        <w:rPr>
          <w:rFonts w:cs="Arial Unicode MS"/>
        </w:rPr>
        <w:t>财年期间，缺少</w:t>
      </w:r>
      <w:r>
        <w:rPr>
          <w:rFonts w:cs="Arial Unicode MS"/>
        </w:rPr>
        <w:t>2</w:t>
      </w:r>
      <w:r>
        <w:rPr>
          <w:rFonts w:cs="Arial Unicode MS"/>
        </w:rPr>
        <w:t>年有效财务数据的公司。</w:t>
      </w:r>
    </w:p>
    <w:p w14:paraId="7305EB82" w14:textId="77777777" w:rsidR="006B4107" w:rsidRDefault="004E70C7">
      <w:pPr>
        <w:spacing w:beforeLines="50" w:before="156" w:afterLines="50" w:after="156" w:line="360" w:lineRule="auto"/>
        <w:ind w:firstLineChars="200" w:firstLine="442"/>
        <w:jc w:val="both"/>
        <w:rPr>
          <w:rFonts w:cs="Arial Unicode MS"/>
        </w:rPr>
      </w:pPr>
      <w:r>
        <w:rPr>
          <w:rFonts w:cs="Arial Unicode MS"/>
          <w:b/>
        </w:rPr>
        <w:t>连续亏损：</w:t>
      </w:r>
      <w:r>
        <w:rPr>
          <w:rFonts w:cs="Arial Unicode MS"/>
        </w:rPr>
        <w:t>有连续亏损的独立公司</w:t>
      </w:r>
      <w:proofErr w:type="gramStart"/>
      <w:r>
        <w:rPr>
          <w:rFonts w:cs="Arial Unicode MS"/>
        </w:rPr>
        <w:t>对于</w:t>
      </w:r>
      <w:r>
        <w:rPr>
          <w:rFonts w:cs="Arial Unicode MS" w:hint="eastAsia"/>
        </w:rPr>
        <w:t>远化物流</w:t>
      </w:r>
      <w:proofErr w:type="gramEnd"/>
      <w:r>
        <w:rPr>
          <w:rFonts w:cs="Arial Unicode MS"/>
        </w:rPr>
        <w:t>这样持续经营的公司而言，不具备足够的可比性。因此，我们将</w:t>
      </w:r>
      <w:r>
        <w:rPr>
          <w:rFonts w:cs="Arial Unicode MS"/>
        </w:rPr>
        <w:t>2020</w:t>
      </w:r>
      <w:r>
        <w:rPr>
          <w:rFonts w:cs="Arial Unicode MS"/>
        </w:rPr>
        <w:t>到</w:t>
      </w:r>
      <w:r>
        <w:rPr>
          <w:rFonts w:cs="Arial Unicode MS"/>
        </w:rPr>
        <w:t>2022</w:t>
      </w:r>
      <w:r>
        <w:rPr>
          <w:rFonts w:cs="Arial Unicode MS"/>
        </w:rPr>
        <w:t>财年期间三年连续经营亏损。</w:t>
      </w:r>
    </w:p>
    <w:p w14:paraId="4528D8A1" w14:textId="77777777" w:rsidR="006B4107" w:rsidRDefault="004E70C7">
      <w:pPr>
        <w:spacing w:beforeLines="50" w:before="156" w:afterLines="50" w:after="156" w:line="360" w:lineRule="auto"/>
        <w:ind w:firstLineChars="200" w:firstLine="440"/>
        <w:jc w:val="both"/>
        <w:rPr>
          <w:rFonts w:cs="Arial Unicode MS"/>
        </w:rPr>
      </w:pPr>
      <w:r>
        <w:rPr>
          <w:rFonts w:cs="Arial Unicode MS"/>
        </w:rPr>
        <w:t>通过定量筛选，我们排除了总计</w:t>
      </w:r>
      <w:r>
        <w:rPr>
          <w:rFonts w:cs="Arial Unicode MS"/>
        </w:rPr>
        <w:t>29</w:t>
      </w:r>
      <w:r>
        <w:rPr>
          <w:rFonts w:cs="Arial Unicode MS"/>
        </w:rPr>
        <w:t>家公司，剩下</w:t>
      </w:r>
      <w:r>
        <w:rPr>
          <w:rFonts w:cs="Arial Unicode MS"/>
        </w:rPr>
        <w:t>102</w:t>
      </w:r>
      <w:r>
        <w:rPr>
          <w:rFonts w:cs="Arial Unicode MS"/>
        </w:rPr>
        <w:t>家样本公司。</w:t>
      </w:r>
    </w:p>
    <w:p w14:paraId="4B0B82D0" w14:textId="77777777" w:rsidR="006B4107" w:rsidRDefault="004E70C7">
      <w:pPr>
        <w:pStyle w:val="4"/>
        <w:rPr>
          <w:rFonts w:ascii="Arial Narrow" w:eastAsia="仿宋_GB2312" w:hAnsi="Arial Narrow"/>
          <w:iCs w:val="0"/>
          <w:color w:val="002060"/>
        </w:rPr>
      </w:pPr>
      <w:r>
        <w:rPr>
          <w:rFonts w:ascii="Arial Narrow" w:eastAsia="仿宋_GB2312" w:hAnsi="Arial Narrow" w:cs="楷体"/>
          <w:b w:val="0"/>
          <w:iCs w:val="0"/>
          <w:color w:val="002060"/>
          <w:szCs w:val="22"/>
        </w:rPr>
        <w:t>定性筛选</w:t>
      </w:r>
    </w:p>
    <w:p w14:paraId="13A635BD" w14:textId="77777777" w:rsidR="006B4107" w:rsidRDefault="004E70C7">
      <w:pPr>
        <w:spacing w:beforeLines="50" w:before="156" w:afterLines="50" w:after="156" w:line="360" w:lineRule="auto"/>
        <w:ind w:firstLineChars="200" w:firstLine="440"/>
        <w:jc w:val="both"/>
        <w:rPr>
          <w:rFonts w:cs="Arial Unicode MS"/>
        </w:rPr>
      </w:pPr>
      <w:r>
        <w:rPr>
          <w:rFonts w:cs="Arial Unicode MS"/>
        </w:rPr>
        <w:t>我们接着审阅了剩下的每一家公司在</w:t>
      </w:r>
      <w:r>
        <w:rPr>
          <w:rFonts w:cs="Arial Unicode MS"/>
        </w:rPr>
        <w:t>TP Catalyst</w:t>
      </w:r>
      <w:r>
        <w:rPr>
          <w:rFonts w:cs="Arial Unicode MS"/>
        </w:rPr>
        <w:t>数据库中的业务描述，以此来排除执行的功能（例如，研发，</w:t>
      </w:r>
      <w:r>
        <w:rPr>
          <w:rFonts w:cs="Arial Unicode MS" w:hint="eastAsia"/>
        </w:rPr>
        <w:t>分销</w:t>
      </w:r>
      <w:r>
        <w:rPr>
          <w:rFonts w:cs="Arial Unicode MS"/>
        </w:rPr>
        <w:t>，</w:t>
      </w:r>
      <w:r>
        <w:rPr>
          <w:rFonts w:cs="Arial Unicode MS"/>
        </w:rPr>
        <w:t>服务等）</w:t>
      </w:r>
      <w:proofErr w:type="gramStart"/>
      <w:r>
        <w:rPr>
          <w:rFonts w:cs="Arial Unicode MS"/>
        </w:rPr>
        <w:t>与</w:t>
      </w:r>
      <w:r>
        <w:rPr>
          <w:rFonts w:cs="Arial Unicode MS" w:hint="eastAsia"/>
        </w:rPr>
        <w:t>远化物流</w:t>
      </w:r>
      <w:proofErr w:type="gramEnd"/>
      <w:r>
        <w:rPr>
          <w:rFonts w:cs="Arial Unicode MS"/>
        </w:rPr>
        <w:t>的在受测关联交易中执行的职能不具有宽泛可比性的公司。</w:t>
      </w:r>
    </w:p>
    <w:p w14:paraId="6A6854C5" w14:textId="77777777" w:rsidR="006B4107" w:rsidRDefault="004E70C7">
      <w:pPr>
        <w:spacing w:beforeLines="50" w:before="156" w:afterLines="50" w:after="156" w:line="360" w:lineRule="auto"/>
        <w:ind w:firstLineChars="200" w:firstLine="440"/>
        <w:jc w:val="both"/>
        <w:rPr>
          <w:rFonts w:cs="Arial Unicode MS"/>
        </w:rPr>
      </w:pPr>
      <w:r>
        <w:rPr>
          <w:rFonts w:cs="Arial Unicode MS"/>
        </w:rPr>
        <w:t>通过定性筛选，我们排除了总计</w:t>
      </w:r>
      <w:r>
        <w:rPr>
          <w:rFonts w:cs="Arial Unicode MS"/>
        </w:rPr>
        <w:t>91</w:t>
      </w:r>
      <w:r>
        <w:rPr>
          <w:rFonts w:cs="Arial Unicode MS"/>
        </w:rPr>
        <w:t>家公司，它们因满足以下一项或多项条件使得它们</w:t>
      </w:r>
      <w:proofErr w:type="gramStart"/>
      <w:r>
        <w:rPr>
          <w:rFonts w:cs="Arial Unicode MS"/>
        </w:rPr>
        <w:t>与</w:t>
      </w:r>
      <w:r>
        <w:rPr>
          <w:rFonts w:cs="Arial Unicode MS" w:hint="eastAsia"/>
        </w:rPr>
        <w:t>远化物流</w:t>
      </w:r>
      <w:proofErr w:type="gramEnd"/>
      <w:r>
        <w:rPr>
          <w:rFonts w:cs="Arial Unicode MS"/>
        </w:rPr>
        <w:t>的关联企业的受测关联交易不具备充足的可比性：</w:t>
      </w:r>
    </w:p>
    <w:p w14:paraId="3F8903DA" w14:textId="77777777" w:rsidR="006B4107" w:rsidRDefault="004E70C7">
      <w:pPr>
        <w:pStyle w:val="affd"/>
        <w:numPr>
          <w:ilvl w:val="0"/>
          <w:numId w:val="26"/>
        </w:numPr>
        <w:spacing w:beforeLines="50" w:before="156" w:afterLines="50" w:after="156" w:line="360" w:lineRule="auto"/>
        <w:ind w:right="113"/>
        <w:contextualSpacing w:val="0"/>
        <w:jc w:val="both"/>
        <w:rPr>
          <w:rFonts w:ascii="Arial Narrow" w:hAnsi="Arial Narrow" w:cs="Arial Unicode MS"/>
        </w:rPr>
      </w:pPr>
      <w:r>
        <w:rPr>
          <w:rFonts w:ascii="Arial Narrow" w:hAnsi="Arial Narrow" w:cs="Arial Unicode MS"/>
        </w:rPr>
        <w:t>企业执行的功能</w:t>
      </w:r>
      <w:proofErr w:type="gramStart"/>
      <w:r>
        <w:rPr>
          <w:rFonts w:ascii="Arial Narrow" w:hAnsi="Arial Narrow" w:cs="Arial Unicode MS"/>
        </w:rPr>
        <w:t>与</w:t>
      </w:r>
      <w:r>
        <w:rPr>
          <w:rFonts w:ascii="Arial Narrow" w:hAnsi="Arial Narrow" w:cs="Arial Unicode MS" w:hint="eastAsia"/>
          <w:lang w:val="en-US"/>
        </w:rPr>
        <w:t>远化物流</w:t>
      </w:r>
      <w:proofErr w:type="gramEnd"/>
      <w:r>
        <w:rPr>
          <w:rFonts w:ascii="Arial Narrow" w:hAnsi="Arial Narrow" w:cs="楷体"/>
          <w:kern w:val="2"/>
        </w:rPr>
        <w:t>存在显著差异</w:t>
      </w:r>
      <w:r>
        <w:rPr>
          <w:rFonts w:ascii="Arial Narrow" w:hAnsi="Arial Narrow" w:cs="Arial Unicode MS"/>
        </w:rPr>
        <w:t>；</w:t>
      </w:r>
    </w:p>
    <w:p w14:paraId="06658675" w14:textId="77777777" w:rsidR="006B4107" w:rsidRDefault="004E70C7">
      <w:pPr>
        <w:pStyle w:val="affd"/>
        <w:numPr>
          <w:ilvl w:val="0"/>
          <w:numId w:val="26"/>
        </w:numPr>
        <w:spacing w:beforeLines="50" w:before="156" w:afterLines="50" w:after="156" w:line="360" w:lineRule="auto"/>
        <w:ind w:right="113"/>
        <w:contextualSpacing w:val="0"/>
        <w:jc w:val="both"/>
        <w:rPr>
          <w:rFonts w:ascii="Arial Narrow" w:hAnsi="Arial Narrow" w:cs="Arial Unicode MS"/>
        </w:rPr>
      </w:pPr>
      <w:r>
        <w:rPr>
          <w:rFonts w:ascii="Arial Narrow" w:hAnsi="Arial Narrow" w:cs="Arial Unicode MS"/>
        </w:rPr>
        <w:t>企业生产的产品</w:t>
      </w:r>
      <w:proofErr w:type="gramStart"/>
      <w:r>
        <w:rPr>
          <w:rFonts w:ascii="Arial Narrow" w:hAnsi="Arial Narrow" w:cs="Arial Unicode MS"/>
        </w:rPr>
        <w:t>与</w:t>
      </w:r>
      <w:r>
        <w:rPr>
          <w:rFonts w:ascii="Arial Narrow" w:hAnsi="Arial Narrow" w:cs="Arial Unicode MS" w:hint="eastAsia"/>
          <w:lang w:val="en-US"/>
        </w:rPr>
        <w:t>远化物流</w:t>
      </w:r>
      <w:proofErr w:type="gramEnd"/>
      <w:r>
        <w:rPr>
          <w:rFonts w:ascii="Arial Narrow" w:hAnsi="Arial Narrow" w:cs="楷体"/>
          <w:kern w:val="2"/>
        </w:rPr>
        <w:t>存在显著差异</w:t>
      </w:r>
      <w:r>
        <w:rPr>
          <w:rFonts w:ascii="Arial Narrow" w:hAnsi="Arial Narrow" w:cs="Arial Unicode MS"/>
        </w:rPr>
        <w:t>。</w:t>
      </w:r>
    </w:p>
    <w:p w14:paraId="7FE3FC2F" w14:textId="77777777" w:rsidR="006B4107" w:rsidRDefault="004E70C7">
      <w:pPr>
        <w:spacing w:beforeLines="50" w:before="156" w:afterLines="50" w:after="156" w:line="360" w:lineRule="auto"/>
        <w:ind w:firstLineChars="200" w:firstLine="440"/>
        <w:jc w:val="both"/>
        <w:rPr>
          <w:rFonts w:cs="Arial Unicode MS"/>
        </w:rPr>
      </w:pPr>
      <w:r>
        <w:rPr>
          <w:rFonts w:cs="Arial Unicode MS"/>
        </w:rPr>
        <w:t>我们最终选定</w:t>
      </w:r>
      <w:r>
        <w:rPr>
          <w:rFonts w:cs="Arial Unicode MS"/>
        </w:rPr>
        <w:t>11</w:t>
      </w:r>
      <w:r>
        <w:rPr>
          <w:rFonts w:cs="Arial Unicode MS"/>
        </w:rPr>
        <w:t>家营业地位于远东及中亚地区的公司</w:t>
      </w:r>
      <w:proofErr w:type="gramStart"/>
      <w:r>
        <w:rPr>
          <w:rFonts w:cs="Arial Unicode MS"/>
        </w:rPr>
        <w:t>作为</w:t>
      </w:r>
      <w:r>
        <w:rPr>
          <w:rFonts w:cs="Arial Unicode MS" w:hint="eastAsia"/>
        </w:rPr>
        <w:t>远化物流</w:t>
      </w:r>
      <w:proofErr w:type="gramEnd"/>
      <w:r>
        <w:rPr>
          <w:rFonts w:cs="Arial Unicode MS"/>
        </w:rPr>
        <w:t>的可比公司。</w:t>
      </w:r>
    </w:p>
    <w:p w14:paraId="684E946D" w14:textId="77777777" w:rsidR="006B4107" w:rsidRDefault="004E70C7">
      <w:pPr>
        <w:pStyle w:val="4"/>
        <w:rPr>
          <w:rFonts w:ascii="Arial Narrow" w:eastAsia="仿宋_GB2312" w:hAnsi="Arial Narrow"/>
          <w:iCs w:val="0"/>
          <w:color w:val="002060"/>
        </w:rPr>
      </w:pPr>
      <w:r>
        <w:rPr>
          <w:rFonts w:ascii="Arial Narrow" w:eastAsia="仿宋_GB2312" w:hAnsi="Arial Narrow" w:cs="楷体"/>
          <w:b w:val="0"/>
          <w:iCs w:val="0"/>
          <w:color w:val="002060"/>
          <w:szCs w:val="22"/>
        </w:rPr>
        <w:lastRenderedPageBreak/>
        <w:t>外部可比公司搜寻过程</w:t>
      </w:r>
    </w:p>
    <w:p w14:paraId="29A11575" w14:textId="77777777" w:rsidR="006B4107" w:rsidRDefault="004E70C7">
      <w:pPr>
        <w:spacing w:beforeLines="50" w:before="156" w:afterLines="50" w:after="156" w:line="360" w:lineRule="auto"/>
        <w:ind w:firstLineChars="200" w:firstLine="440"/>
        <w:jc w:val="both"/>
        <w:rPr>
          <w:rFonts w:cs="Arial Unicode MS"/>
        </w:rPr>
      </w:pPr>
      <w:bookmarkStart w:id="708" w:name="_Toc48582807"/>
      <w:bookmarkStart w:id="709" w:name="_Toc48399708"/>
      <w:bookmarkStart w:id="710" w:name="_Toc48583195"/>
      <w:bookmarkStart w:id="711" w:name="_Toc48582724"/>
      <w:bookmarkStart w:id="712" w:name="_Toc48399738"/>
      <w:bookmarkStart w:id="713" w:name="_Toc48582806"/>
      <w:bookmarkStart w:id="714" w:name="_Toc48582701"/>
      <w:bookmarkStart w:id="715" w:name="_Toc48582810"/>
      <w:bookmarkStart w:id="716" w:name="_Toc48582687"/>
      <w:bookmarkStart w:id="717" w:name="_Toc48583139"/>
      <w:bookmarkStart w:id="718" w:name="_Toc48582685"/>
      <w:bookmarkStart w:id="719" w:name="_Toc48583100"/>
      <w:bookmarkStart w:id="720" w:name="_Toc48582723"/>
      <w:bookmarkStart w:id="721" w:name="_Toc48582809"/>
      <w:bookmarkStart w:id="722" w:name="_Toc48583103"/>
      <w:bookmarkStart w:id="723" w:name="_Toc48582782"/>
      <w:bookmarkStart w:id="724" w:name="_Toc48399731"/>
      <w:bookmarkStart w:id="725" w:name="_Toc48399739"/>
      <w:bookmarkStart w:id="726" w:name="_Toc48582895"/>
      <w:bookmarkStart w:id="727" w:name="_Toc48582718"/>
      <w:bookmarkStart w:id="728" w:name="_Toc48399721"/>
      <w:bookmarkStart w:id="729" w:name="_Toc48583136"/>
      <w:bookmarkStart w:id="730" w:name="_Toc48399713"/>
      <w:bookmarkStart w:id="731" w:name="_Toc48583189"/>
      <w:bookmarkStart w:id="732" w:name="_Toc48399734"/>
      <w:bookmarkStart w:id="733" w:name="_Toc48399723"/>
      <w:bookmarkStart w:id="734" w:name="_Toc48583132"/>
      <w:bookmarkStart w:id="735" w:name="_Toc48583220"/>
      <w:bookmarkStart w:id="736" w:name="_Toc48582682"/>
      <w:bookmarkStart w:id="737" w:name="_Toc48583098"/>
      <w:bookmarkStart w:id="738" w:name="_Toc48583215"/>
      <w:bookmarkStart w:id="739" w:name="_Toc48399789"/>
      <w:bookmarkStart w:id="740" w:name="_Toc48399736"/>
      <w:bookmarkStart w:id="741" w:name="_Toc48583113"/>
      <w:bookmarkStart w:id="742" w:name="_Toc48583123"/>
      <w:bookmarkStart w:id="743" w:name="_Toc48399695"/>
      <w:bookmarkStart w:id="744" w:name="_Toc48582690"/>
      <w:bookmarkStart w:id="745" w:name="_Toc48399712"/>
      <w:bookmarkStart w:id="746" w:name="_Toc48582808"/>
      <w:bookmarkStart w:id="747" w:name="_Toc48583104"/>
      <w:bookmarkStart w:id="748" w:name="_Toc48583222"/>
      <w:bookmarkStart w:id="749" w:name="_Toc48399704"/>
      <w:bookmarkStart w:id="750" w:name="_Toc48582726"/>
      <w:bookmarkStart w:id="751" w:name="_Toc48583121"/>
      <w:bookmarkStart w:id="752" w:name="_Toc48583221"/>
      <w:bookmarkStart w:id="753" w:name="_Toc48583137"/>
      <w:bookmarkStart w:id="754" w:name="_Toc48399703"/>
      <w:bookmarkStart w:id="755" w:name="_Toc48583095"/>
      <w:bookmarkStart w:id="756" w:name="_Toc48582776"/>
      <w:bookmarkStart w:id="757" w:name="_Toc48399821"/>
      <w:bookmarkStart w:id="758" w:name="_Toc48399822"/>
      <w:bookmarkStart w:id="759" w:name="_Toc48399823"/>
      <w:bookmarkStart w:id="760" w:name="_Toc48399820"/>
      <w:bookmarkStart w:id="761" w:name="_Toc48399795"/>
      <w:bookmarkStart w:id="762" w:name="_Toc48399815"/>
      <w:bookmarkStart w:id="763" w:name="_Toc48583308"/>
      <w:bookmarkStart w:id="764" w:name="_Toc48399714"/>
      <w:bookmarkStart w:id="765" w:name="_Toc48583223"/>
      <w:bookmarkStart w:id="766" w:name="_Toc48582802"/>
      <w:bookmarkStart w:id="767" w:name="_Toc48583134"/>
      <w:bookmarkStart w:id="768" w:name="_Toc48582695"/>
      <w:bookmarkStart w:id="769" w:name="_Toc48583112"/>
      <w:bookmarkStart w:id="770" w:name="_Toc48582699"/>
      <w:bookmarkStart w:id="771" w:name="_Toc48399698"/>
      <w:bookmarkStart w:id="772" w:name="_Toc48583114"/>
      <w:bookmarkStart w:id="773" w:name="_Toc48399737"/>
      <w:bookmarkStart w:id="774" w:name="_Toc48582708"/>
      <w:bookmarkStart w:id="775" w:name="_Toc48399701"/>
      <w:bookmarkStart w:id="776" w:name="_Toc48582691"/>
      <w:bookmarkStart w:id="777" w:name="_Toc48399732"/>
      <w:bookmarkStart w:id="778" w:name="_Toc48582719"/>
      <w:bookmarkStart w:id="779" w:name="_Toc48582721"/>
      <w:bookmarkStart w:id="780" w:name="_Toc48399700"/>
      <w:bookmarkStart w:id="781" w:name="_Toc48583108"/>
      <w:bookmarkStart w:id="782" w:name="_Toc48583131"/>
      <w:bookmarkStart w:id="783" w:name="_Toc48582725"/>
      <w:bookmarkStart w:id="784" w:name="_Toc48583138"/>
      <w:bookmarkStart w:id="785" w:name="_Toc48582688"/>
      <w:bookmarkStart w:id="786" w:name="_Toc48583101"/>
      <w:bookmarkStart w:id="787" w:name="_Toc48582710"/>
      <w:bookmarkStart w:id="788" w:name="_Toc48399819"/>
      <w:bookmarkStart w:id="789" w:name="_Toc48582700"/>
      <w:bookmarkStart w:id="790" w:name="_Toc48399908"/>
      <w:bookmarkStart w:id="791" w:name="_Toc48583219"/>
      <w:bookmarkStart w:id="792" w:name="_Toc48317557"/>
      <w:bookmarkStart w:id="793" w:name="_Toc274480839"/>
      <w:bookmarkStart w:id="794" w:name="_Toc261727555"/>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r>
        <w:rPr>
          <w:rFonts w:cs="Arial Unicode MS"/>
        </w:rPr>
        <w:t>搜索策略和结果如下：</w:t>
      </w:r>
    </w:p>
    <w:p w14:paraId="23C0E6A6" w14:textId="77777777" w:rsidR="006B4107" w:rsidRDefault="004E70C7">
      <w:pPr>
        <w:pStyle w:val="a6"/>
        <w:ind w:left="420" w:hanging="420"/>
        <w:jc w:val="center"/>
        <w:rPr>
          <w:rFonts w:ascii="仿宋" w:eastAsia="仿宋" w:hAnsi="仿宋"/>
        </w:rPr>
      </w:pPr>
      <w:r>
        <w:rPr>
          <w:rFonts w:ascii="仿宋" w:eastAsia="仿宋" w:hAnsi="仿宋"/>
        </w:rPr>
        <w:t>图表</w:t>
      </w:r>
      <w:r>
        <w:rPr>
          <w:rFonts w:eastAsia="仿宋" w:cs="Arial Narrow"/>
        </w:rPr>
        <w:t>21</w:t>
      </w:r>
      <w:r>
        <w:rPr>
          <w:rFonts w:ascii="仿宋" w:eastAsia="仿宋" w:hAnsi="仿宋"/>
        </w:rPr>
        <w:t>：可比公司搜索表</w:t>
      </w:r>
    </w:p>
    <w:tbl>
      <w:tblPr>
        <w:tblW w:w="81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39"/>
        <w:gridCol w:w="5662"/>
      </w:tblGrid>
      <w:tr w:rsidR="006B4107" w14:paraId="45EB0EA9" w14:textId="77777777">
        <w:trPr>
          <w:trHeight w:val="567"/>
          <w:tblHeader/>
        </w:trPr>
        <w:tc>
          <w:tcPr>
            <w:tcW w:w="2439" w:type="dxa"/>
            <w:shd w:val="clear" w:color="auto" w:fill="002060"/>
            <w:vAlign w:val="center"/>
          </w:tcPr>
          <w:p w14:paraId="3A5D2A2C" w14:textId="77777777" w:rsidR="006B4107" w:rsidRDefault="004E70C7">
            <w:pPr>
              <w:jc w:val="center"/>
              <w:rPr>
                <w:rFonts w:ascii="仿宋" w:eastAsia="仿宋" w:hAnsi="仿宋" w:cs="楷体"/>
                <w:b/>
                <w:color w:val="FFFFFF" w:themeColor="background1"/>
              </w:rPr>
            </w:pPr>
            <w:r>
              <w:rPr>
                <w:rFonts w:ascii="仿宋" w:eastAsia="仿宋" w:hAnsi="仿宋" w:cs="楷体"/>
                <w:b/>
                <w:color w:val="FFFFFF" w:themeColor="background1"/>
              </w:rPr>
              <w:t>数据库</w:t>
            </w:r>
          </w:p>
        </w:tc>
        <w:tc>
          <w:tcPr>
            <w:tcW w:w="5662" w:type="dxa"/>
            <w:shd w:val="clear" w:color="auto" w:fill="002060"/>
            <w:vAlign w:val="center"/>
          </w:tcPr>
          <w:p w14:paraId="2327B8D8" w14:textId="77777777" w:rsidR="006B4107" w:rsidRDefault="004E70C7">
            <w:pPr>
              <w:jc w:val="center"/>
              <w:rPr>
                <w:rFonts w:ascii="仿宋" w:eastAsia="仿宋" w:hAnsi="仿宋" w:cs="楷体"/>
                <w:b/>
                <w:color w:val="FFFFFF" w:themeColor="background1"/>
              </w:rPr>
            </w:pPr>
            <w:r>
              <w:rPr>
                <w:rFonts w:ascii="仿宋" w:eastAsia="仿宋" w:hAnsi="仿宋" w:cs="楷体"/>
                <w:b/>
                <w:color w:val="FFFFFF" w:themeColor="background1"/>
              </w:rPr>
              <w:t>TP Catalyst</w:t>
            </w:r>
            <w:r>
              <w:rPr>
                <w:rFonts w:ascii="仿宋" w:eastAsia="仿宋" w:hAnsi="仿宋" w:cs="楷体"/>
                <w:b/>
                <w:color w:val="FFFFFF" w:themeColor="background1"/>
              </w:rPr>
              <w:t>数据库</w:t>
            </w:r>
          </w:p>
        </w:tc>
      </w:tr>
      <w:tr w:rsidR="006B4107" w14:paraId="351060AF" w14:textId="77777777">
        <w:trPr>
          <w:trHeight w:val="567"/>
        </w:trPr>
        <w:tc>
          <w:tcPr>
            <w:tcW w:w="2439" w:type="dxa"/>
            <w:vAlign w:val="center"/>
          </w:tcPr>
          <w:p w14:paraId="659E3B37" w14:textId="77777777" w:rsidR="006B4107" w:rsidRDefault="004E70C7">
            <w:pPr>
              <w:jc w:val="both"/>
              <w:rPr>
                <w:rFonts w:cs="楷体"/>
              </w:rPr>
            </w:pPr>
            <w:r>
              <w:rPr>
                <w:rFonts w:cs="楷体"/>
              </w:rPr>
              <w:t>初步</w:t>
            </w:r>
            <w:r>
              <w:rPr>
                <w:rFonts w:cs="楷体"/>
              </w:rPr>
              <w:t xml:space="preserve"> SIC </w:t>
            </w:r>
            <w:r>
              <w:rPr>
                <w:rFonts w:cs="楷体"/>
              </w:rPr>
              <w:t>编码检索</w:t>
            </w:r>
          </w:p>
        </w:tc>
        <w:tc>
          <w:tcPr>
            <w:tcW w:w="5662" w:type="dxa"/>
            <w:vAlign w:val="center"/>
          </w:tcPr>
          <w:p w14:paraId="02529450" w14:textId="77777777" w:rsidR="006B4107" w:rsidRDefault="004E70C7">
            <w:pPr>
              <w:jc w:val="both"/>
              <w:rPr>
                <w:rFonts w:cs="楷体"/>
              </w:rPr>
            </w:pPr>
            <w:r>
              <w:rPr>
                <w:rFonts w:cs="楷体"/>
              </w:rPr>
              <w:t>4212</w:t>
            </w:r>
            <w:r>
              <w:rPr>
                <w:rFonts w:cs="楷体"/>
              </w:rPr>
              <w:t>、</w:t>
            </w:r>
            <w:r>
              <w:rPr>
                <w:rFonts w:cs="楷体"/>
              </w:rPr>
              <w:t>4213</w:t>
            </w:r>
            <w:r>
              <w:rPr>
                <w:rFonts w:cs="楷体"/>
              </w:rPr>
              <w:t>、</w:t>
            </w:r>
            <w:r>
              <w:rPr>
                <w:rFonts w:cs="楷体"/>
              </w:rPr>
              <w:t>4214</w:t>
            </w:r>
            <w:r>
              <w:rPr>
                <w:rFonts w:cs="楷体"/>
              </w:rPr>
              <w:t>、</w:t>
            </w:r>
            <w:r>
              <w:rPr>
                <w:rFonts w:cs="楷体"/>
              </w:rPr>
              <w:t>4731</w:t>
            </w:r>
            <w:r>
              <w:rPr>
                <w:rFonts w:cs="楷体"/>
              </w:rPr>
              <w:t>、</w:t>
            </w:r>
            <w:r>
              <w:rPr>
                <w:rFonts w:cs="楷体"/>
              </w:rPr>
              <w:t>4783</w:t>
            </w:r>
            <w:r>
              <w:rPr>
                <w:rFonts w:cs="楷体"/>
              </w:rPr>
              <w:t>、</w:t>
            </w:r>
            <w:r>
              <w:rPr>
                <w:rFonts w:cs="楷体"/>
              </w:rPr>
              <w:t>4785</w:t>
            </w:r>
            <w:r>
              <w:rPr>
                <w:rFonts w:cs="楷体"/>
              </w:rPr>
              <w:t>、</w:t>
            </w:r>
            <w:r>
              <w:rPr>
                <w:rFonts w:cs="楷体"/>
              </w:rPr>
              <w:t>4789</w:t>
            </w:r>
          </w:p>
        </w:tc>
      </w:tr>
      <w:tr w:rsidR="006B4107" w14:paraId="59BCC4DC" w14:textId="77777777">
        <w:trPr>
          <w:trHeight w:val="567"/>
        </w:trPr>
        <w:tc>
          <w:tcPr>
            <w:tcW w:w="2439" w:type="dxa"/>
            <w:vAlign w:val="center"/>
          </w:tcPr>
          <w:p w14:paraId="5059E614" w14:textId="77777777" w:rsidR="006B4107" w:rsidRDefault="004E70C7">
            <w:pPr>
              <w:jc w:val="both"/>
              <w:rPr>
                <w:rFonts w:cs="楷体"/>
              </w:rPr>
            </w:pPr>
            <w:r>
              <w:rPr>
                <w:rFonts w:cs="楷体"/>
              </w:rPr>
              <w:t>地区筛选</w:t>
            </w:r>
          </w:p>
        </w:tc>
        <w:tc>
          <w:tcPr>
            <w:tcW w:w="5662" w:type="dxa"/>
            <w:vAlign w:val="center"/>
          </w:tcPr>
          <w:p w14:paraId="23DC6934" w14:textId="77777777" w:rsidR="006B4107" w:rsidRDefault="004E70C7">
            <w:pPr>
              <w:jc w:val="both"/>
              <w:rPr>
                <w:rFonts w:cs="楷体"/>
              </w:rPr>
            </w:pPr>
            <w:r>
              <w:rPr>
                <w:rFonts w:cs="楷体" w:hint="eastAsia"/>
              </w:rPr>
              <w:t>亚太地区</w:t>
            </w:r>
          </w:p>
        </w:tc>
      </w:tr>
      <w:tr w:rsidR="006B4107" w14:paraId="4737E713" w14:textId="77777777">
        <w:trPr>
          <w:trHeight w:val="567"/>
        </w:trPr>
        <w:tc>
          <w:tcPr>
            <w:tcW w:w="2439" w:type="dxa"/>
            <w:vAlign w:val="center"/>
          </w:tcPr>
          <w:p w14:paraId="39D90503" w14:textId="77777777" w:rsidR="006B4107" w:rsidRDefault="004E70C7">
            <w:pPr>
              <w:jc w:val="both"/>
              <w:rPr>
                <w:rFonts w:cs="楷体"/>
              </w:rPr>
            </w:pPr>
            <w:r>
              <w:rPr>
                <w:rFonts w:cs="楷体"/>
              </w:rPr>
              <w:t>独立性和上市公司筛选</w:t>
            </w:r>
          </w:p>
        </w:tc>
        <w:tc>
          <w:tcPr>
            <w:tcW w:w="5662" w:type="dxa"/>
            <w:vAlign w:val="center"/>
          </w:tcPr>
          <w:p w14:paraId="55A21CCE" w14:textId="77777777" w:rsidR="006B4107" w:rsidRDefault="004E70C7">
            <w:pPr>
              <w:jc w:val="both"/>
              <w:rPr>
                <w:rFonts w:cs="楷体"/>
              </w:rPr>
            </w:pPr>
            <w:r>
              <w:rPr>
                <w:rFonts w:cs="楷体"/>
              </w:rPr>
              <w:t>因在</w:t>
            </w:r>
            <w:r>
              <w:rPr>
                <w:rFonts w:cs="楷体"/>
              </w:rPr>
              <w:t>TP Catalyst</w:t>
            </w:r>
            <w:r>
              <w:rPr>
                <w:rFonts w:cs="楷体"/>
              </w:rPr>
              <w:t>数据库定义中独立性为</w:t>
            </w:r>
            <w:r>
              <w:rPr>
                <w:rFonts w:cs="楷体" w:hint="eastAsia"/>
              </w:rPr>
              <w:t>B</w:t>
            </w:r>
            <w:r>
              <w:rPr>
                <w:rFonts w:cs="楷体" w:hint="eastAsia"/>
              </w:rPr>
              <w:t>、</w:t>
            </w:r>
            <w:r>
              <w:rPr>
                <w:rFonts w:cs="楷体"/>
              </w:rPr>
              <w:t>C</w:t>
            </w:r>
            <w:r>
              <w:rPr>
                <w:rFonts w:cs="楷体"/>
              </w:rPr>
              <w:t>、</w:t>
            </w:r>
            <w:r>
              <w:rPr>
                <w:rFonts w:cs="楷体"/>
              </w:rPr>
              <w:t>D</w:t>
            </w:r>
            <w:r>
              <w:rPr>
                <w:rFonts w:cs="楷体"/>
              </w:rPr>
              <w:t>的公司而被排除。</w:t>
            </w:r>
          </w:p>
        </w:tc>
      </w:tr>
      <w:tr w:rsidR="006B4107" w14:paraId="650CE177" w14:textId="77777777">
        <w:trPr>
          <w:trHeight w:val="567"/>
        </w:trPr>
        <w:tc>
          <w:tcPr>
            <w:tcW w:w="2439" w:type="dxa"/>
            <w:vAlign w:val="center"/>
          </w:tcPr>
          <w:p w14:paraId="46A88E62" w14:textId="77777777" w:rsidR="006B4107" w:rsidRDefault="004E70C7">
            <w:pPr>
              <w:jc w:val="both"/>
              <w:rPr>
                <w:rFonts w:cs="楷体"/>
              </w:rPr>
            </w:pPr>
            <w:r>
              <w:rPr>
                <w:rFonts w:cs="楷体"/>
              </w:rPr>
              <w:t>定量筛选</w:t>
            </w:r>
          </w:p>
        </w:tc>
        <w:tc>
          <w:tcPr>
            <w:tcW w:w="5662" w:type="dxa"/>
            <w:vAlign w:val="center"/>
          </w:tcPr>
          <w:p w14:paraId="4B6B0E35" w14:textId="77777777" w:rsidR="006B4107" w:rsidRDefault="004E70C7">
            <w:pPr>
              <w:jc w:val="both"/>
              <w:rPr>
                <w:rFonts w:cs="楷体"/>
              </w:rPr>
            </w:pPr>
            <w:r>
              <w:rPr>
                <w:rFonts w:cs="楷体"/>
              </w:rPr>
              <w:t>在</w:t>
            </w:r>
            <w:r>
              <w:rPr>
                <w:rFonts w:cs="楷体"/>
              </w:rPr>
              <w:t>2020</w:t>
            </w:r>
            <w:r>
              <w:rPr>
                <w:rFonts w:cs="楷体"/>
              </w:rPr>
              <w:t>至</w:t>
            </w:r>
            <w:r>
              <w:rPr>
                <w:rFonts w:cs="楷体"/>
              </w:rPr>
              <w:t>2022</w:t>
            </w:r>
            <w:r>
              <w:rPr>
                <w:rFonts w:cs="楷体"/>
              </w:rPr>
              <w:t>财政年度间，在</w:t>
            </w:r>
            <w:r>
              <w:rPr>
                <w:rFonts w:cs="楷体"/>
              </w:rPr>
              <w:t xml:space="preserve">TP </w:t>
            </w:r>
            <w:r>
              <w:rPr>
                <w:rFonts w:cs="Arial Unicode MS"/>
              </w:rPr>
              <w:t>Catalyst</w:t>
            </w:r>
            <w:r>
              <w:rPr>
                <w:rFonts w:cs="楷体"/>
              </w:rPr>
              <w:t>数据库中的财务信息不充分；在</w:t>
            </w:r>
            <w:r>
              <w:rPr>
                <w:rFonts w:cs="楷体"/>
              </w:rPr>
              <w:t>2020</w:t>
            </w:r>
            <w:r>
              <w:rPr>
                <w:rFonts w:cs="楷体"/>
              </w:rPr>
              <w:t>至</w:t>
            </w:r>
            <w:r>
              <w:rPr>
                <w:rFonts w:cs="楷体"/>
              </w:rPr>
              <w:t>2022</w:t>
            </w:r>
            <w:r>
              <w:rPr>
                <w:rFonts w:cs="楷体"/>
              </w:rPr>
              <w:t>财政年度间，三年连续经营亏损而被排除。</w:t>
            </w:r>
          </w:p>
        </w:tc>
      </w:tr>
      <w:tr w:rsidR="006B4107" w14:paraId="168DF216" w14:textId="77777777">
        <w:trPr>
          <w:trHeight w:val="567"/>
        </w:trPr>
        <w:tc>
          <w:tcPr>
            <w:tcW w:w="2439" w:type="dxa"/>
            <w:vAlign w:val="center"/>
          </w:tcPr>
          <w:p w14:paraId="3A3286BF" w14:textId="77777777" w:rsidR="006B4107" w:rsidRDefault="004E70C7">
            <w:pPr>
              <w:jc w:val="both"/>
              <w:rPr>
                <w:rFonts w:cs="楷体"/>
              </w:rPr>
            </w:pPr>
            <w:r>
              <w:rPr>
                <w:rFonts w:cs="楷体"/>
              </w:rPr>
              <w:t>定性筛选</w:t>
            </w:r>
          </w:p>
        </w:tc>
        <w:tc>
          <w:tcPr>
            <w:tcW w:w="5662" w:type="dxa"/>
            <w:vAlign w:val="center"/>
          </w:tcPr>
          <w:p w14:paraId="3F68122C" w14:textId="77777777" w:rsidR="006B4107" w:rsidRDefault="004E70C7">
            <w:pPr>
              <w:jc w:val="both"/>
              <w:rPr>
                <w:rFonts w:cs="楷体"/>
              </w:rPr>
            </w:pPr>
            <w:r>
              <w:rPr>
                <w:rFonts w:cs="楷体"/>
              </w:rPr>
              <w:t>在企业功能（包括所使用的资产）或企业产品或服务方面存在显著差异的企业。</w:t>
            </w:r>
          </w:p>
        </w:tc>
      </w:tr>
      <w:tr w:rsidR="006B4107" w14:paraId="79D8445C" w14:textId="77777777">
        <w:trPr>
          <w:trHeight w:val="567"/>
        </w:trPr>
        <w:tc>
          <w:tcPr>
            <w:tcW w:w="2439" w:type="dxa"/>
            <w:vAlign w:val="center"/>
          </w:tcPr>
          <w:p w14:paraId="5E8CF023" w14:textId="77777777" w:rsidR="006B4107" w:rsidRDefault="004E70C7">
            <w:pPr>
              <w:jc w:val="both"/>
              <w:rPr>
                <w:rFonts w:cs="楷体"/>
              </w:rPr>
            </w:pPr>
            <w:r>
              <w:rPr>
                <w:rFonts w:cs="楷体"/>
              </w:rPr>
              <w:t>最终样本</w:t>
            </w:r>
          </w:p>
        </w:tc>
        <w:tc>
          <w:tcPr>
            <w:tcW w:w="5662" w:type="dxa"/>
            <w:vAlign w:val="center"/>
          </w:tcPr>
          <w:p w14:paraId="5FE546C1" w14:textId="77777777" w:rsidR="006B4107" w:rsidRDefault="004E70C7">
            <w:pPr>
              <w:jc w:val="both"/>
              <w:rPr>
                <w:rFonts w:cs="楷体"/>
              </w:rPr>
            </w:pPr>
            <w:r>
              <w:rPr>
                <w:rFonts w:cs="楷体"/>
              </w:rPr>
              <w:t>1</w:t>
            </w:r>
            <w:r>
              <w:rPr>
                <w:rFonts w:cs="楷体" w:hint="eastAsia"/>
              </w:rPr>
              <w:t>1</w:t>
            </w:r>
            <w:r>
              <w:rPr>
                <w:rFonts w:cs="楷体"/>
              </w:rPr>
              <w:t>家可比性公司</w:t>
            </w:r>
          </w:p>
        </w:tc>
      </w:tr>
    </w:tbl>
    <w:p w14:paraId="78C36CFD" w14:textId="77777777" w:rsidR="006B4107" w:rsidRDefault="004E70C7">
      <w:pPr>
        <w:spacing w:beforeLines="50" w:before="156" w:afterLines="50" w:after="156" w:line="360" w:lineRule="auto"/>
        <w:ind w:firstLineChars="200" w:firstLine="440"/>
        <w:jc w:val="both"/>
        <w:rPr>
          <w:rFonts w:cs="Arial Unicode MS"/>
        </w:rPr>
      </w:pPr>
      <w:r>
        <w:rPr>
          <w:rFonts w:cs="Arial Unicode MS"/>
        </w:rPr>
        <w:t>选定的</w:t>
      </w:r>
      <w:r>
        <w:rPr>
          <w:rFonts w:cs="Arial Unicode MS"/>
        </w:rPr>
        <w:t>11</w:t>
      </w:r>
      <w:r>
        <w:rPr>
          <w:rFonts w:cs="Arial Unicode MS"/>
        </w:rPr>
        <w:t>家公司的</w:t>
      </w:r>
      <w:proofErr w:type="gramStart"/>
      <w:r>
        <w:rPr>
          <w:rFonts w:cs="Arial Unicode MS"/>
        </w:rPr>
        <w:t>简要业务</w:t>
      </w:r>
      <w:proofErr w:type="gramEnd"/>
      <w:r>
        <w:rPr>
          <w:rFonts w:cs="Arial Unicode MS"/>
        </w:rPr>
        <w:t>描述，请见附件</w:t>
      </w:r>
      <w:r>
        <w:rPr>
          <w:rFonts w:cs="Arial Unicode MS"/>
        </w:rPr>
        <w:t>3</w:t>
      </w:r>
      <w:r>
        <w:rPr>
          <w:rFonts w:cs="Arial Unicode MS"/>
        </w:rPr>
        <w:t>。</w:t>
      </w:r>
    </w:p>
    <w:p w14:paraId="7C391194" w14:textId="77777777" w:rsidR="006B4107" w:rsidRDefault="004E70C7">
      <w:pPr>
        <w:pStyle w:val="3"/>
        <w:rPr>
          <w:rFonts w:ascii="Arial Narrow" w:eastAsia="仿宋_GB2312" w:hAnsi="Arial Narrow"/>
          <w:iCs w:val="0"/>
          <w:color w:val="002060"/>
        </w:rPr>
      </w:pPr>
      <w:bookmarkStart w:id="795" w:name="_Toc185598959"/>
      <w:bookmarkStart w:id="796" w:name="_Toc140761345"/>
      <w:r>
        <w:rPr>
          <w:rFonts w:ascii="Arial Narrow" w:eastAsia="仿宋_GB2312" w:hAnsi="Arial Narrow" w:cs="楷体"/>
          <w:b w:val="0"/>
          <w:iCs w:val="0"/>
          <w:color w:val="002060"/>
          <w:sz w:val="22"/>
          <w:szCs w:val="22"/>
        </w:rPr>
        <w:t>可比公司利润水平</w:t>
      </w:r>
      <w:bookmarkEnd w:id="792"/>
      <w:bookmarkEnd w:id="795"/>
      <w:bookmarkEnd w:id="796"/>
    </w:p>
    <w:p w14:paraId="34645BB8" w14:textId="77777777" w:rsidR="006B4107" w:rsidRDefault="004E70C7">
      <w:pPr>
        <w:pStyle w:val="4"/>
        <w:rPr>
          <w:rFonts w:ascii="Arial Narrow" w:eastAsia="仿宋_GB2312" w:hAnsi="Arial Narrow"/>
          <w:iCs w:val="0"/>
          <w:color w:val="002060"/>
        </w:rPr>
      </w:pPr>
      <w:r>
        <w:rPr>
          <w:rFonts w:ascii="Arial Narrow" w:eastAsia="仿宋_GB2312" w:hAnsi="Arial Narrow" w:cs="楷体"/>
          <w:b w:val="0"/>
          <w:iCs w:val="0"/>
          <w:color w:val="002060"/>
          <w:szCs w:val="22"/>
        </w:rPr>
        <w:t>利润水平指标的选择</w:t>
      </w:r>
    </w:p>
    <w:p w14:paraId="091F6C8D" w14:textId="77777777" w:rsidR="006B4107" w:rsidRDefault="004E70C7">
      <w:pPr>
        <w:spacing w:beforeLines="50" w:before="156" w:afterLines="50" w:after="156" w:line="360" w:lineRule="auto"/>
        <w:ind w:firstLineChars="200" w:firstLine="440"/>
        <w:jc w:val="both"/>
        <w:rPr>
          <w:rFonts w:cs="Arial Unicode MS"/>
        </w:rPr>
      </w:pPr>
      <w:r>
        <w:rPr>
          <w:rFonts w:cs="Arial Unicode MS"/>
        </w:rPr>
        <w:t>利润水平指标是衡量利润与产品销售额、发生的成本或所运用的资产之间关系的财务比率。利润水平指标的选择是否恰当取决于被测试方经营活动的性质以及可比企业数据的可靠性。</w:t>
      </w:r>
    </w:p>
    <w:p w14:paraId="1594145F" w14:textId="77777777" w:rsidR="006B4107" w:rsidRDefault="004E70C7">
      <w:pPr>
        <w:spacing w:beforeLines="50" w:before="156" w:afterLines="50" w:after="156" w:line="360" w:lineRule="auto"/>
        <w:ind w:firstLineChars="200" w:firstLine="440"/>
        <w:jc w:val="both"/>
        <w:rPr>
          <w:rFonts w:cs="Arial Unicode MS"/>
        </w:rPr>
      </w:pPr>
      <w:r>
        <w:rPr>
          <w:rFonts w:cs="Arial Unicode MS"/>
        </w:rPr>
        <w:t>根据</w:t>
      </w:r>
      <w:r>
        <w:rPr>
          <w:rFonts w:cs="Arial Unicode MS"/>
        </w:rPr>
        <w:t>[2017]6</w:t>
      </w:r>
      <w:r>
        <w:rPr>
          <w:rFonts w:cs="Arial Unicode MS"/>
        </w:rPr>
        <w:t>号公告第</w:t>
      </w:r>
      <w:r>
        <w:rPr>
          <w:rFonts w:cs="Arial Unicode MS"/>
        </w:rPr>
        <w:t>20</w:t>
      </w:r>
      <w:r>
        <w:rPr>
          <w:rFonts w:cs="Arial Unicode MS"/>
        </w:rPr>
        <w:t>条的规定，交易净利润法以可比非关联交易的利润指标确定关联交易的利润。利润指标包括</w:t>
      </w:r>
      <w:proofErr w:type="gramStart"/>
      <w:r>
        <w:rPr>
          <w:rFonts w:cs="Arial Unicode MS"/>
        </w:rPr>
        <w:t>息</w:t>
      </w:r>
      <w:proofErr w:type="gramEnd"/>
      <w:r>
        <w:rPr>
          <w:rFonts w:cs="Arial Unicode MS"/>
        </w:rPr>
        <w:t>税前利润率、完全成本加成率、资产收益率、贝里比率等。具体计算公式如下：</w:t>
      </w:r>
    </w:p>
    <w:p w14:paraId="6CDE4E5C" w14:textId="77777777" w:rsidR="006B4107" w:rsidRDefault="004E70C7">
      <w:pPr>
        <w:spacing w:beforeLines="50" w:before="156" w:afterLines="50" w:after="156" w:line="360" w:lineRule="auto"/>
        <w:ind w:firstLineChars="200" w:firstLine="440"/>
        <w:jc w:val="both"/>
        <w:rPr>
          <w:rFonts w:cs="Arial Unicode MS"/>
        </w:rPr>
      </w:pPr>
      <w:bookmarkStart w:id="797" w:name="No100_T20K1X1"/>
      <w:bookmarkEnd w:id="797"/>
      <w:r>
        <w:rPr>
          <w:rFonts w:cs="Arial Unicode MS"/>
        </w:rPr>
        <w:t>（一）息税前利润率</w:t>
      </w:r>
      <w:r>
        <w:rPr>
          <w:rFonts w:cs="Arial Unicode MS"/>
        </w:rPr>
        <w:t>=</w:t>
      </w:r>
      <w:r>
        <w:rPr>
          <w:rFonts w:cs="Arial Unicode MS"/>
        </w:rPr>
        <w:t>息税前利润</w:t>
      </w:r>
      <w:r>
        <w:rPr>
          <w:rFonts w:cs="Arial Unicode MS"/>
        </w:rPr>
        <w:t>/</w:t>
      </w:r>
      <w:r>
        <w:rPr>
          <w:rFonts w:cs="Arial Unicode MS"/>
        </w:rPr>
        <w:t>营业收入</w:t>
      </w:r>
      <w:r>
        <w:rPr>
          <w:rFonts w:cs="Arial Unicode MS"/>
        </w:rPr>
        <w:t>×100%</w:t>
      </w:r>
    </w:p>
    <w:p w14:paraId="27711510" w14:textId="77777777" w:rsidR="006B4107" w:rsidRDefault="004E70C7">
      <w:pPr>
        <w:spacing w:beforeLines="50" w:before="156" w:afterLines="50" w:after="156" w:line="360" w:lineRule="auto"/>
        <w:ind w:firstLineChars="200" w:firstLine="440"/>
        <w:jc w:val="both"/>
        <w:rPr>
          <w:rFonts w:cs="Arial Unicode MS"/>
        </w:rPr>
      </w:pPr>
      <w:bookmarkStart w:id="798" w:name="No101_T20K1X2"/>
      <w:bookmarkEnd w:id="798"/>
      <w:r>
        <w:rPr>
          <w:rFonts w:cs="Arial Unicode MS"/>
        </w:rPr>
        <w:t>（二）完全成本加成率</w:t>
      </w:r>
      <w:r>
        <w:rPr>
          <w:rFonts w:cs="Arial Unicode MS"/>
        </w:rPr>
        <w:t>=</w:t>
      </w:r>
      <w:r>
        <w:rPr>
          <w:rFonts w:cs="Arial Unicode MS"/>
        </w:rPr>
        <w:t>息税前利润</w:t>
      </w:r>
      <w:r>
        <w:rPr>
          <w:rFonts w:cs="Arial Unicode MS"/>
        </w:rPr>
        <w:t>/</w:t>
      </w:r>
      <w:r>
        <w:rPr>
          <w:rFonts w:cs="Arial Unicode MS"/>
        </w:rPr>
        <w:t>完全成本</w:t>
      </w:r>
      <w:r>
        <w:rPr>
          <w:rFonts w:cs="Arial Unicode MS"/>
        </w:rPr>
        <w:t>×100%</w:t>
      </w:r>
    </w:p>
    <w:p w14:paraId="3841C12F" w14:textId="77777777" w:rsidR="006B4107" w:rsidRDefault="004E70C7">
      <w:pPr>
        <w:spacing w:beforeLines="50" w:before="156" w:afterLines="50" w:after="156" w:line="360" w:lineRule="auto"/>
        <w:ind w:firstLineChars="200" w:firstLine="440"/>
        <w:jc w:val="both"/>
        <w:rPr>
          <w:rFonts w:cs="Arial Unicode MS"/>
        </w:rPr>
      </w:pPr>
      <w:bookmarkStart w:id="799" w:name="No102_T20K1X3"/>
      <w:bookmarkEnd w:id="799"/>
      <w:r>
        <w:rPr>
          <w:rFonts w:cs="Arial Unicode MS"/>
        </w:rPr>
        <w:t>（三）资产收益率</w:t>
      </w:r>
      <w:r>
        <w:rPr>
          <w:rFonts w:cs="Arial Unicode MS"/>
        </w:rPr>
        <w:t>=</w:t>
      </w:r>
      <w:r>
        <w:rPr>
          <w:rFonts w:cs="Arial Unicode MS"/>
        </w:rPr>
        <w:t>息税前利润</w:t>
      </w:r>
      <w:r>
        <w:rPr>
          <w:rFonts w:cs="Arial Unicode MS"/>
        </w:rPr>
        <w:t>/[</w:t>
      </w:r>
      <w:r>
        <w:rPr>
          <w:rFonts w:cs="Arial Unicode MS"/>
        </w:rPr>
        <w:t>（年初资产总额</w:t>
      </w:r>
      <w:r>
        <w:rPr>
          <w:rFonts w:cs="Arial Unicode MS"/>
        </w:rPr>
        <w:t>+</w:t>
      </w:r>
      <w:r>
        <w:rPr>
          <w:rFonts w:cs="Arial Unicode MS"/>
        </w:rPr>
        <w:t>年末资产总额）</w:t>
      </w:r>
      <w:r>
        <w:rPr>
          <w:rFonts w:cs="Arial Unicode MS"/>
        </w:rPr>
        <w:t>/2]×100%</w:t>
      </w:r>
    </w:p>
    <w:p w14:paraId="4D9CEEA8" w14:textId="77777777" w:rsidR="006B4107" w:rsidRDefault="004E70C7">
      <w:pPr>
        <w:spacing w:beforeLines="50" w:before="156" w:afterLines="50" w:after="156" w:line="360" w:lineRule="auto"/>
        <w:ind w:firstLineChars="200" w:firstLine="440"/>
        <w:jc w:val="both"/>
        <w:rPr>
          <w:rFonts w:cs="Arial Unicode MS"/>
        </w:rPr>
      </w:pPr>
      <w:bookmarkStart w:id="800" w:name="No103_T20K1X4"/>
      <w:bookmarkEnd w:id="800"/>
      <w:r>
        <w:rPr>
          <w:rFonts w:cs="Arial Unicode MS"/>
        </w:rPr>
        <w:t>（四）贝里比率</w:t>
      </w:r>
      <w:r>
        <w:rPr>
          <w:rFonts w:cs="Arial Unicode MS"/>
        </w:rPr>
        <w:t>=</w:t>
      </w:r>
      <w:r>
        <w:rPr>
          <w:rFonts w:cs="Arial Unicode MS"/>
        </w:rPr>
        <w:t>毛利</w:t>
      </w:r>
      <w:r>
        <w:rPr>
          <w:rFonts w:cs="Arial Unicode MS"/>
        </w:rPr>
        <w:t>/</w:t>
      </w:r>
      <w:r>
        <w:rPr>
          <w:rFonts w:cs="Arial Unicode MS"/>
        </w:rPr>
        <w:t>（营业费用</w:t>
      </w:r>
      <w:r>
        <w:rPr>
          <w:rFonts w:cs="Arial Unicode MS"/>
        </w:rPr>
        <w:t>+</w:t>
      </w:r>
      <w:r>
        <w:rPr>
          <w:rFonts w:cs="Arial Unicode MS"/>
        </w:rPr>
        <w:t>管理费用）</w:t>
      </w:r>
      <w:r>
        <w:rPr>
          <w:rFonts w:cs="Arial Unicode MS"/>
        </w:rPr>
        <w:t>×100%</w:t>
      </w:r>
    </w:p>
    <w:p w14:paraId="187C80EB" w14:textId="77777777" w:rsidR="006B4107" w:rsidRDefault="004E70C7">
      <w:pPr>
        <w:spacing w:beforeLines="50" w:before="156" w:afterLines="50" w:after="156" w:line="360" w:lineRule="auto"/>
        <w:ind w:firstLineChars="200" w:firstLine="440"/>
        <w:jc w:val="both"/>
        <w:rPr>
          <w:rFonts w:cs="Arial Unicode MS"/>
        </w:rPr>
      </w:pPr>
      <w:r>
        <w:rPr>
          <w:rFonts w:cs="Arial Unicode MS"/>
        </w:rPr>
        <w:lastRenderedPageBreak/>
        <w:t>完全成本加成率在测试服务业务时比息税前利润率更具优势。这是因为，此类交易中关联方之间的</w:t>
      </w:r>
      <w:r>
        <w:rPr>
          <w:rFonts w:cs="Arial Unicode MS"/>
        </w:rPr>
        <w:t>交易额会反映到验证对象的销售收入中。在这种情况下，如果使用</w:t>
      </w:r>
      <w:proofErr w:type="gramStart"/>
      <w:r>
        <w:rPr>
          <w:rFonts w:cs="Arial Unicode MS"/>
        </w:rPr>
        <w:t>息</w:t>
      </w:r>
      <w:proofErr w:type="gramEnd"/>
      <w:r>
        <w:rPr>
          <w:rFonts w:cs="Arial Unicode MS"/>
        </w:rPr>
        <w:t>税前利润率，则验证对象利润率的分母将由于关联交易因素，从而降低了其可靠性；而使用完全成本加成率则不会出现这样的问题。</w:t>
      </w:r>
    </w:p>
    <w:p w14:paraId="7B6A81B2" w14:textId="77777777" w:rsidR="006B4107" w:rsidRDefault="004E70C7">
      <w:pPr>
        <w:spacing w:beforeLines="50" w:before="156" w:afterLines="50" w:after="156" w:line="360" w:lineRule="auto"/>
        <w:ind w:firstLineChars="200" w:firstLine="440"/>
        <w:jc w:val="both"/>
        <w:rPr>
          <w:rFonts w:cs="Arial Unicode MS"/>
        </w:rPr>
      </w:pPr>
      <w:r>
        <w:rPr>
          <w:rFonts w:cs="Arial Unicode MS"/>
        </w:rPr>
        <w:t>综上所述，我们选择了完全成本加成率作为</w:t>
      </w:r>
      <w:proofErr w:type="gramStart"/>
      <w:r>
        <w:rPr>
          <w:rFonts w:cs="Arial Unicode MS"/>
        </w:rPr>
        <w:t>评估</w:t>
      </w:r>
      <w:r>
        <w:rPr>
          <w:rFonts w:cs="Arial Unicode MS" w:hint="eastAsia"/>
        </w:rPr>
        <w:t>远化物流</w:t>
      </w:r>
      <w:proofErr w:type="gramEnd"/>
      <w:r>
        <w:rPr>
          <w:rFonts w:cs="Arial Unicode MS"/>
        </w:rPr>
        <w:t>受测关联交易是否符合独立交易原则最合理的利润水平指标。</w:t>
      </w:r>
    </w:p>
    <w:bookmarkEnd w:id="793"/>
    <w:bookmarkEnd w:id="794"/>
    <w:p w14:paraId="3FFE910F" w14:textId="77777777" w:rsidR="006B4107" w:rsidRDefault="004E70C7">
      <w:pPr>
        <w:pStyle w:val="4"/>
        <w:rPr>
          <w:rFonts w:ascii="Arial Narrow" w:eastAsia="仿宋_GB2312" w:hAnsi="Arial Narrow"/>
          <w:iCs w:val="0"/>
          <w:color w:val="002060"/>
        </w:rPr>
      </w:pPr>
      <w:r>
        <w:rPr>
          <w:rFonts w:ascii="Arial Narrow" w:eastAsia="仿宋_GB2312" w:hAnsi="Arial Narrow" w:cs="楷体"/>
          <w:b w:val="0"/>
          <w:iCs w:val="0"/>
          <w:color w:val="002060"/>
          <w:szCs w:val="22"/>
        </w:rPr>
        <w:t>多年度数据的使用</w:t>
      </w:r>
    </w:p>
    <w:p w14:paraId="240FCEFB" w14:textId="77777777" w:rsidR="006B4107" w:rsidRDefault="004E70C7">
      <w:pPr>
        <w:spacing w:beforeLines="50" w:before="156" w:afterLines="50" w:after="156" w:line="360" w:lineRule="auto"/>
        <w:ind w:firstLineChars="200" w:firstLine="440"/>
        <w:jc w:val="both"/>
        <w:rPr>
          <w:rFonts w:cs="Arial Unicode MS"/>
        </w:rPr>
      </w:pPr>
      <w:r>
        <w:rPr>
          <w:rFonts w:cs="Arial Unicode MS"/>
        </w:rPr>
        <w:t>《</w:t>
      </w:r>
      <w:r>
        <w:rPr>
          <w:rFonts w:cs="Arial Unicode MS"/>
        </w:rPr>
        <w:t>OECD</w:t>
      </w:r>
      <w:r>
        <w:rPr>
          <w:rFonts w:cs="Arial Unicode MS"/>
        </w:rPr>
        <w:t>转让定价指南》关于使用多个年度的数据给出了如下准则：</w:t>
      </w:r>
      <w:r>
        <w:rPr>
          <w:rFonts w:cs="Arial Unicode MS"/>
        </w:rPr>
        <w:t>“</w:t>
      </w:r>
      <w:r>
        <w:rPr>
          <w:rFonts w:cs="Arial Unicode MS"/>
        </w:rPr>
        <w:t>通常，分析受测年度及之前年度的数据可以有助于全面了解受控交易的事实及情况</w:t>
      </w:r>
      <w:r>
        <w:rPr>
          <w:rFonts w:cs="Arial Unicode MS"/>
        </w:rPr>
        <w:t>......</w:t>
      </w:r>
      <w:r>
        <w:rPr>
          <w:rFonts w:cs="Arial Unicode MS"/>
        </w:rPr>
        <w:t>这种多年度数据分析在应用交易利润法时可能特别适用</w:t>
      </w:r>
      <w:r>
        <w:rPr>
          <w:rFonts w:cs="Arial Unicode MS"/>
        </w:rPr>
        <w:t>......</w:t>
      </w:r>
      <w:r>
        <w:rPr>
          <w:rFonts w:cs="Arial Unicode MS"/>
        </w:rPr>
        <w:t>多</w:t>
      </w:r>
      <w:r>
        <w:rPr>
          <w:rFonts w:cs="Arial Unicode MS"/>
        </w:rPr>
        <w:t>年度财务数据还可以有助于了解长期合约。</w:t>
      </w:r>
      <w:r>
        <w:rPr>
          <w:rFonts w:cs="Arial Unicode MS"/>
        </w:rPr>
        <w:t>”</w:t>
      </w:r>
      <w:r>
        <w:rPr>
          <w:rFonts w:cs="Arial Unicode MS"/>
          <w:vertAlign w:val="superscript"/>
        </w:rPr>
        <w:footnoteReference w:id="15"/>
      </w:r>
    </w:p>
    <w:p w14:paraId="0D84478E" w14:textId="77777777" w:rsidR="006B4107" w:rsidRDefault="004E70C7">
      <w:pPr>
        <w:spacing w:beforeLines="50" w:before="156" w:afterLines="50" w:after="156" w:line="360" w:lineRule="auto"/>
        <w:ind w:firstLineChars="200" w:firstLine="440"/>
        <w:jc w:val="both"/>
        <w:rPr>
          <w:rFonts w:cs="Arial Unicode MS"/>
        </w:rPr>
      </w:pPr>
      <w:r>
        <w:rPr>
          <w:rFonts w:cs="Arial Unicode MS"/>
        </w:rPr>
        <w:t>[2017]6</w:t>
      </w:r>
      <w:r>
        <w:rPr>
          <w:rFonts w:cs="Arial Unicode MS"/>
        </w:rPr>
        <w:t>号公告第</w:t>
      </w:r>
      <w:r>
        <w:rPr>
          <w:rFonts w:cs="Arial Unicode MS"/>
        </w:rPr>
        <w:t>20</w:t>
      </w:r>
      <w:r>
        <w:rPr>
          <w:rFonts w:cs="Arial Unicode MS"/>
        </w:rPr>
        <w:t>条特别指出，在使用交易净利润法进行可比性分析时，应特别考察经济周期和产品生命周期。《</w:t>
      </w:r>
      <w:r>
        <w:rPr>
          <w:rFonts w:cs="Arial Unicode MS"/>
        </w:rPr>
        <w:t>OECD</w:t>
      </w:r>
      <w:r>
        <w:rPr>
          <w:rFonts w:cs="Arial Unicode MS"/>
        </w:rPr>
        <w:t>转让定价指南》中也就行业和产品生命周期提出了如下准则：</w:t>
      </w:r>
    </w:p>
    <w:p w14:paraId="26B9DA4B" w14:textId="77777777" w:rsidR="006B4107" w:rsidRDefault="004E70C7">
      <w:pPr>
        <w:spacing w:beforeLines="50" w:before="156" w:afterLines="50" w:after="156" w:line="360" w:lineRule="auto"/>
        <w:ind w:firstLineChars="200" w:firstLine="440"/>
        <w:jc w:val="both"/>
        <w:rPr>
          <w:rFonts w:cs="Arial Unicode MS"/>
        </w:rPr>
      </w:pPr>
      <w:r>
        <w:rPr>
          <w:rFonts w:cs="Arial Unicode MS"/>
        </w:rPr>
        <w:t>“</w:t>
      </w:r>
      <w:r>
        <w:rPr>
          <w:rFonts w:cs="Arial Unicode MS"/>
        </w:rPr>
        <w:t>多年度的资料也可以有助于提供关于可比公司行业周期和产品生命周期的信息。商业周期或者产品生命周期方面的差异，可能会对转让定价产生重大的影响，从而影响到对可比性的评估。早些年度的数据可能会显示，那些进行可比交易的独立企业，是否在相似的程度上，受到类似经济环境的影响；或者早些年度不同的情况严重影</w:t>
      </w:r>
      <w:r>
        <w:rPr>
          <w:rFonts w:cs="Arial Unicode MS"/>
        </w:rPr>
        <w:t>响了该独立企业的价格和利润，以至于它不能再被用作可比公司。</w:t>
      </w:r>
      <w:r>
        <w:rPr>
          <w:rFonts w:cs="Arial Unicode MS"/>
        </w:rPr>
        <w:t>”</w:t>
      </w:r>
      <w:r>
        <w:rPr>
          <w:rFonts w:cs="Arial Unicode MS"/>
          <w:vertAlign w:val="superscript"/>
        </w:rPr>
        <w:footnoteReference w:id="16"/>
      </w:r>
    </w:p>
    <w:p w14:paraId="42F84291" w14:textId="77777777" w:rsidR="006B4107" w:rsidRDefault="004E70C7">
      <w:pPr>
        <w:spacing w:beforeLines="50" w:before="156" w:afterLines="50" w:after="156" w:line="360" w:lineRule="auto"/>
        <w:ind w:firstLineChars="200" w:firstLine="440"/>
        <w:jc w:val="both"/>
        <w:rPr>
          <w:rFonts w:cs="Arial Unicode MS"/>
        </w:rPr>
      </w:pPr>
      <w:r>
        <w:rPr>
          <w:rFonts w:cs="Arial Unicode MS"/>
        </w:rPr>
        <w:t>为了在交易净利润分析中运用多年度数据，我们通过</w:t>
      </w:r>
      <w:proofErr w:type="gramStart"/>
      <w:r>
        <w:rPr>
          <w:rFonts w:cs="Arial Unicode MS"/>
        </w:rPr>
        <w:t>比较</w:t>
      </w:r>
      <w:r>
        <w:rPr>
          <w:rFonts w:cs="Arial Unicode MS" w:hint="eastAsia"/>
        </w:rPr>
        <w:t>远化物流</w:t>
      </w:r>
      <w:proofErr w:type="gramEnd"/>
      <w:r>
        <w:rPr>
          <w:rFonts w:cs="Arial Unicode MS"/>
        </w:rPr>
        <w:t>2023</w:t>
      </w:r>
      <w:r>
        <w:rPr>
          <w:rFonts w:cs="Arial Unicode MS"/>
        </w:rPr>
        <w:t>年度受测关联交易的利润水平和可比公司</w:t>
      </w:r>
      <w:r>
        <w:rPr>
          <w:rFonts w:cs="Arial Unicode MS"/>
        </w:rPr>
        <w:t>2020</w:t>
      </w:r>
      <w:r>
        <w:rPr>
          <w:rFonts w:cs="Arial Unicode MS"/>
        </w:rPr>
        <w:t>到</w:t>
      </w:r>
      <w:r>
        <w:rPr>
          <w:rFonts w:cs="Arial Unicode MS"/>
        </w:rPr>
        <w:t>2022</w:t>
      </w:r>
      <w:r>
        <w:rPr>
          <w:rFonts w:cs="Arial Unicode MS"/>
        </w:rPr>
        <w:t>财年的加权平均利润水平，来</w:t>
      </w:r>
      <w:proofErr w:type="gramStart"/>
      <w:r>
        <w:rPr>
          <w:rFonts w:cs="Arial Unicode MS"/>
        </w:rPr>
        <w:t>评估</w:t>
      </w:r>
      <w:r>
        <w:rPr>
          <w:rFonts w:cs="Arial Unicode MS" w:hint="eastAsia"/>
        </w:rPr>
        <w:t>远化物流</w:t>
      </w:r>
      <w:proofErr w:type="gramEnd"/>
      <w:r>
        <w:rPr>
          <w:rFonts w:cs="Arial Unicode MS"/>
        </w:rPr>
        <w:t>的受测关联交易是否符合独立交易原则。</w:t>
      </w:r>
    </w:p>
    <w:p w14:paraId="491E8DEA" w14:textId="77777777" w:rsidR="006B4107" w:rsidRDefault="004E70C7">
      <w:pPr>
        <w:pStyle w:val="4"/>
        <w:rPr>
          <w:rFonts w:ascii="Arial Narrow" w:eastAsia="仿宋_GB2312" w:hAnsi="Arial Narrow"/>
          <w:iCs w:val="0"/>
          <w:color w:val="002060"/>
        </w:rPr>
      </w:pPr>
      <w:r>
        <w:rPr>
          <w:rFonts w:ascii="Arial Narrow" w:eastAsia="仿宋_GB2312" w:hAnsi="Arial Narrow" w:cs="楷体"/>
          <w:b w:val="0"/>
          <w:iCs w:val="0"/>
          <w:color w:val="002060"/>
          <w:szCs w:val="22"/>
        </w:rPr>
        <w:t>独立交易区间</w:t>
      </w:r>
    </w:p>
    <w:p w14:paraId="343730A9" w14:textId="77777777" w:rsidR="006B4107" w:rsidRDefault="004E70C7">
      <w:pPr>
        <w:spacing w:beforeLines="50" w:before="156" w:afterLines="50" w:after="156" w:line="360" w:lineRule="auto"/>
        <w:ind w:firstLineChars="200" w:firstLine="440"/>
        <w:jc w:val="both"/>
        <w:rPr>
          <w:rFonts w:cs="Arial Unicode MS"/>
        </w:rPr>
      </w:pPr>
      <w:bookmarkStart w:id="801" w:name="_Toc48317175"/>
      <w:bookmarkStart w:id="802" w:name="_Toc48317558"/>
      <w:bookmarkStart w:id="803" w:name="_Toc274480845"/>
      <w:bookmarkStart w:id="804" w:name="_Toc261727559"/>
      <w:r>
        <w:rPr>
          <w:rFonts w:cs="Arial Unicode MS"/>
        </w:rPr>
        <w:t>符合独立交易原则的结果通常并不是一个单一的价格或者利润，而是一个价格或利润的区间。只要我们对</w:t>
      </w:r>
      <w:proofErr w:type="gramStart"/>
      <w:r>
        <w:rPr>
          <w:rFonts w:cs="Arial Unicode MS"/>
        </w:rPr>
        <w:t>每个非</w:t>
      </w:r>
      <w:proofErr w:type="gramEnd"/>
      <w:r>
        <w:rPr>
          <w:rFonts w:cs="Arial Unicode MS"/>
        </w:rPr>
        <w:t>受控交易进行仔细审查并能确保其与受测关联交易的</w:t>
      </w:r>
      <w:r>
        <w:rPr>
          <w:rFonts w:cs="Arial Unicode MS"/>
        </w:rPr>
        <w:lastRenderedPageBreak/>
        <w:t>可比性，那么在区间中的每个数据都具有同样的可靠性。相对于某个特定的数字而言，独立交易区间是评</w:t>
      </w:r>
      <w:r>
        <w:rPr>
          <w:rFonts w:cs="Arial Unicode MS"/>
        </w:rPr>
        <w:t>估受控交易是否符合独立交易原则更合理的方法，因为通常使用转让定价方法评估所得的只是一个符合独立交易原则的近似值，或者因为各独立企业在可比的经济环境中可能并不会对同一交易采用完全相同的定价（或者赚取完全相同的利润）。因此，如果一项受控交易的结果在两家或两家以上的可比公司的利润区间内，那么可以认为该受控交易是符合独立交易原则的。</w:t>
      </w:r>
      <w:r>
        <w:rPr>
          <w:rFonts w:cs="Arial Unicode MS"/>
          <w:vertAlign w:val="superscript"/>
        </w:rPr>
        <w:footnoteReference w:id="17"/>
      </w:r>
    </w:p>
    <w:p w14:paraId="44529764" w14:textId="77777777" w:rsidR="006B4107" w:rsidRDefault="004E70C7">
      <w:pPr>
        <w:spacing w:beforeLines="50" w:before="156" w:afterLines="50" w:after="156" w:line="360" w:lineRule="auto"/>
        <w:ind w:firstLineChars="200" w:firstLine="440"/>
        <w:jc w:val="both"/>
        <w:rPr>
          <w:rFonts w:cs="Arial Unicode MS"/>
        </w:rPr>
      </w:pPr>
      <w:r>
        <w:rPr>
          <w:rFonts w:cs="Arial Unicode MS"/>
        </w:rPr>
        <w:t>章节</w:t>
      </w:r>
      <w:r>
        <w:rPr>
          <w:rFonts w:cs="Arial Unicode MS"/>
        </w:rPr>
        <w:t>7.4.3.5</w:t>
      </w:r>
      <w:r>
        <w:rPr>
          <w:rFonts w:cs="Arial Unicode MS"/>
        </w:rPr>
        <w:t>中所使用的筛选标准旨在寻找和消除</w:t>
      </w:r>
      <w:proofErr w:type="gramStart"/>
      <w:r>
        <w:rPr>
          <w:rFonts w:cs="Arial Unicode MS"/>
        </w:rPr>
        <w:t>对</w:t>
      </w:r>
      <w:r>
        <w:rPr>
          <w:rFonts w:cs="Arial Unicode MS" w:hint="eastAsia"/>
        </w:rPr>
        <w:t>远化物流</w:t>
      </w:r>
      <w:proofErr w:type="gramEnd"/>
      <w:r>
        <w:rPr>
          <w:rFonts w:cs="Arial Unicode MS"/>
        </w:rPr>
        <w:t>与选定的可比公司之间在执行功能、承担风险和使用资产等方面可能存在的显著差异。因此，所有选定的可比公司都具有相同程度的可比</w:t>
      </w:r>
      <w:r>
        <w:rPr>
          <w:rFonts w:cs="Arial Unicode MS"/>
        </w:rPr>
        <w:t>性和可靠性。因此，我们可以认为独立交易区间应该由所有可比公司的财务成果组成。</w:t>
      </w:r>
    </w:p>
    <w:p w14:paraId="2F86A28F" w14:textId="77777777" w:rsidR="006B4107" w:rsidRDefault="004E70C7">
      <w:pPr>
        <w:spacing w:beforeLines="50" w:before="156" w:afterLines="50" w:after="156" w:line="360" w:lineRule="auto"/>
        <w:ind w:firstLineChars="200" w:firstLine="440"/>
        <w:jc w:val="both"/>
        <w:rPr>
          <w:rFonts w:cs="Arial Unicode MS"/>
        </w:rPr>
      </w:pPr>
      <w:r>
        <w:rPr>
          <w:rFonts w:cs="Arial Unicode MS"/>
        </w:rPr>
        <w:t>然而应该承认，尽管选定的可比公司已经是可获得的最可比的样本了，在他们</w:t>
      </w:r>
      <w:proofErr w:type="gramStart"/>
      <w:r>
        <w:rPr>
          <w:rFonts w:cs="Arial Unicode MS"/>
        </w:rPr>
        <w:t>与</w:t>
      </w:r>
      <w:r>
        <w:rPr>
          <w:rFonts w:cs="Arial Unicode MS" w:hint="eastAsia"/>
        </w:rPr>
        <w:t>远化物流</w:t>
      </w:r>
      <w:proofErr w:type="gramEnd"/>
      <w:r>
        <w:rPr>
          <w:rFonts w:cs="Arial Unicode MS"/>
        </w:rPr>
        <w:t>与选定之间仍然可能存在无法量化的差异。因此，如果将所有可比公司的结果组成区间，可能会导致区间的范围太宽，从而降低其可靠性。在存在不完美的可比公司的情况下，为了提高我们分析的可靠程度，我们将独立交易区间限定为可比公司</w:t>
      </w:r>
      <w:r>
        <w:rPr>
          <w:rFonts w:cs="Arial Unicode MS"/>
        </w:rPr>
        <w:t>2020</w:t>
      </w:r>
      <w:r>
        <w:rPr>
          <w:rFonts w:cs="Arial Unicode MS"/>
        </w:rPr>
        <w:t>到</w:t>
      </w:r>
      <w:r>
        <w:rPr>
          <w:rFonts w:cs="Arial Unicode MS"/>
        </w:rPr>
        <w:t>2022</w:t>
      </w:r>
      <w:r>
        <w:rPr>
          <w:rFonts w:cs="Arial Unicode MS"/>
        </w:rPr>
        <w:t>财年期间加权平均完全成本加成率的四分位区间。</w:t>
      </w:r>
      <w:r>
        <w:rPr>
          <w:rFonts w:cs="Arial Unicode MS"/>
          <w:vertAlign w:val="superscript"/>
        </w:rPr>
        <w:footnoteReference w:id="18"/>
      </w:r>
    </w:p>
    <w:p w14:paraId="5B170983" w14:textId="77777777" w:rsidR="006B4107" w:rsidRDefault="004E70C7">
      <w:pPr>
        <w:spacing w:beforeLines="50" w:before="156" w:afterLines="50" w:after="156" w:line="360" w:lineRule="auto"/>
        <w:ind w:firstLineChars="200" w:firstLine="440"/>
        <w:jc w:val="both"/>
        <w:rPr>
          <w:rFonts w:cs="Arial Unicode MS"/>
        </w:rPr>
      </w:pPr>
      <w:r>
        <w:rPr>
          <w:rFonts w:cs="Arial Unicode MS"/>
        </w:rPr>
        <w:t>我们从</w:t>
      </w:r>
      <w:r>
        <w:rPr>
          <w:rFonts w:cs="Arial Unicode MS"/>
        </w:rPr>
        <w:t>TP Catalyst</w:t>
      </w:r>
      <w:r>
        <w:rPr>
          <w:rFonts w:cs="Arial Unicode MS"/>
        </w:rPr>
        <w:t>数据库提取了</w:t>
      </w:r>
      <w:r>
        <w:rPr>
          <w:rFonts w:cs="Arial Unicode MS"/>
        </w:rPr>
        <w:t>2020</w:t>
      </w:r>
      <w:r>
        <w:rPr>
          <w:rFonts w:cs="Arial Unicode MS"/>
        </w:rPr>
        <w:t>到</w:t>
      </w:r>
      <w:r>
        <w:rPr>
          <w:rFonts w:cs="Arial Unicode MS"/>
        </w:rPr>
        <w:t>2022</w:t>
      </w:r>
      <w:r>
        <w:rPr>
          <w:rFonts w:cs="Arial Unicode MS"/>
        </w:rPr>
        <w:t>财年每家可比公司</w:t>
      </w:r>
      <w:r>
        <w:rPr>
          <w:rFonts w:cs="Arial Unicode MS"/>
        </w:rPr>
        <w:t>的损益表中的信息。被选可比公司完全成本加成率计算详见附件</w:t>
      </w:r>
      <w:r>
        <w:rPr>
          <w:rFonts w:cs="Arial Unicode MS"/>
        </w:rPr>
        <w:t>4</w:t>
      </w:r>
      <w:r>
        <w:rPr>
          <w:rFonts w:cs="Arial Unicode MS"/>
        </w:rPr>
        <w:t>。</w:t>
      </w:r>
    </w:p>
    <w:p w14:paraId="1DD4BDF5" w14:textId="77777777" w:rsidR="006B4107" w:rsidRDefault="004E70C7">
      <w:pPr>
        <w:spacing w:beforeLines="50" w:before="156" w:afterLines="50" w:after="156" w:line="360" w:lineRule="auto"/>
        <w:ind w:firstLineChars="200" w:firstLine="440"/>
        <w:jc w:val="both"/>
        <w:rPr>
          <w:rFonts w:cs="Arial Unicode MS"/>
        </w:rPr>
      </w:pPr>
      <w:r>
        <w:rPr>
          <w:rFonts w:cs="Arial Unicode MS"/>
        </w:rPr>
        <w:t>我们计算了选中的</w:t>
      </w:r>
      <w:r>
        <w:rPr>
          <w:rFonts w:cs="Arial Unicode MS"/>
        </w:rPr>
        <w:t>11</w:t>
      </w:r>
      <w:r>
        <w:rPr>
          <w:rFonts w:cs="Arial Unicode MS"/>
        </w:rPr>
        <w:t>家可比公司</w:t>
      </w:r>
      <w:r>
        <w:rPr>
          <w:rFonts w:cs="Arial Unicode MS"/>
        </w:rPr>
        <w:t>2020</w:t>
      </w:r>
      <w:r>
        <w:rPr>
          <w:rFonts w:cs="Arial Unicode MS"/>
        </w:rPr>
        <w:t>到</w:t>
      </w:r>
      <w:r>
        <w:rPr>
          <w:rFonts w:cs="Arial Unicode MS"/>
        </w:rPr>
        <w:t>2022</w:t>
      </w:r>
      <w:r>
        <w:rPr>
          <w:rFonts w:cs="Arial Unicode MS"/>
        </w:rPr>
        <w:t>财年加权平均完全成本加成率。如下图所示：</w:t>
      </w:r>
    </w:p>
    <w:p w14:paraId="058831E8" w14:textId="77777777" w:rsidR="006B4107" w:rsidRDefault="004E70C7">
      <w:pPr>
        <w:pStyle w:val="a6"/>
        <w:ind w:left="420" w:hanging="420"/>
        <w:jc w:val="center"/>
        <w:rPr>
          <w:rFonts w:ascii="仿宋" w:eastAsia="仿宋" w:hAnsi="仿宋"/>
        </w:rPr>
      </w:pPr>
      <w:r>
        <w:rPr>
          <w:rFonts w:ascii="仿宋" w:eastAsia="仿宋" w:hAnsi="仿宋"/>
        </w:rPr>
        <w:t>图表</w:t>
      </w:r>
      <w:r>
        <w:rPr>
          <w:rFonts w:eastAsia="仿宋" w:cs="Arial Narrow"/>
        </w:rPr>
        <w:t>22</w:t>
      </w:r>
      <w:r>
        <w:rPr>
          <w:rFonts w:ascii="仿宋" w:eastAsia="仿宋" w:hAnsi="仿宋"/>
        </w:rPr>
        <w:t>：可比企业完全成本加成率四分位区间表</w:t>
      </w:r>
    </w:p>
    <w:tbl>
      <w:tblPr>
        <w:tblW w:w="52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3"/>
        <w:gridCol w:w="3262"/>
      </w:tblGrid>
      <w:tr w:rsidR="006B4107" w14:paraId="4E75E753" w14:textId="77777777">
        <w:trPr>
          <w:trHeight w:val="580"/>
          <w:tblHeader/>
          <w:jc w:val="center"/>
        </w:trPr>
        <w:tc>
          <w:tcPr>
            <w:tcW w:w="1983" w:type="dxa"/>
            <w:shd w:val="clear" w:color="auto" w:fill="002060"/>
            <w:vAlign w:val="center"/>
          </w:tcPr>
          <w:p w14:paraId="54EF32D9" w14:textId="77777777" w:rsidR="006B4107" w:rsidRDefault="004E70C7">
            <w:pPr>
              <w:widowControl w:val="0"/>
              <w:jc w:val="center"/>
              <w:rPr>
                <w:rFonts w:ascii="仿宋" w:eastAsia="仿宋" w:hAnsi="仿宋" w:cs="楷体"/>
                <w:b/>
                <w:color w:val="1F497D"/>
              </w:rPr>
            </w:pPr>
            <w:r>
              <w:rPr>
                <w:rFonts w:ascii="仿宋" w:eastAsia="仿宋" w:hAnsi="仿宋" w:cs="楷体"/>
                <w:b/>
                <w:color w:val="FFFFFF" w:themeColor="background1"/>
              </w:rPr>
              <w:t>类型</w:t>
            </w:r>
          </w:p>
        </w:tc>
        <w:tc>
          <w:tcPr>
            <w:tcW w:w="3262" w:type="dxa"/>
            <w:shd w:val="clear" w:color="auto" w:fill="002060"/>
            <w:vAlign w:val="center"/>
          </w:tcPr>
          <w:p w14:paraId="777E970E" w14:textId="77777777" w:rsidR="006B4107" w:rsidRDefault="004E70C7">
            <w:pPr>
              <w:widowControl w:val="0"/>
              <w:jc w:val="center"/>
              <w:rPr>
                <w:rFonts w:ascii="仿宋" w:eastAsia="仿宋" w:hAnsi="仿宋" w:cs="楷体"/>
                <w:b/>
                <w:color w:val="1F497D"/>
              </w:rPr>
            </w:pPr>
            <w:r>
              <w:rPr>
                <w:rFonts w:ascii="仿宋" w:eastAsia="仿宋" w:hAnsi="仿宋" w:cs="楷体"/>
                <w:b/>
                <w:color w:val="FFFFFF" w:themeColor="background1"/>
              </w:rPr>
              <w:t>2020-2022</w:t>
            </w:r>
            <w:r>
              <w:rPr>
                <w:rFonts w:ascii="仿宋" w:eastAsia="仿宋" w:hAnsi="仿宋" w:cs="楷体"/>
                <w:b/>
                <w:color w:val="FFFFFF" w:themeColor="background1"/>
              </w:rPr>
              <w:t>年加权平均</w:t>
            </w:r>
          </w:p>
        </w:tc>
      </w:tr>
      <w:tr w:rsidR="006B4107" w14:paraId="784D71BF" w14:textId="77777777">
        <w:trPr>
          <w:trHeight w:val="454"/>
          <w:jc w:val="center"/>
        </w:trPr>
        <w:tc>
          <w:tcPr>
            <w:tcW w:w="1983" w:type="dxa"/>
            <w:shd w:val="clear" w:color="auto" w:fill="auto"/>
            <w:vAlign w:val="center"/>
          </w:tcPr>
          <w:p w14:paraId="1C384315" w14:textId="77777777" w:rsidR="006B4107" w:rsidRDefault="004E70C7">
            <w:pPr>
              <w:widowControl w:val="0"/>
              <w:jc w:val="both"/>
              <w:rPr>
                <w:rFonts w:cs="楷体"/>
              </w:rPr>
            </w:pPr>
            <w:r>
              <w:rPr>
                <w:rFonts w:cs="楷体"/>
              </w:rPr>
              <w:t>上四分位值</w:t>
            </w:r>
          </w:p>
        </w:tc>
        <w:tc>
          <w:tcPr>
            <w:tcW w:w="3262" w:type="dxa"/>
            <w:shd w:val="clear" w:color="auto" w:fill="auto"/>
            <w:vAlign w:val="center"/>
          </w:tcPr>
          <w:p w14:paraId="35722DA2" w14:textId="77777777" w:rsidR="006B4107" w:rsidRDefault="004E70C7">
            <w:pPr>
              <w:widowControl w:val="0"/>
              <w:jc w:val="center"/>
              <w:rPr>
                <w:rFonts w:cs="楷体"/>
              </w:rPr>
            </w:pPr>
            <w:r>
              <w:rPr>
                <w:rFonts w:cs="楷体"/>
              </w:rPr>
              <w:t>6.64%</w:t>
            </w:r>
          </w:p>
        </w:tc>
      </w:tr>
      <w:tr w:rsidR="006B4107" w14:paraId="720CAE90" w14:textId="77777777">
        <w:trPr>
          <w:trHeight w:val="454"/>
          <w:jc w:val="center"/>
        </w:trPr>
        <w:tc>
          <w:tcPr>
            <w:tcW w:w="1983" w:type="dxa"/>
            <w:shd w:val="clear" w:color="auto" w:fill="auto"/>
            <w:vAlign w:val="center"/>
          </w:tcPr>
          <w:p w14:paraId="4E119AAE" w14:textId="77777777" w:rsidR="006B4107" w:rsidRDefault="004E70C7">
            <w:pPr>
              <w:widowControl w:val="0"/>
              <w:jc w:val="both"/>
              <w:rPr>
                <w:rFonts w:cs="楷体"/>
              </w:rPr>
            </w:pPr>
            <w:r>
              <w:rPr>
                <w:rFonts w:cs="楷体"/>
              </w:rPr>
              <w:t>中位值</w:t>
            </w:r>
          </w:p>
        </w:tc>
        <w:tc>
          <w:tcPr>
            <w:tcW w:w="3262" w:type="dxa"/>
            <w:shd w:val="clear" w:color="auto" w:fill="auto"/>
            <w:vAlign w:val="center"/>
          </w:tcPr>
          <w:p w14:paraId="1467ED70" w14:textId="77777777" w:rsidR="006B4107" w:rsidRDefault="004E70C7">
            <w:pPr>
              <w:widowControl w:val="0"/>
              <w:jc w:val="center"/>
              <w:rPr>
                <w:rFonts w:cs="楷体"/>
              </w:rPr>
            </w:pPr>
            <w:r>
              <w:rPr>
                <w:rFonts w:cs="楷体"/>
              </w:rPr>
              <w:t>3.20%</w:t>
            </w:r>
          </w:p>
        </w:tc>
      </w:tr>
      <w:tr w:rsidR="006B4107" w14:paraId="2CA40A1B" w14:textId="77777777">
        <w:trPr>
          <w:trHeight w:val="454"/>
          <w:jc w:val="center"/>
        </w:trPr>
        <w:tc>
          <w:tcPr>
            <w:tcW w:w="1983" w:type="dxa"/>
            <w:shd w:val="clear" w:color="auto" w:fill="auto"/>
            <w:vAlign w:val="center"/>
          </w:tcPr>
          <w:p w14:paraId="6B91B216" w14:textId="77777777" w:rsidR="006B4107" w:rsidRDefault="004E70C7">
            <w:pPr>
              <w:widowControl w:val="0"/>
              <w:jc w:val="both"/>
              <w:rPr>
                <w:rFonts w:cs="楷体"/>
              </w:rPr>
            </w:pPr>
            <w:r>
              <w:rPr>
                <w:rFonts w:cs="楷体"/>
              </w:rPr>
              <w:t>下四分位值</w:t>
            </w:r>
          </w:p>
        </w:tc>
        <w:tc>
          <w:tcPr>
            <w:tcW w:w="3262" w:type="dxa"/>
            <w:shd w:val="clear" w:color="auto" w:fill="auto"/>
            <w:vAlign w:val="center"/>
          </w:tcPr>
          <w:p w14:paraId="4F69E5DC" w14:textId="77777777" w:rsidR="006B4107" w:rsidRDefault="004E70C7">
            <w:pPr>
              <w:widowControl w:val="0"/>
              <w:jc w:val="center"/>
              <w:rPr>
                <w:rFonts w:cs="楷体"/>
              </w:rPr>
            </w:pPr>
            <w:r>
              <w:rPr>
                <w:rFonts w:cs="楷体"/>
              </w:rPr>
              <w:t>2.36%</w:t>
            </w:r>
          </w:p>
        </w:tc>
      </w:tr>
    </w:tbl>
    <w:p w14:paraId="2C2477D7" w14:textId="77777777" w:rsidR="006B4107" w:rsidRDefault="004E70C7">
      <w:pPr>
        <w:spacing w:beforeLines="50" w:before="156" w:afterLines="50" w:after="156" w:line="360" w:lineRule="auto"/>
        <w:ind w:firstLineChars="200" w:firstLine="440"/>
        <w:jc w:val="both"/>
        <w:rPr>
          <w:rFonts w:cs="Arial Unicode MS"/>
        </w:rPr>
      </w:pPr>
      <w:r>
        <w:rPr>
          <w:rFonts w:cs="Arial Unicode MS"/>
        </w:rPr>
        <w:lastRenderedPageBreak/>
        <w:t>通过上述交易净利润法分析，</w:t>
      </w:r>
      <w:r>
        <w:rPr>
          <w:rFonts w:cs="Arial Unicode MS"/>
        </w:rPr>
        <w:t>2020</w:t>
      </w:r>
      <w:r>
        <w:rPr>
          <w:rFonts w:cs="Arial Unicode MS"/>
        </w:rPr>
        <w:t>到</w:t>
      </w:r>
      <w:r>
        <w:rPr>
          <w:rFonts w:cs="Arial Unicode MS"/>
        </w:rPr>
        <w:t>2022</w:t>
      </w:r>
      <w:r>
        <w:rPr>
          <w:rFonts w:cs="Arial Unicode MS"/>
        </w:rPr>
        <w:t>财年加权平均完全成本加成率独立交易四分位区间为</w:t>
      </w:r>
      <w:r>
        <w:rPr>
          <w:rFonts w:cs="Arial Unicode MS"/>
        </w:rPr>
        <w:t>2.36%</w:t>
      </w:r>
      <w:r>
        <w:rPr>
          <w:rFonts w:cs="Arial Unicode MS"/>
        </w:rPr>
        <w:t>到</w:t>
      </w:r>
      <w:r>
        <w:rPr>
          <w:rFonts w:cs="Arial Unicode MS"/>
        </w:rPr>
        <w:t>6.64%</w:t>
      </w:r>
      <w:r>
        <w:rPr>
          <w:rFonts w:cs="Arial Unicode MS"/>
        </w:rPr>
        <w:t>，中位值为</w:t>
      </w:r>
      <w:r>
        <w:rPr>
          <w:rFonts w:cs="Arial Unicode MS"/>
        </w:rPr>
        <w:t>3.20%</w:t>
      </w:r>
      <w:r>
        <w:rPr>
          <w:rFonts w:cs="Arial Unicode MS" w:hint="eastAsia"/>
        </w:rPr>
        <w:t>。</w:t>
      </w:r>
      <w:proofErr w:type="gramStart"/>
      <w:r>
        <w:rPr>
          <w:rFonts w:cs="Arial Unicode MS" w:hint="eastAsia"/>
        </w:rPr>
        <w:t>远化物流</w:t>
      </w:r>
      <w:proofErr w:type="gramEnd"/>
      <w:r>
        <w:rPr>
          <w:rFonts w:cs="Arial Unicode MS" w:hint="eastAsia"/>
        </w:rPr>
        <w:t>2</w:t>
      </w:r>
      <w:r>
        <w:rPr>
          <w:rFonts w:cs="Arial Unicode MS"/>
        </w:rPr>
        <w:t>023</w:t>
      </w:r>
      <w:r>
        <w:rPr>
          <w:rFonts w:cs="Arial Unicode MS" w:hint="eastAsia"/>
        </w:rPr>
        <w:t>年取得的受测关联交易的完全成本加成率为</w:t>
      </w:r>
      <w:r>
        <w:rPr>
          <w:rFonts w:cs="Arial Unicode MS"/>
        </w:rPr>
        <w:t>3.60</w:t>
      </w:r>
      <w:r>
        <w:rPr>
          <w:rFonts w:cs="Arial Unicode MS" w:hint="eastAsia"/>
        </w:rPr>
        <w:t>%</w:t>
      </w:r>
      <w:r>
        <w:rPr>
          <w:rFonts w:cs="Arial Unicode MS" w:hint="eastAsia"/>
        </w:rPr>
        <w:t>，位</w:t>
      </w:r>
      <w:r>
        <w:rPr>
          <w:rFonts w:cs="Arial Unicode MS"/>
        </w:rPr>
        <w:t>于可比公司</w:t>
      </w:r>
      <w:r>
        <w:rPr>
          <w:rFonts w:cs="Arial Unicode MS"/>
        </w:rPr>
        <w:t>2020</w:t>
      </w:r>
      <w:r>
        <w:rPr>
          <w:rFonts w:cs="Arial Unicode MS"/>
        </w:rPr>
        <w:t>到</w:t>
      </w:r>
      <w:r>
        <w:rPr>
          <w:rFonts w:cs="Arial Unicode MS"/>
        </w:rPr>
        <w:t>2022</w:t>
      </w:r>
      <w:r>
        <w:rPr>
          <w:rFonts w:cs="Arial Unicode MS"/>
        </w:rPr>
        <w:t>三年加权平均完全成本加成率的</w:t>
      </w:r>
      <w:r>
        <w:rPr>
          <w:rFonts w:cs="Arial Unicode MS" w:hint="eastAsia"/>
        </w:rPr>
        <w:t>四分位</w:t>
      </w:r>
      <w:r>
        <w:rPr>
          <w:rFonts w:cs="Arial Unicode MS"/>
        </w:rPr>
        <w:t>区间</w:t>
      </w:r>
      <w:r>
        <w:rPr>
          <w:rFonts w:cs="Arial Unicode MS" w:hint="eastAsia"/>
        </w:rPr>
        <w:t>之内，且高于中位值</w:t>
      </w:r>
      <w:r>
        <w:rPr>
          <w:rFonts w:cs="Arial Unicode MS"/>
        </w:rPr>
        <w:t>。</w:t>
      </w:r>
    </w:p>
    <w:p w14:paraId="0E163845" w14:textId="77777777" w:rsidR="006B4107" w:rsidRDefault="004E70C7">
      <w:pPr>
        <w:spacing w:beforeLines="50" w:before="156" w:afterLines="50" w:after="156" w:line="360" w:lineRule="auto"/>
        <w:ind w:firstLineChars="200" w:firstLine="440"/>
        <w:jc w:val="both"/>
        <w:rPr>
          <w:b/>
          <w:kern w:val="0"/>
          <w:sz w:val="36"/>
          <w:szCs w:val="36"/>
        </w:rPr>
      </w:pPr>
      <w:r>
        <w:rPr>
          <w:rFonts w:cs="Arial Unicode MS"/>
        </w:rPr>
        <w:t>因此，</w:t>
      </w:r>
      <w:proofErr w:type="gramStart"/>
      <w:r>
        <w:rPr>
          <w:rFonts w:cs="Arial Unicode MS" w:hint="eastAsia"/>
        </w:rPr>
        <w:t>远化物流</w:t>
      </w:r>
      <w:proofErr w:type="gramEnd"/>
      <w:r>
        <w:rPr>
          <w:rFonts w:cs="Arial Unicode MS"/>
        </w:rPr>
        <w:t>的关联交易定价不违背独立交易原则。</w:t>
      </w:r>
      <w:bookmarkEnd w:id="801"/>
      <w:bookmarkEnd w:id="802"/>
      <w:r>
        <w:br w:type="page"/>
      </w:r>
    </w:p>
    <w:p w14:paraId="05795549" w14:textId="77777777" w:rsidR="006B4107" w:rsidRDefault="004E70C7">
      <w:pPr>
        <w:pStyle w:val="1"/>
        <w:rPr>
          <w:rFonts w:ascii="Arial Narrow" w:eastAsia="仿宋_GB2312" w:hAnsi="Arial Narrow"/>
          <w:b w:val="0"/>
          <w:bCs/>
          <w:color w:val="1E4517" w:themeColor="accent4" w:themeShade="80"/>
          <w:sz w:val="28"/>
          <w:szCs w:val="28"/>
        </w:rPr>
      </w:pPr>
      <w:bookmarkStart w:id="805" w:name="_Toc185598960"/>
      <w:bookmarkStart w:id="806" w:name="_Toc140761346"/>
      <w:r>
        <w:rPr>
          <w:rFonts w:ascii="Arial Narrow" w:eastAsia="仿宋_GB2312" w:hAnsi="Arial Narrow" w:hint="eastAsia"/>
          <w:b w:val="0"/>
          <w:bCs/>
          <w:color w:val="1E4517" w:themeColor="accent4" w:themeShade="80"/>
          <w:sz w:val="28"/>
          <w:szCs w:val="28"/>
        </w:rPr>
        <w:lastRenderedPageBreak/>
        <w:t>结论</w:t>
      </w:r>
      <w:bookmarkEnd w:id="805"/>
      <w:bookmarkEnd w:id="806"/>
    </w:p>
    <w:p w14:paraId="1AC97710" w14:textId="77777777" w:rsidR="006B4107" w:rsidRDefault="004E70C7">
      <w:pPr>
        <w:spacing w:beforeLines="50" w:before="156" w:afterLines="50" w:after="156" w:line="360" w:lineRule="auto"/>
        <w:ind w:firstLineChars="200" w:firstLine="440"/>
        <w:jc w:val="both"/>
        <w:rPr>
          <w:rFonts w:cs="Arial Unicode MS"/>
        </w:rPr>
      </w:pPr>
      <w:r>
        <w:rPr>
          <w:rFonts w:cs="Arial Unicode MS"/>
        </w:rPr>
        <w:t>根据分析，可比公司</w:t>
      </w:r>
      <w:r>
        <w:rPr>
          <w:rFonts w:cs="Arial Unicode MS"/>
        </w:rPr>
        <w:t>2020</w:t>
      </w:r>
      <w:r>
        <w:rPr>
          <w:rFonts w:cs="Arial Unicode MS"/>
        </w:rPr>
        <w:t>到</w:t>
      </w:r>
      <w:r>
        <w:rPr>
          <w:rFonts w:cs="Arial Unicode MS"/>
        </w:rPr>
        <w:t>2022</w:t>
      </w:r>
      <w:r>
        <w:rPr>
          <w:rFonts w:cs="Arial Unicode MS"/>
        </w:rPr>
        <w:t>财年加权平均完全成本加成率独立交易区间为</w:t>
      </w:r>
      <w:r>
        <w:rPr>
          <w:rFonts w:cs="Arial Unicode MS"/>
        </w:rPr>
        <w:t>2.36%</w:t>
      </w:r>
      <w:r>
        <w:rPr>
          <w:rFonts w:cs="Arial Unicode MS"/>
        </w:rPr>
        <w:t>到</w:t>
      </w:r>
      <w:r>
        <w:rPr>
          <w:rFonts w:cs="Arial Unicode MS"/>
        </w:rPr>
        <w:t>6.64%</w:t>
      </w:r>
      <w:r>
        <w:rPr>
          <w:rFonts w:cs="Arial Unicode MS"/>
        </w:rPr>
        <w:t>，中位值为</w:t>
      </w:r>
      <w:r>
        <w:rPr>
          <w:rFonts w:cs="Arial Unicode MS" w:hint="eastAsia"/>
        </w:rPr>
        <w:t>3.20</w:t>
      </w:r>
      <w:r>
        <w:rPr>
          <w:rFonts w:cs="Arial Unicode MS"/>
        </w:rPr>
        <w:t>%</w:t>
      </w:r>
      <w:r>
        <w:rPr>
          <w:rFonts w:cs="Arial Unicode MS"/>
        </w:rPr>
        <w:t>。</w:t>
      </w:r>
      <w:proofErr w:type="gramStart"/>
      <w:r>
        <w:rPr>
          <w:rFonts w:cs="Arial Unicode MS" w:hint="eastAsia"/>
        </w:rPr>
        <w:t>远化物流</w:t>
      </w:r>
      <w:proofErr w:type="gramEnd"/>
      <w:r>
        <w:rPr>
          <w:rFonts w:cs="Arial Unicode MS"/>
        </w:rPr>
        <w:t>受测关联交易获得的完全成本加成率为</w:t>
      </w:r>
      <w:r>
        <w:rPr>
          <w:rFonts w:cs="Arial Unicode MS" w:hint="eastAsia"/>
        </w:rPr>
        <w:t>3</w:t>
      </w:r>
      <w:r>
        <w:rPr>
          <w:rFonts w:cs="Arial Unicode MS" w:hint="eastAsia"/>
        </w:rPr>
        <w:t>.60</w:t>
      </w:r>
      <w:r>
        <w:rPr>
          <w:rFonts w:cs="Arial Unicode MS"/>
        </w:rPr>
        <w:t>%</w:t>
      </w:r>
      <w:r>
        <w:rPr>
          <w:rFonts w:cs="Arial Unicode MS"/>
        </w:rPr>
        <w:t>，</w:t>
      </w:r>
      <w:r>
        <w:rPr>
          <w:rFonts w:cs="Arial Unicode MS" w:hint="eastAsia"/>
        </w:rPr>
        <w:t>位</w:t>
      </w:r>
      <w:r>
        <w:rPr>
          <w:rFonts w:cs="Arial Unicode MS"/>
        </w:rPr>
        <w:t>于可比非受控公司在</w:t>
      </w:r>
      <w:r>
        <w:rPr>
          <w:rFonts w:cs="Arial Unicode MS"/>
        </w:rPr>
        <w:t>2020</w:t>
      </w:r>
      <w:r>
        <w:rPr>
          <w:rFonts w:cs="Arial Unicode MS"/>
        </w:rPr>
        <w:t>到</w:t>
      </w:r>
      <w:r>
        <w:rPr>
          <w:rFonts w:cs="Arial Unicode MS"/>
        </w:rPr>
        <w:t>2022</w:t>
      </w:r>
      <w:r>
        <w:rPr>
          <w:rFonts w:cs="Arial Unicode MS"/>
        </w:rPr>
        <w:t>财年三年加权平均完全成本加成率的</w:t>
      </w:r>
      <w:r>
        <w:rPr>
          <w:rFonts w:cs="Arial Unicode MS" w:hint="eastAsia"/>
        </w:rPr>
        <w:t>四分位</w:t>
      </w:r>
      <w:r>
        <w:rPr>
          <w:rFonts w:cs="Arial Unicode MS"/>
        </w:rPr>
        <w:t>区间</w:t>
      </w:r>
      <w:r>
        <w:rPr>
          <w:rFonts w:cs="Arial Unicode MS" w:hint="eastAsia"/>
        </w:rPr>
        <w:t>之内，且高于中位值。</w:t>
      </w:r>
      <w:r>
        <w:rPr>
          <w:rFonts w:cs="Arial Unicode MS"/>
        </w:rPr>
        <w:t>因此，从中国转让定价角度，我们</w:t>
      </w:r>
      <w:proofErr w:type="gramStart"/>
      <w:r>
        <w:rPr>
          <w:rFonts w:cs="Arial Unicode MS"/>
        </w:rPr>
        <w:t>认为</w:t>
      </w:r>
      <w:r>
        <w:rPr>
          <w:rFonts w:cs="Arial Unicode MS" w:hint="eastAsia"/>
        </w:rPr>
        <w:t>远化物流</w:t>
      </w:r>
      <w:proofErr w:type="gramEnd"/>
      <w:r>
        <w:rPr>
          <w:rFonts w:cs="Arial Unicode MS"/>
        </w:rPr>
        <w:t>的受测关联交易不违背独立交易原则。</w:t>
      </w:r>
    </w:p>
    <w:p w14:paraId="3DE9545D" w14:textId="77777777" w:rsidR="006B4107" w:rsidRDefault="004E70C7">
      <w:pPr>
        <w:jc w:val="both"/>
        <w:rPr>
          <w:rFonts w:cs="Verdana"/>
          <w:kern w:val="0"/>
          <w:sz w:val="21"/>
        </w:rPr>
      </w:pPr>
      <w:r>
        <w:rPr>
          <w:rFonts w:cs="Verdana"/>
          <w:kern w:val="0"/>
          <w:sz w:val="21"/>
        </w:rPr>
        <w:br w:type="page"/>
      </w:r>
    </w:p>
    <w:p w14:paraId="3B564C6D" w14:textId="77777777" w:rsidR="006B4107" w:rsidRDefault="004E70C7">
      <w:pPr>
        <w:pStyle w:val="ListParagraph1"/>
        <w:spacing w:before="100" w:beforeAutospacing="1" w:after="100" w:afterAutospacing="1"/>
        <w:ind w:left="0" w:right="0" w:firstLineChars="0" w:firstLine="0"/>
        <w:outlineLvl w:val="0"/>
        <w:rPr>
          <w:rFonts w:eastAsia="仿宋_GB2312" w:cs="Arial Unicode MS"/>
          <w:color w:val="486A00" w:themeColor="accent2" w:themeShade="80"/>
          <w:sz w:val="28"/>
          <w:szCs w:val="22"/>
        </w:rPr>
      </w:pPr>
      <w:bookmarkStart w:id="807" w:name="_Toc47700092"/>
      <w:bookmarkStart w:id="808" w:name="_Toc140761347"/>
      <w:bookmarkStart w:id="809" w:name="_Toc522015260"/>
      <w:bookmarkStart w:id="810" w:name="_Toc185598961"/>
      <w:r>
        <w:rPr>
          <w:rFonts w:eastAsia="仿宋_GB2312" w:cs="Arial Unicode MS" w:hint="cs"/>
          <w:color w:val="486A00" w:themeColor="accent2" w:themeShade="80"/>
          <w:sz w:val="28"/>
          <w:szCs w:val="22"/>
        </w:rPr>
        <w:lastRenderedPageBreak/>
        <w:t>附件列表</w:t>
      </w:r>
      <w:bookmarkEnd w:id="807"/>
      <w:bookmarkEnd w:id="808"/>
      <w:bookmarkEnd w:id="809"/>
      <w:bookmarkEnd w:id="810"/>
    </w:p>
    <w:p w14:paraId="78BEC6DD" w14:textId="77777777" w:rsidR="006B4107" w:rsidRDefault="004E70C7">
      <w:pPr>
        <w:spacing w:beforeLines="50" w:before="156" w:afterLines="50" w:after="156" w:line="360" w:lineRule="auto"/>
        <w:ind w:firstLineChars="10" w:firstLine="22"/>
        <w:jc w:val="both"/>
        <w:rPr>
          <w:rFonts w:cs="Arial Unicode MS"/>
        </w:rPr>
      </w:pPr>
      <w:r>
        <w:rPr>
          <w:rFonts w:cs="Arial Unicode MS"/>
        </w:rPr>
        <w:t>附件</w:t>
      </w:r>
      <w:r>
        <w:rPr>
          <w:rFonts w:cs="Arial Unicode MS"/>
        </w:rPr>
        <w:t>1</w:t>
      </w:r>
      <w:r>
        <w:rPr>
          <w:rFonts w:cs="Arial Unicode MS"/>
        </w:rPr>
        <w:t>转让定价方法简介</w:t>
      </w:r>
    </w:p>
    <w:p w14:paraId="49E0013F" w14:textId="77777777" w:rsidR="006B4107" w:rsidRDefault="004E70C7">
      <w:pPr>
        <w:spacing w:beforeLines="50" w:before="156" w:afterLines="50" w:after="156" w:line="360" w:lineRule="auto"/>
        <w:ind w:firstLineChars="10" w:firstLine="22"/>
        <w:jc w:val="both"/>
        <w:rPr>
          <w:rFonts w:cs="Arial Unicode MS"/>
        </w:rPr>
      </w:pPr>
      <w:r>
        <w:rPr>
          <w:rFonts w:cs="Arial Unicode MS"/>
        </w:rPr>
        <w:t>附件</w:t>
      </w:r>
      <w:r>
        <w:rPr>
          <w:rFonts w:cs="Arial Unicode MS"/>
        </w:rPr>
        <w:t>2</w:t>
      </w:r>
      <w:r>
        <w:rPr>
          <w:rFonts w:cs="Arial Unicode MS"/>
        </w:rPr>
        <w:t>企业年度关联交易财务状况分析表</w:t>
      </w:r>
    </w:p>
    <w:p w14:paraId="319CBC8F" w14:textId="77777777" w:rsidR="006B4107" w:rsidRDefault="004E70C7">
      <w:pPr>
        <w:spacing w:beforeLines="50" w:before="156" w:afterLines="50" w:after="156" w:line="360" w:lineRule="auto"/>
        <w:ind w:firstLineChars="10" w:firstLine="22"/>
        <w:jc w:val="both"/>
        <w:rPr>
          <w:rFonts w:cs="Arial Unicode MS"/>
        </w:rPr>
      </w:pPr>
      <w:r>
        <w:rPr>
          <w:rFonts w:cs="Arial Unicode MS"/>
        </w:rPr>
        <w:t>附件</w:t>
      </w:r>
      <w:r>
        <w:rPr>
          <w:rFonts w:cs="Arial Unicode MS"/>
        </w:rPr>
        <w:t>3</w:t>
      </w:r>
      <w:r>
        <w:rPr>
          <w:rFonts w:cs="Arial Unicode MS"/>
        </w:rPr>
        <w:t>可比公司的业务简介</w:t>
      </w:r>
    </w:p>
    <w:p w14:paraId="64FA784A" w14:textId="77777777" w:rsidR="006B4107" w:rsidRDefault="004E70C7">
      <w:pPr>
        <w:spacing w:beforeLines="50" w:before="156" w:afterLines="50" w:after="156" w:line="360" w:lineRule="auto"/>
        <w:ind w:firstLineChars="10" w:firstLine="22"/>
        <w:jc w:val="both"/>
        <w:rPr>
          <w:rFonts w:cs="Arial Unicode MS"/>
        </w:rPr>
      </w:pPr>
      <w:r>
        <w:rPr>
          <w:rFonts w:cs="Arial Unicode MS"/>
        </w:rPr>
        <w:t>附件</w:t>
      </w:r>
      <w:r>
        <w:rPr>
          <w:rFonts w:cs="Arial Unicode MS"/>
        </w:rPr>
        <w:t>4</w:t>
      </w:r>
      <w:r>
        <w:rPr>
          <w:rFonts w:cs="Arial Unicode MS"/>
        </w:rPr>
        <w:t>可比公司完全成本加成率的计算</w:t>
      </w:r>
    </w:p>
    <w:p w14:paraId="77E58D84" w14:textId="77777777" w:rsidR="006B4107" w:rsidRDefault="004E70C7">
      <w:pPr>
        <w:pStyle w:val="ListParagraph1"/>
        <w:snapToGrid w:val="0"/>
        <w:spacing w:before="100" w:beforeAutospacing="1" w:after="100" w:afterAutospacing="1"/>
        <w:ind w:left="0" w:right="0" w:firstLineChars="0" w:firstLine="0"/>
        <w:outlineLvl w:val="0"/>
        <w:rPr>
          <w:rFonts w:eastAsia="仿宋_GB2312" w:cs="Arial Unicode MS"/>
          <w:color w:val="3F9C35"/>
          <w:sz w:val="28"/>
          <w:szCs w:val="22"/>
        </w:rPr>
      </w:pPr>
      <w:r>
        <w:rPr>
          <w:rFonts w:eastAsia="仿宋_GB2312" w:cs="Arial Unicode MS"/>
          <w:sz w:val="22"/>
          <w:szCs w:val="22"/>
        </w:rPr>
        <w:br w:type="page"/>
      </w:r>
      <w:bookmarkStart w:id="811" w:name="_Toc522015262"/>
      <w:bookmarkStart w:id="812" w:name="_Toc50477149"/>
      <w:bookmarkStart w:id="813" w:name="_Hlk417658624"/>
      <w:bookmarkStart w:id="814" w:name="_Toc140761348"/>
      <w:bookmarkStart w:id="815" w:name="_Toc185598962"/>
      <w:r>
        <w:rPr>
          <w:rFonts w:eastAsia="仿宋_GB2312" w:cs="Arial Unicode MS" w:hint="cs"/>
          <w:color w:val="486A00" w:themeColor="accent2" w:themeShade="80"/>
          <w:sz w:val="28"/>
          <w:szCs w:val="22"/>
        </w:rPr>
        <w:lastRenderedPageBreak/>
        <w:t>附件</w:t>
      </w:r>
      <w:r>
        <w:rPr>
          <w:rFonts w:eastAsia="仿宋_GB2312" w:cs="Arial Unicode MS"/>
          <w:color w:val="486A00" w:themeColor="accent2" w:themeShade="80"/>
          <w:sz w:val="28"/>
          <w:szCs w:val="22"/>
        </w:rPr>
        <w:t xml:space="preserve">1 </w:t>
      </w:r>
      <w:r>
        <w:rPr>
          <w:rFonts w:eastAsia="仿宋_GB2312" w:cs="Arial Unicode MS" w:hint="cs"/>
          <w:color w:val="486A00" w:themeColor="accent2" w:themeShade="80"/>
          <w:sz w:val="28"/>
          <w:szCs w:val="22"/>
        </w:rPr>
        <w:t>转让定价方法简介</w:t>
      </w:r>
      <w:bookmarkEnd w:id="811"/>
      <w:bookmarkEnd w:id="812"/>
      <w:bookmarkEnd w:id="813"/>
      <w:bookmarkEnd w:id="814"/>
      <w:bookmarkEnd w:id="815"/>
    </w:p>
    <w:p w14:paraId="3C72EA9A" w14:textId="77777777" w:rsidR="006B4107" w:rsidRDefault="004E70C7">
      <w:pPr>
        <w:jc w:val="both"/>
        <w:rPr>
          <w:rFonts w:cs="楷体"/>
          <w:b/>
          <w:bCs/>
          <w:i/>
          <w:color w:val="002060"/>
          <w:szCs w:val="28"/>
        </w:rPr>
      </w:pPr>
      <w:bookmarkStart w:id="816" w:name="_Hlk417658642"/>
      <w:r>
        <w:rPr>
          <w:rFonts w:cs="楷体"/>
          <w:b/>
          <w:bCs/>
          <w:i/>
          <w:color w:val="002060"/>
          <w:szCs w:val="28"/>
        </w:rPr>
        <w:t>可比非受控价格法</w:t>
      </w:r>
    </w:p>
    <w:p w14:paraId="1F9EF448" w14:textId="77777777" w:rsidR="006B4107" w:rsidRDefault="004E70C7">
      <w:pPr>
        <w:spacing w:beforeLines="50" w:before="156" w:afterLines="50" w:after="156" w:line="360" w:lineRule="auto"/>
        <w:ind w:firstLineChars="200" w:firstLine="440"/>
        <w:jc w:val="both"/>
        <w:rPr>
          <w:rFonts w:cs="Arial Unicode MS"/>
        </w:rPr>
      </w:pPr>
      <w:r>
        <w:rPr>
          <w:rFonts w:cs="Arial Unicode MS"/>
        </w:rPr>
        <w:t>[2017]6</w:t>
      </w:r>
      <w:r>
        <w:rPr>
          <w:rFonts w:cs="Arial Unicode MS"/>
        </w:rPr>
        <w:t>号公告第</w:t>
      </w:r>
      <w:r>
        <w:rPr>
          <w:rFonts w:cs="Arial Unicode MS"/>
        </w:rPr>
        <w:t>17</w:t>
      </w:r>
      <w:r>
        <w:rPr>
          <w:rFonts w:cs="Arial Unicode MS"/>
        </w:rPr>
        <w:t>条规定，可比非受控价格法可以适用于所有类型的关联交易。可比非受控价格法以非关联方之间进行的与关联交易相同或类似业务活动所收取的价格作为关联交易的公平成交价格。</w:t>
      </w:r>
    </w:p>
    <w:p w14:paraId="300E3BEF" w14:textId="77777777" w:rsidR="006B4107" w:rsidRDefault="004E70C7">
      <w:pPr>
        <w:spacing w:beforeLines="50" w:before="156" w:afterLines="50" w:after="156" w:line="360" w:lineRule="auto"/>
        <w:ind w:firstLineChars="200" w:firstLine="440"/>
        <w:jc w:val="both"/>
        <w:rPr>
          <w:rFonts w:cs="Arial Unicode MS"/>
        </w:rPr>
      </w:pPr>
      <w:r>
        <w:rPr>
          <w:rFonts w:cs="Arial Unicode MS"/>
        </w:rPr>
        <w:t>可比非受控价格法的适用性取决于可比企业间产品单价的可比性，而其他转让定价方法的适用性则主要取决于可比企业间利润率的可比性。利润率一般会自动调整受控与非受控交易涉及企业所承担的功能不同而造成的差异，但产品单价则无法自动调整。因此，可比非受控价格法对受控和非受控交易中所销售的产品或所提供的服务的可比性要求很高。</w:t>
      </w:r>
    </w:p>
    <w:p w14:paraId="2D1E0822" w14:textId="77777777" w:rsidR="006B4107" w:rsidRDefault="004E70C7">
      <w:pPr>
        <w:spacing w:beforeLines="50" w:before="156" w:afterLines="50" w:after="156" w:line="360" w:lineRule="auto"/>
        <w:ind w:firstLineChars="200" w:firstLine="440"/>
        <w:jc w:val="both"/>
        <w:rPr>
          <w:rFonts w:cs="Arial Unicode MS"/>
        </w:rPr>
      </w:pPr>
      <w:r>
        <w:rPr>
          <w:rFonts w:cs="Arial Unicode MS"/>
        </w:rPr>
        <w:t>可比因素要求通常</w:t>
      </w:r>
      <w:r>
        <w:rPr>
          <w:rFonts w:cs="Arial Unicode MS"/>
        </w:rPr>
        <w:t>很难达到，因为关联与非关联交易在上述可比因素的任一方面或几个方面的一个细微差别都可能对价格产生重大影响。</w:t>
      </w:r>
      <w:r>
        <w:rPr>
          <w:rFonts w:cs="Arial Unicode MS"/>
        </w:rPr>
        <w:t>[2017]6</w:t>
      </w:r>
      <w:r>
        <w:rPr>
          <w:rFonts w:cs="Arial Unicode MS"/>
        </w:rPr>
        <w:t>号公告第</w:t>
      </w:r>
      <w:r>
        <w:rPr>
          <w:rFonts w:cs="Arial Unicode MS"/>
        </w:rPr>
        <w:t>17</w:t>
      </w:r>
      <w:r>
        <w:rPr>
          <w:rFonts w:cs="Arial Unicode MS"/>
        </w:rPr>
        <w:t>条虽规定了关联交易与非关联交易之间在以上方面存在重大差异时，应就该差异对价格的影响进行合理调整，但也指出如无法合理调整的，应选</w:t>
      </w:r>
      <w:proofErr w:type="gramStart"/>
      <w:r>
        <w:rPr>
          <w:rFonts w:cs="Arial Unicode MS"/>
        </w:rPr>
        <w:t>择其他</w:t>
      </w:r>
      <w:proofErr w:type="gramEnd"/>
      <w:r>
        <w:rPr>
          <w:rFonts w:cs="Arial Unicode MS"/>
        </w:rPr>
        <w:t>合理的转让定价方法。</w:t>
      </w:r>
    </w:p>
    <w:p w14:paraId="742ABEB0" w14:textId="77777777" w:rsidR="006B4107" w:rsidRDefault="004E70C7">
      <w:pPr>
        <w:jc w:val="both"/>
        <w:rPr>
          <w:rFonts w:cs="楷体"/>
          <w:b/>
          <w:bCs/>
          <w:i/>
          <w:color w:val="002060"/>
        </w:rPr>
      </w:pPr>
      <w:r>
        <w:rPr>
          <w:rFonts w:cs="楷体"/>
          <w:b/>
          <w:bCs/>
          <w:i/>
          <w:color w:val="002060"/>
        </w:rPr>
        <w:t>再销售价格法</w:t>
      </w:r>
    </w:p>
    <w:p w14:paraId="26E26AF0" w14:textId="77777777" w:rsidR="006B4107" w:rsidRDefault="004E70C7">
      <w:pPr>
        <w:spacing w:beforeLines="50" w:before="156" w:afterLines="50" w:after="156" w:line="360" w:lineRule="auto"/>
        <w:ind w:firstLineChars="200" w:firstLine="440"/>
        <w:jc w:val="both"/>
        <w:rPr>
          <w:rFonts w:cs="Arial Unicode MS"/>
        </w:rPr>
      </w:pPr>
      <w:r>
        <w:rPr>
          <w:rFonts w:cs="Arial Unicode MS"/>
        </w:rPr>
        <w:t>[2017]6</w:t>
      </w:r>
      <w:r>
        <w:rPr>
          <w:rFonts w:cs="Arial Unicode MS"/>
        </w:rPr>
        <w:t>号公告第</w:t>
      </w:r>
      <w:r>
        <w:rPr>
          <w:rFonts w:cs="Arial Unicode MS"/>
        </w:rPr>
        <w:t>18</w:t>
      </w:r>
      <w:r>
        <w:rPr>
          <w:rFonts w:cs="Arial Unicode MS"/>
        </w:rPr>
        <w:t>条规定，再销售价格法是以关联方购进商品再销售给非关联方的价格减去可比非关联交易毛利后的金额作为关联方购进商品的公平成交价格。根据公平成交价格得到的公平交易毛利理论上应能够弥补被测试方的销售</w:t>
      </w:r>
      <w:r>
        <w:rPr>
          <w:rFonts w:cs="Arial Unicode MS"/>
        </w:rPr>
        <w:t>费用及其他营业费用，并根据企业执行的功能、承担的风险及所使用的资产的情况而获取合理的营业利润。</w:t>
      </w:r>
    </w:p>
    <w:p w14:paraId="572D3C8C" w14:textId="77777777" w:rsidR="006B4107" w:rsidRDefault="004E70C7">
      <w:pPr>
        <w:spacing w:beforeLines="50" w:before="156" w:afterLines="50" w:after="156" w:line="360" w:lineRule="auto"/>
        <w:ind w:firstLineChars="200" w:firstLine="440"/>
        <w:jc w:val="both"/>
        <w:rPr>
          <w:rFonts w:cs="Arial Unicode MS"/>
        </w:rPr>
      </w:pPr>
      <w:r>
        <w:rPr>
          <w:rFonts w:cs="Arial Unicode MS"/>
        </w:rPr>
        <w:t>“</w:t>
      </w:r>
      <w:r>
        <w:rPr>
          <w:rFonts w:cs="Arial Unicode MS"/>
        </w:rPr>
        <w:t>可比非关联交易毛利率</w:t>
      </w:r>
      <w:r>
        <w:rPr>
          <w:rFonts w:cs="Arial Unicode MS"/>
        </w:rPr>
        <w:t>”</w:t>
      </w:r>
      <w:r>
        <w:rPr>
          <w:rFonts w:cs="Arial Unicode MS"/>
        </w:rPr>
        <w:t>可根据内部可比交易或外部可比交易数据计算得出。内部可比交易指被测试方（在相似的条件和情况下）既从关联</w:t>
      </w:r>
      <w:proofErr w:type="gramStart"/>
      <w:r>
        <w:rPr>
          <w:rFonts w:cs="Arial Unicode MS"/>
        </w:rPr>
        <w:t>方供应</w:t>
      </w:r>
      <w:proofErr w:type="gramEnd"/>
      <w:r>
        <w:rPr>
          <w:rFonts w:cs="Arial Unicode MS"/>
        </w:rPr>
        <w:t>商也从非关联</w:t>
      </w:r>
      <w:proofErr w:type="gramStart"/>
      <w:r>
        <w:rPr>
          <w:rFonts w:cs="Arial Unicode MS"/>
        </w:rPr>
        <w:t>方供应</w:t>
      </w:r>
      <w:proofErr w:type="gramEnd"/>
      <w:r>
        <w:rPr>
          <w:rFonts w:cs="Arial Unicode MS"/>
        </w:rPr>
        <w:t>商购买相似的产品，并将产品再销售给非关联方客户的情形。运用外部可比交易则需要对与被测试方宽泛可比的独立企业的毛利率进行可比性分析。</w:t>
      </w:r>
    </w:p>
    <w:p w14:paraId="7D78AC02" w14:textId="77777777" w:rsidR="006B4107" w:rsidRDefault="004E70C7">
      <w:pPr>
        <w:spacing w:beforeLines="50" w:before="156" w:afterLines="50" w:after="156" w:line="360" w:lineRule="auto"/>
        <w:ind w:firstLineChars="200" w:firstLine="440"/>
        <w:jc w:val="both"/>
        <w:rPr>
          <w:rFonts w:cs="Arial Unicode MS"/>
        </w:rPr>
      </w:pPr>
      <w:r>
        <w:rPr>
          <w:rFonts w:cs="Arial Unicode MS"/>
        </w:rPr>
        <w:t>[2017]6</w:t>
      </w:r>
      <w:r>
        <w:rPr>
          <w:rFonts w:cs="Arial Unicode MS"/>
        </w:rPr>
        <w:t>号公告第</w:t>
      </w:r>
      <w:r>
        <w:rPr>
          <w:rFonts w:cs="Arial Unicode MS"/>
        </w:rPr>
        <w:t>18</w:t>
      </w:r>
      <w:r>
        <w:rPr>
          <w:rFonts w:cs="Arial Unicode MS"/>
        </w:rPr>
        <w:t>条规定，再销售价格法通常适用于以下交易：</w:t>
      </w:r>
    </w:p>
    <w:p w14:paraId="196BD12C" w14:textId="77777777" w:rsidR="006B4107" w:rsidRDefault="004E70C7">
      <w:pPr>
        <w:spacing w:beforeLines="50" w:before="156" w:afterLines="50" w:after="156" w:line="360" w:lineRule="auto"/>
        <w:ind w:firstLineChars="200" w:firstLine="440"/>
        <w:jc w:val="both"/>
        <w:rPr>
          <w:rFonts w:cs="Arial Unicode MS"/>
        </w:rPr>
      </w:pPr>
      <w:r>
        <w:rPr>
          <w:rFonts w:cs="Arial Unicode MS"/>
        </w:rPr>
        <w:t>“</w:t>
      </w:r>
      <w:r>
        <w:rPr>
          <w:rFonts w:cs="Arial Unicode MS"/>
        </w:rPr>
        <w:t>再销售者未对商品进行改变外型、性能、结构或更换商标等实质性增值加工的简单加工或单纯的购销业务。</w:t>
      </w:r>
      <w:r>
        <w:rPr>
          <w:rFonts w:cs="Arial Unicode MS"/>
        </w:rPr>
        <w:t>”</w:t>
      </w:r>
    </w:p>
    <w:p w14:paraId="584455FB" w14:textId="77777777" w:rsidR="006B4107" w:rsidRDefault="004E70C7">
      <w:pPr>
        <w:jc w:val="both"/>
        <w:rPr>
          <w:rFonts w:cs="楷体"/>
          <w:b/>
          <w:bCs/>
          <w:i/>
          <w:color w:val="002060"/>
        </w:rPr>
      </w:pPr>
      <w:r>
        <w:rPr>
          <w:rFonts w:cs="楷体"/>
          <w:b/>
          <w:bCs/>
          <w:i/>
          <w:color w:val="002060"/>
        </w:rPr>
        <w:lastRenderedPageBreak/>
        <w:t>成本加成法</w:t>
      </w:r>
    </w:p>
    <w:p w14:paraId="50A36595" w14:textId="77777777" w:rsidR="006B4107" w:rsidRDefault="004E70C7">
      <w:pPr>
        <w:spacing w:beforeLines="50" w:before="156" w:afterLines="50" w:after="156" w:line="360" w:lineRule="auto"/>
        <w:ind w:firstLineChars="200" w:firstLine="440"/>
        <w:jc w:val="both"/>
        <w:rPr>
          <w:rFonts w:cs="Arial Unicode MS"/>
        </w:rPr>
      </w:pPr>
      <w:r>
        <w:rPr>
          <w:rFonts w:cs="Arial Unicode MS"/>
        </w:rPr>
        <w:t>[2017]6</w:t>
      </w:r>
      <w:r>
        <w:rPr>
          <w:rFonts w:cs="Arial Unicode MS"/>
        </w:rPr>
        <w:t>号公告第</w:t>
      </w:r>
      <w:r>
        <w:rPr>
          <w:rFonts w:cs="Arial Unicode MS"/>
        </w:rPr>
        <w:t>19</w:t>
      </w:r>
      <w:r>
        <w:rPr>
          <w:rFonts w:cs="Arial Unicode MS"/>
        </w:rPr>
        <w:t>条规定，成本加成法是以关联交易发生的合理成本加上可比非关联交易的毛利作为关联交易的公平成交价格。根据公平成交价格得到的公平交易毛利理论上应能够弥补被测试方的生产或服务成本，并根据企业执行的功能、承担的风险及所使用的资产的情况而获取合理的营业利润。</w:t>
      </w:r>
    </w:p>
    <w:p w14:paraId="277CF872" w14:textId="77777777" w:rsidR="006B4107" w:rsidRDefault="004E70C7">
      <w:pPr>
        <w:spacing w:beforeLines="50" w:before="156" w:afterLines="50" w:after="156" w:line="360" w:lineRule="auto"/>
        <w:ind w:firstLineChars="200" w:firstLine="440"/>
        <w:jc w:val="both"/>
        <w:rPr>
          <w:rFonts w:cs="Arial Unicode MS"/>
        </w:rPr>
      </w:pPr>
      <w:r>
        <w:rPr>
          <w:rFonts w:cs="Arial Unicode MS"/>
        </w:rPr>
        <w:t>“</w:t>
      </w:r>
      <w:r>
        <w:rPr>
          <w:rFonts w:cs="Arial Unicode MS"/>
        </w:rPr>
        <w:t>可比非关联交易成本加成率</w:t>
      </w:r>
      <w:r>
        <w:rPr>
          <w:rFonts w:cs="Arial Unicode MS"/>
        </w:rPr>
        <w:t>”</w:t>
      </w:r>
      <w:r>
        <w:rPr>
          <w:rFonts w:cs="Arial Unicode MS"/>
        </w:rPr>
        <w:t>可根据内部可比交易或外部可比交易数据计算得出。内部可比交易指的是在类似的交易条款和条件下，被测试方</w:t>
      </w:r>
      <w:r>
        <w:rPr>
          <w:rFonts w:cs="Arial Unicode MS"/>
        </w:rPr>
        <w:t>同时向关联方和非关联方客户销售类似产品的情形。运用外部可比交易则需要对与被测试方宽泛可比的独立企业的成本加成率进行可比性分析。</w:t>
      </w:r>
    </w:p>
    <w:p w14:paraId="0053F5CD" w14:textId="77777777" w:rsidR="006B4107" w:rsidRDefault="004E70C7">
      <w:pPr>
        <w:jc w:val="both"/>
        <w:rPr>
          <w:rFonts w:cs="楷体"/>
          <w:b/>
          <w:bCs/>
          <w:i/>
          <w:color w:val="002060"/>
        </w:rPr>
      </w:pPr>
      <w:r>
        <w:rPr>
          <w:rFonts w:cs="楷体"/>
          <w:b/>
          <w:bCs/>
          <w:i/>
          <w:color w:val="002060"/>
        </w:rPr>
        <w:t>交易净利润法</w:t>
      </w:r>
    </w:p>
    <w:p w14:paraId="3009586B" w14:textId="77777777" w:rsidR="006B4107" w:rsidRDefault="004E70C7">
      <w:pPr>
        <w:spacing w:beforeLines="50" w:before="156" w:afterLines="50" w:after="156" w:line="360" w:lineRule="auto"/>
        <w:ind w:firstLineChars="200" w:firstLine="440"/>
        <w:jc w:val="both"/>
        <w:rPr>
          <w:rFonts w:cs="Arial Unicode MS"/>
        </w:rPr>
      </w:pPr>
      <w:r>
        <w:rPr>
          <w:rFonts w:cs="Arial Unicode MS"/>
        </w:rPr>
        <w:t>[2017]6</w:t>
      </w:r>
      <w:r>
        <w:rPr>
          <w:rFonts w:cs="Arial Unicode MS"/>
        </w:rPr>
        <w:t>号公告第</w:t>
      </w:r>
      <w:r>
        <w:rPr>
          <w:rFonts w:cs="Arial Unicode MS"/>
        </w:rPr>
        <w:t>20</w:t>
      </w:r>
      <w:r>
        <w:rPr>
          <w:rFonts w:cs="Arial Unicode MS"/>
        </w:rPr>
        <w:t>条规定，交易净利润法是以可比非关联交易的利润水平指标确定关联交易的净利润。</w:t>
      </w:r>
    </w:p>
    <w:p w14:paraId="7191DB62" w14:textId="77777777" w:rsidR="006B4107" w:rsidRDefault="004E70C7">
      <w:pPr>
        <w:spacing w:beforeLines="50" w:before="156" w:afterLines="50" w:after="156" w:line="360" w:lineRule="auto"/>
        <w:ind w:firstLineChars="200" w:firstLine="440"/>
        <w:jc w:val="both"/>
        <w:rPr>
          <w:rFonts w:cs="Arial Unicode MS"/>
        </w:rPr>
      </w:pPr>
      <w:r>
        <w:rPr>
          <w:rFonts w:cs="Arial Unicode MS"/>
        </w:rPr>
        <w:t>交易净利润法评估受控纳税人在受控交易下的最狭义的商业活动中产生的利润水平。因此，交易净利润法的可比性主要取决于受控和非受控方在相关活动中使用的资金和承担的风险的相似性。根据交易净利润法，可比公司只需大致相似，受控和非受控方之间产品和功能的差异是可以接受的。</w:t>
      </w:r>
    </w:p>
    <w:p w14:paraId="039A3704" w14:textId="77777777" w:rsidR="006B4107" w:rsidRDefault="004E70C7">
      <w:pPr>
        <w:spacing w:beforeLines="50" w:before="156" w:afterLines="50" w:after="156" w:line="360" w:lineRule="auto"/>
        <w:ind w:firstLineChars="200" w:firstLine="440"/>
        <w:jc w:val="both"/>
        <w:rPr>
          <w:rFonts w:cs="Arial Unicode MS"/>
        </w:rPr>
      </w:pPr>
      <w:r>
        <w:rPr>
          <w:rFonts w:cs="Arial Unicode MS"/>
        </w:rPr>
        <w:t>交易净利润法较其它传统转让定价方法有其明显的优势，《</w:t>
      </w:r>
      <w:r>
        <w:rPr>
          <w:rFonts w:cs="Arial Unicode MS"/>
        </w:rPr>
        <w:t>OECD</w:t>
      </w:r>
      <w:r>
        <w:rPr>
          <w:rFonts w:cs="Arial Unicode MS"/>
        </w:rPr>
        <w:t>转让定价指南》</w:t>
      </w:r>
      <w:r>
        <w:rPr>
          <w:rFonts w:cs="Arial Unicode MS"/>
        </w:rPr>
        <w:t>2.62</w:t>
      </w:r>
      <w:r>
        <w:rPr>
          <w:rFonts w:cs="Arial Unicode MS"/>
        </w:rPr>
        <w:t>章节指出</w:t>
      </w:r>
      <w:r>
        <w:rPr>
          <w:rFonts w:cs="Arial Unicode MS"/>
        </w:rPr>
        <w:t>:</w:t>
      </w:r>
    </w:p>
    <w:p w14:paraId="4E3D4408" w14:textId="77777777" w:rsidR="006B4107" w:rsidRDefault="004E70C7">
      <w:pPr>
        <w:spacing w:beforeLines="50" w:before="156" w:afterLines="50" w:after="156" w:line="360" w:lineRule="auto"/>
        <w:ind w:firstLineChars="200" w:firstLine="440"/>
        <w:jc w:val="both"/>
        <w:rPr>
          <w:rFonts w:cs="Arial Unicode MS"/>
        </w:rPr>
      </w:pPr>
      <w:r>
        <w:rPr>
          <w:rFonts w:cs="Arial Unicode MS"/>
        </w:rPr>
        <w:t>“…</w:t>
      </w:r>
      <w:r>
        <w:rPr>
          <w:rFonts w:cs="Arial Unicode MS"/>
        </w:rPr>
        <w:t>净利润指标</w:t>
      </w:r>
      <w:r>
        <w:rPr>
          <w:rFonts w:cs="Arial Unicode MS"/>
        </w:rPr>
        <w:t>2</w:t>
      </w:r>
      <w:r>
        <w:rPr>
          <w:rFonts w:cs="Arial Unicode MS"/>
        </w:rPr>
        <w:t>承受受控和非受控交易之间的某些功能差别。企业所发挥功能方面的差异，通常反映在营业费用的不同上。</w:t>
      </w:r>
      <w:r>
        <w:rPr>
          <w:rFonts w:cs="Arial Unicode MS"/>
        </w:rPr>
        <w:t>”</w:t>
      </w:r>
    </w:p>
    <w:p w14:paraId="1F67CDDC" w14:textId="77777777" w:rsidR="006B4107" w:rsidRDefault="004E70C7">
      <w:pPr>
        <w:spacing w:beforeLines="50" w:before="156" w:afterLines="50" w:after="156" w:line="360" w:lineRule="auto"/>
        <w:ind w:firstLineChars="200" w:firstLine="440"/>
        <w:jc w:val="both"/>
        <w:rPr>
          <w:rFonts w:cs="Arial Unicode MS"/>
        </w:rPr>
      </w:pPr>
      <w:r>
        <w:rPr>
          <w:rFonts w:cs="Arial Unicode MS"/>
        </w:rPr>
        <w:t>利润水平指标可根据内部可比交易或外部可比交易数</w:t>
      </w:r>
      <w:r>
        <w:rPr>
          <w:rFonts w:cs="Arial Unicode MS"/>
        </w:rPr>
        <w:t>据计算得出。内部可比交易是指在类似的交易条款下，被测试方既向关联方又向非关联方客户销售相似的产品或提供类似服务的情形。运用外部可比交易则需要对与被测试方宽泛可比的独立企业的利润水平指标进行可比性分析。</w:t>
      </w:r>
    </w:p>
    <w:p w14:paraId="6C513A6D" w14:textId="77777777" w:rsidR="006B4107" w:rsidRDefault="004E70C7">
      <w:pPr>
        <w:jc w:val="both"/>
        <w:rPr>
          <w:rFonts w:cs="楷体"/>
          <w:b/>
          <w:bCs/>
          <w:i/>
          <w:color w:val="002060"/>
        </w:rPr>
      </w:pPr>
      <w:r>
        <w:rPr>
          <w:rFonts w:cs="楷体"/>
          <w:b/>
          <w:bCs/>
          <w:i/>
          <w:color w:val="002060"/>
        </w:rPr>
        <w:t>利润分割法</w:t>
      </w:r>
    </w:p>
    <w:p w14:paraId="033B48B5" w14:textId="77777777" w:rsidR="006B4107" w:rsidRDefault="004E70C7">
      <w:pPr>
        <w:spacing w:beforeLines="50" w:before="156" w:afterLines="50" w:after="156" w:line="360" w:lineRule="auto"/>
        <w:ind w:firstLineChars="200" w:firstLine="440"/>
        <w:jc w:val="both"/>
        <w:rPr>
          <w:rFonts w:cs="Arial Unicode MS"/>
        </w:rPr>
      </w:pPr>
      <w:r>
        <w:rPr>
          <w:rFonts w:cs="Arial Unicode MS"/>
        </w:rPr>
        <w:lastRenderedPageBreak/>
        <w:t>[2017]6</w:t>
      </w:r>
      <w:r>
        <w:rPr>
          <w:rFonts w:cs="Arial Unicode MS"/>
        </w:rPr>
        <w:t>号公告第</w:t>
      </w:r>
      <w:r>
        <w:rPr>
          <w:rFonts w:cs="Arial Unicode MS"/>
        </w:rPr>
        <w:t>21</w:t>
      </w:r>
      <w:r>
        <w:rPr>
          <w:rFonts w:cs="Arial Unicode MS"/>
        </w:rPr>
        <w:t>条规定，利润分割法为根据企业与其关联方对关联交易合并利润的贡献计算各自应该分配的利润额。利润分割法适用于各参与方关联交易高度</w:t>
      </w:r>
      <w:proofErr w:type="gramStart"/>
      <w:r>
        <w:rPr>
          <w:rFonts w:cs="Arial Unicode MS"/>
        </w:rPr>
        <w:t>整合且</w:t>
      </w:r>
      <w:proofErr w:type="gramEnd"/>
      <w:r>
        <w:rPr>
          <w:rFonts w:cs="Arial Unicode MS"/>
        </w:rPr>
        <w:t>难以单独评估各方交易结果的情况。</w:t>
      </w:r>
    </w:p>
    <w:p w14:paraId="14610AD1" w14:textId="77777777" w:rsidR="006B4107" w:rsidRDefault="004E70C7">
      <w:pPr>
        <w:spacing w:beforeLines="50" w:before="156" w:afterLines="50" w:after="156" w:line="360" w:lineRule="auto"/>
        <w:ind w:firstLineChars="200" w:firstLine="440"/>
        <w:jc w:val="both"/>
        <w:rPr>
          <w:rFonts w:cs="Arial Unicode MS"/>
        </w:rPr>
      </w:pPr>
      <w:r>
        <w:rPr>
          <w:rFonts w:cs="Arial Unicode MS"/>
        </w:rPr>
        <w:t>[2017]6</w:t>
      </w:r>
      <w:r>
        <w:rPr>
          <w:rFonts w:cs="Arial Unicode MS"/>
        </w:rPr>
        <w:t>号公告第</w:t>
      </w:r>
      <w:r>
        <w:rPr>
          <w:rFonts w:cs="Arial Unicode MS"/>
        </w:rPr>
        <w:t>21</w:t>
      </w:r>
      <w:r>
        <w:rPr>
          <w:rFonts w:cs="Arial Unicode MS"/>
        </w:rPr>
        <w:t>条的规定，利润分割法一般分为以下</w:t>
      </w:r>
      <w:r>
        <w:rPr>
          <w:rFonts w:cs="Arial Unicode MS"/>
        </w:rPr>
        <w:t>2</w:t>
      </w:r>
      <w:r>
        <w:rPr>
          <w:rFonts w:cs="Arial Unicode MS"/>
        </w:rPr>
        <w:t>种：</w:t>
      </w:r>
    </w:p>
    <w:p w14:paraId="69E8BD35" w14:textId="77777777" w:rsidR="006B4107" w:rsidRDefault="004E70C7">
      <w:pPr>
        <w:spacing w:beforeLines="50" w:before="156" w:afterLines="50" w:after="156" w:line="360" w:lineRule="auto"/>
        <w:ind w:firstLineChars="200" w:firstLine="440"/>
        <w:jc w:val="both"/>
        <w:rPr>
          <w:rFonts w:cs="Arial Unicode MS"/>
        </w:rPr>
      </w:pPr>
      <w:r>
        <w:rPr>
          <w:rFonts w:cs="Arial Unicode MS"/>
        </w:rPr>
        <w:t>一般利润分割法：一般利润分割法通常根据关联</w:t>
      </w:r>
      <w:r>
        <w:rPr>
          <w:rFonts w:cs="Arial Unicode MS"/>
        </w:rPr>
        <w:t>交易各方所执行的功能、承担的风险和使用的资产，采用符合独立交易原则的利润分割方式，确定各方应当取得的合理利润；当难以获取可比交易信息但能合理确定合并利润时，可以结合实际情况考虑与价值贡献相关的收入、成本、费用、资产、雇员人数等因素，分析关联交易各方对价值做出的贡献，将利润在各方之间进行分配。</w:t>
      </w:r>
    </w:p>
    <w:p w14:paraId="20AF7D76" w14:textId="77777777" w:rsidR="006B4107" w:rsidRDefault="004E70C7">
      <w:pPr>
        <w:spacing w:beforeLines="50" w:before="156" w:afterLines="50" w:after="156" w:line="360" w:lineRule="auto"/>
        <w:ind w:firstLineChars="200" w:firstLine="440"/>
        <w:jc w:val="both"/>
        <w:rPr>
          <w:rFonts w:cs="Arial Unicode MS"/>
        </w:rPr>
      </w:pPr>
      <w:r>
        <w:rPr>
          <w:rFonts w:cs="Arial Unicode MS"/>
        </w:rPr>
        <w:t>剩余利润分割法：剩余利润分割法将关联交易各参与方的合并利润减去分配给各方的常规利润的余额作为剩余利润，再根据各方对剩余利润的贡献程度进行分配。</w:t>
      </w:r>
    </w:p>
    <w:p w14:paraId="076CDE3B" w14:textId="77777777" w:rsidR="006B4107" w:rsidRDefault="004E70C7">
      <w:pPr>
        <w:jc w:val="both"/>
        <w:rPr>
          <w:rFonts w:cs="楷体"/>
          <w:b/>
          <w:bCs/>
          <w:i/>
          <w:color w:val="009CDE"/>
        </w:rPr>
      </w:pPr>
      <w:bookmarkStart w:id="817" w:name="OLE_LINK4"/>
      <w:r>
        <w:rPr>
          <w:rFonts w:cs="楷体"/>
          <w:b/>
          <w:bCs/>
          <w:i/>
          <w:color w:val="002060"/>
        </w:rPr>
        <w:t>其他符合独立交易原则的方法</w:t>
      </w:r>
    </w:p>
    <w:p w14:paraId="7696200C" w14:textId="77777777" w:rsidR="006B4107" w:rsidRDefault="004E70C7">
      <w:pPr>
        <w:spacing w:beforeLines="50" w:before="156" w:afterLines="50" w:after="156" w:line="360" w:lineRule="auto"/>
        <w:ind w:firstLineChars="200" w:firstLine="440"/>
        <w:jc w:val="both"/>
        <w:rPr>
          <w:rFonts w:cs="Arial Unicode MS"/>
        </w:rPr>
      </w:pPr>
      <w:r>
        <w:rPr>
          <w:rFonts w:cs="Arial Unicode MS"/>
        </w:rPr>
        <w:t>其他符合独立交易原则的方法包括成本法、市场法和</w:t>
      </w:r>
      <w:r>
        <w:rPr>
          <w:rFonts w:cs="Arial Unicode MS"/>
        </w:rPr>
        <w:t>收益法等资产评估方法，以及其他能够反映利润与经济活动发生地和价值创造地相匹配原则的方法。</w:t>
      </w:r>
    </w:p>
    <w:p w14:paraId="78586969" w14:textId="77777777" w:rsidR="006B4107" w:rsidRDefault="004E70C7">
      <w:pPr>
        <w:numPr>
          <w:ilvl w:val="0"/>
          <w:numId w:val="27"/>
        </w:numPr>
        <w:jc w:val="both"/>
        <w:rPr>
          <w:rFonts w:cs="楷体"/>
          <w:b/>
          <w:bCs/>
          <w:i/>
          <w:color w:val="002060"/>
        </w:rPr>
      </w:pPr>
      <w:r>
        <w:rPr>
          <w:rFonts w:cs="楷体"/>
          <w:b/>
          <w:bCs/>
          <w:i/>
          <w:color w:val="002060"/>
        </w:rPr>
        <w:t>成本法</w:t>
      </w:r>
    </w:p>
    <w:p w14:paraId="72D0E77D" w14:textId="77777777" w:rsidR="006B4107" w:rsidRDefault="004E70C7">
      <w:pPr>
        <w:spacing w:beforeLines="50" w:before="156" w:afterLines="50" w:after="156" w:line="360" w:lineRule="auto"/>
        <w:ind w:firstLineChars="200" w:firstLine="440"/>
        <w:jc w:val="both"/>
        <w:rPr>
          <w:rFonts w:cs="Arial Unicode MS"/>
        </w:rPr>
      </w:pPr>
      <w:r>
        <w:rPr>
          <w:rFonts w:cs="Arial Unicode MS"/>
        </w:rPr>
        <w:t>成本法是以替代或者重置原则为基础，通过在当前市场价格下创造一项相似资产所发生的支出确定评估标的价值的评估方法。成本法适用于能够被替代的资产价值评估。</w:t>
      </w:r>
    </w:p>
    <w:p w14:paraId="534D9A79" w14:textId="77777777" w:rsidR="006B4107" w:rsidRDefault="004E70C7">
      <w:pPr>
        <w:numPr>
          <w:ilvl w:val="0"/>
          <w:numId w:val="27"/>
        </w:numPr>
        <w:jc w:val="both"/>
        <w:rPr>
          <w:rFonts w:cs="楷体"/>
          <w:b/>
          <w:bCs/>
          <w:i/>
          <w:color w:val="002060"/>
        </w:rPr>
      </w:pPr>
      <w:r>
        <w:rPr>
          <w:rFonts w:cs="楷体"/>
          <w:b/>
          <w:bCs/>
          <w:i/>
          <w:color w:val="002060"/>
        </w:rPr>
        <w:t>市场法</w:t>
      </w:r>
    </w:p>
    <w:p w14:paraId="632BFBBB" w14:textId="77777777" w:rsidR="006B4107" w:rsidRDefault="004E70C7">
      <w:pPr>
        <w:spacing w:beforeLines="50" w:before="156" w:afterLines="50" w:after="156" w:line="360" w:lineRule="auto"/>
        <w:ind w:firstLineChars="200" w:firstLine="440"/>
        <w:jc w:val="both"/>
        <w:rPr>
          <w:rFonts w:cs="Arial Unicode MS"/>
        </w:rPr>
      </w:pPr>
      <w:r>
        <w:rPr>
          <w:rFonts w:cs="Arial Unicode MS"/>
        </w:rPr>
        <w:t>市场法是利用市场上相同或者相似资产的近期交易价格，经过直接比较或者类比分析以确定评估标的价值的评估方法。市场法适用于在市场上能找到与评估标的相同或者相似的非关联可比交易信息时的资产价值评估。</w:t>
      </w:r>
    </w:p>
    <w:p w14:paraId="296524BA" w14:textId="77777777" w:rsidR="006B4107" w:rsidRDefault="004E70C7">
      <w:pPr>
        <w:numPr>
          <w:ilvl w:val="0"/>
          <w:numId w:val="27"/>
        </w:numPr>
        <w:jc w:val="both"/>
        <w:rPr>
          <w:rFonts w:cs="楷体"/>
          <w:b/>
          <w:bCs/>
          <w:i/>
          <w:color w:val="002060"/>
        </w:rPr>
      </w:pPr>
      <w:r>
        <w:rPr>
          <w:rFonts w:cs="楷体"/>
          <w:b/>
          <w:bCs/>
          <w:i/>
          <w:color w:val="002060"/>
        </w:rPr>
        <w:t>收益法</w:t>
      </w:r>
    </w:p>
    <w:p w14:paraId="283ECDB6" w14:textId="77777777" w:rsidR="006B4107" w:rsidRDefault="004E70C7">
      <w:pPr>
        <w:spacing w:beforeLines="50" w:before="156" w:afterLines="50" w:after="156" w:line="360" w:lineRule="auto"/>
        <w:ind w:firstLineChars="200" w:firstLine="440"/>
        <w:jc w:val="both"/>
        <w:rPr>
          <w:rFonts w:cs="Arial Unicode MS"/>
        </w:rPr>
        <w:sectPr w:rsidR="006B4107">
          <w:pgSz w:w="11906" w:h="16838"/>
          <w:pgMar w:top="1440" w:right="1800" w:bottom="1440" w:left="1800" w:header="720" w:footer="720" w:gutter="0"/>
          <w:cols w:space="720"/>
          <w:docGrid w:type="lines" w:linePitch="312"/>
        </w:sectPr>
      </w:pPr>
      <w:r>
        <w:rPr>
          <w:rFonts w:cs="Arial Unicode MS"/>
        </w:rPr>
        <w:t>收益法是通过评估标的未来预期收益现值来</w:t>
      </w:r>
      <w:r>
        <w:rPr>
          <w:rFonts w:cs="Arial Unicode MS"/>
        </w:rPr>
        <w:t>确定其价值的评估方法。收益法适用于企业整体资产和</w:t>
      </w:r>
      <w:proofErr w:type="gramStart"/>
      <w:r>
        <w:rPr>
          <w:rFonts w:cs="Arial Unicode MS"/>
        </w:rPr>
        <w:t>可</w:t>
      </w:r>
      <w:proofErr w:type="gramEnd"/>
      <w:r>
        <w:rPr>
          <w:rFonts w:cs="Arial Unicode MS"/>
        </w:rPr>
        <w:t>预期未来收益的单项资产评估。</w:t>
      </w:r>
      <w:bookmarkEnd w:id="817"/>
    </w:p>
    <w:p w14:paraId="0C66864D" w14:textId="77777777" w:rsidR="006B4107" w:rsidRDefault="004E70C7">
      <w:pPr>
        <w:pStyle w:val="ListParagraph1"/>
        <w:snapToGrid w:val="0"/>
        <w:spacing w:before="100" w:beforeAutospacing="1" w:after="100" w:afterAutospacing="1"/>
        <w:ind w:left="0" w:right="0" w:firstLineChars="0" w:firstLine="0"/>
        <w:outlineLvl w:val="0"/>
        <w:rPr>
          <w:rFonts w:eastAsia="仿宋_GB2312" w:cs="Arial Unicode MS"/>
          <w:color w:val="486A00" w:themeColor="accent2" w:themeShade="80"/>
          <w:sz w:val="28"/>
          <w:szCs w:val="22"/>
        </w:rPr>
      </w:pPr>
      <w:bookmarkStart w:id="818" w:name="_Toc185598963"/>
      <w:bookmarkStart w:id="819" w:name="_Toc140761349"/>
      <w:bookmarkStart w:id="820" w:name="_Toc50477150"/>
      <w:r>
        <w:rPr>
          <w:rFonts w:eastAsia="仿宋_GB2312" w:cs="Arial Unicode MS" w:hint="cs"/>
          <w:color w:val="486A00" w:themeColor="accent2" w:themeShade="80"/>
          <w:sz w:val="28"/>
          <w:szCs w:val="22"/>
        </w:rPr>
        <w:lastRenderedPageBreak/>
        <w:t>附件</w:t>
      </w:r>
      <w:r>
        <w:rPr>
          <w:rFonts w:eastAsia="仿宋_GB2312" w:cs="Arial Unicode MS"/>
          <w:color w:val="486A00" w:themeColor="accent2" w:themeShade="80"/>
          <w:sz w:val="28"/>
          <w:szCs w:val="22"/>
        </w:rPr>
        <w:t xml:space="preserve">2 </w:t>
      </w:r>
      <w:r>
        <w:rPr>
          <w:rFonts w:eastAsia="仿宋_GB2312" w:cs="Arial Unicode MS" w:hint="cs"/>
          <w:color w:val="486A00" w:themeColor="accent2" w:themeShade="80"/>
          <w:sz w:val="28"/>
          <w:szCs w:val="22"/>
        </w:rPr>
        <w:t>企业年度关联交易财务状况分析表</w:t>
      </w:r>
      <w:bookmarkEnd w:id="818"/>
      <w:bookmarkEnd w:id="819"/>
      <w:bookmarkEnd w:id="820"/>
    </w:p>
    <w:p w14:paraId="543B00E1" w14:textId="77777777" w:rsidR="006B4107" w:rsidRDefault="004E70C7">
      <w:pPr>
        <w:spacing w:beforeLines="50" w:before="163" w:afterLines="50" w:after="163" w:line="360" w:lineRule="auto"/>
        <w:ind w:firstLineChars="200" w:firstLine="440"/>
        <w:jc w:val="both"/>
        <w:rPr>
          <w:rFonts w:cs="Arial Unicode MS"/>
        </w:rPr>
      </w:pPr>
      <w:r>
        <w:rPr>
          <w:rFonts w:cs="Arial Unicode MS"/>
        </w:rPr>
        <w:t>下表中的财务数据均</w:t>
      </w:r>
      <w:proofErr w:type="gramStart"/>
      <w:r>
        <w:rPr>
          <w:rFonts w:cs="Arial Unicode MS"/>
        </w:rPr>
        <w:t>由</w:t>
      </w:r>
      <w:r>
        <w:rPr>
          <w:rFonts w:cs="Arial Unicode MS" w:hint="eastAsia"/>
        </w:rPr>
        <w:t>远化物流</w:t>
      </w:r>
      <w:proofErr w:type="gramEnd"/>
      <w:r>
        <w:rPr>
          <w:rFonts w:cs="Arial Unicode MS"/>
        </w:rPr>
        <w:t>提供，所有金额均以人民币元为单位。</w:t>
      </w:r>
    </w:p>
    <w:p w14:paraId="769D8775" w14:textId="77777777" w:rsidR="006B4107" w:rsidRDefault="004E70C7">
      <w:pPr>
        <w:spacing w:beforeLines="50" w:before="163" w:afterLines="50" w:after="163" w:line="360" w:lineRule="auto"/>
        <w:ind w:firstLineChars="200" w:firstLine="440"/>
        <w:jc w:val="both"/>
        <w:rPr>
          <w:rFonts w:cs="Arial Unicode MS"/>
        </w:rPr>
      </w:pPr>
      <w:r>
        <w:rPr>
          <w:rFonts w:cs="Arial Unicode MS"/>
        </w:rPr>
        <w:t>立信未对提供的财务数据进行核实，也未进行任何的财务分析以</w:t>
      </w:r>
      <w:proofErr w:type="gramStart"/>
      <w:r>
        <w:rPr>
          <w:rFonts w:cs="Arial Unicode MS"/>
        </w:rPr>
        <w:t>验证</w:t>
      </w:r>
      <w:r>
        <w:rPr>
          <w:rFonts w:cs="Arial Unicode MS" w:hint="eastAsia"/>
        </w:rPr>
        <w:t>远化物流</w:t>
      </w:r>
      <w:proofErr w:type="gramEnd"/>
      <w:r>
        <w:rPr>
          <w:rFonts w:cs="Arial Unicode MS"/>
        </w:rPr>
        <w:t>在下述财务数据中所选用分摊标准的合理性。</w:t>
      </w:r>
    </w:p>
    <w:p w14:paraId="14629DE6" w14:textId="77777777" w:rsidR="006B4107" w:rsidRDefault="004E70C7">
      <w:pPr>
        <w:adjustRightInd w:val="0"/>
        <w:jc w:val="right"/>
        <w:rPr>
          <w:rFonts w:ascii="仿宋_GB2312" w:cs="Arial Unicode MS"/>
          <w:sz w:val="24"/>
          <w:szCs w:val="24"/>
        </w:rPr>
      </w:pPr>
      <w:r>
        <w:rPr>
          <w:rFonts w:ascii="仿宋_GB2312" w:cs="楷体" w:hint="eastAsia"/>
          <w:iCs/>
          <w:sz w:val="21"/>
          <w:szCs w:val="21"/>
        </w:rPr>
        <w:t>货币单位：人民币</w:t>
      </w:r>
      <w:r>
        <w:rPr>
          <w:rFonts w:ascii="微软雅黑" w:eastAsia="微软雅黑" w:hAnsi="微软雅黑" w:cs="微软雅黑" w:hint="eastAsia"/>
          <w:iCs/>
          <w:sz w:val="21"/>
          <w:szCs w:val="21"/>
        </w:rPr>
        <w:t>˙</w:t>
      </w:r>
      <w:r>
        <w:rPr>
          <w:rFonts w:ascii="仿宋_GB2312" w:hAnsi="仿宋_GB2312" w:cs="仿宋_GB2312" w:hint="eastAsia"/>
          <w:iCs/>
          <w:sz w:val="21"/>
          <w:szCs w:val="21"/>
        </w:rPr>
        <w:t>元</w:t>
      </w:r>
    </w:p>
    <w:tbl>
      <w:tblPr>
        <w:tblW w:w="92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17"/>
        <w:gridCol w:w="1417"/>
        <w:gridCol w:w="1418"/>
        <w:gridCol w:w="1275"/>
        <w:gridCol w:w="1418"/>
        <w:gridCol w:w="1559"/>
      </w:tblGrid>
      <w:tr w:rsidR="006B4107" w14:paraId="27D0143B" w14:textId="77777777">
        <w:trPr>
          <w:trHeight w:hRule="exact" w:val="454"/>
          <w:jc w:val="center"/>
        </w:trPr>
        <w:tc>
          <w:tcPr>
            <w:tcW w:w="2117" w:type="dxa"/>
            <w:shd w:val="clear" w:color="auto" w:fill="002060"/>
            <w:vAlign w:val="center"/>
          </w:tcPr>
          <w:p w14:paraId="265046EA" w14:textId="77777777" w:rsidR="006B4107" w:rsidRDefault="004E70C7">
            <w:pPr>
              <w:jc w:val="center"/>
              <w:rPr>
                <w:color w:val="000000"/>
                <w:sz w:val="16"/>
                <w:szCs w:val="16"/>
              </w:rPr>
            </w:pPr>
            <w:r>
              <w:rPr>
                <w:b/>
                <w:color w:val="FFFFFF" w:themeColor="background1"/>
                <w:sz w:val="16"/>
                <w:szCs w:val="16"/>
              </w:rPr>
              <w:t>项目</w:t>
            </w:r>
          </w:p>
        </w:tc>
        <w:tc>
          <w:tcPr>
            <w:tcW w:w="1417" w:type="dxa"/>
            <w:shd w:val="clear" w:color="auto" w:fill="002060"/>
            <w:vAlign w:val="center"/>
          </w:tcPr>
          <w:p w14:paraId="70BD47FC" w14:textId="77777777" w:rsidR="006B4107" w:rsidRDefault="004E70C7">
            <w:pPr>
              <w:jc w:val="center"/>
              <w:rPr>
                <w:b/>
                <w:color w:val="FFFFFF" w:themeColor="background1"/>
                <w:sz w:val="16"/>
                <w:szCs w:val="16"/>
              </w:rPr>
            </w:pPr>
            <w:r>
              <w:rPr>
                <w:b/>
                <w:color w:val="FFFFFF" w:themeColor="background1"/>
                <w:sz w:val="16"/>
                <w:szCs w:val="16"/>
              </w:rPr>
              <w:t>境外关联交易</w:t>
            </w:r>
          </w:p>
        </w:tc>
        <w:tc>
          <w:tcPr>
            <w:tcW w:w="1418" w:type="dxa"/>
            <w:shd w:val="clear" w:color="auto" w:fill="002060"/>
            <w:vAlign w:val="center"/>
          </w:tcPr>
          <w:p w14:paraId="287F8B9B" w14:textId="77777777" w:rsidR="006B4107" w:rsidRDefault="004E70C7">
            <w:pPr>
              <w:jc w:val="center"/>
              <w:rPr>
                <w:b/>
                <w:color w:val="FFFFFF" w:themeColor="background1"/>
                <w:sz w:val="16"/>
                <w:szCs w:val="16"/>
              </w:rPr>
            </w:pPr>
            <w:r>
              <w:rPr>
                <w:b/>
                <w:color w:val="FFFFFF" w:themeColor="background1"/>
                <w:sz w:val="16"/>
                <w:szCs w:val="16"/>
              </w:rPr>
              <w:t>境外非关联交易</w:t>
            </w:r>
          </w:p>
        </w:tc>
        <w:tc>
          <w:tcPr>
            <w:tcW w:w="1275" w:type="dxa"/>
            <w:shd w:val="clear" w:color="auto" w:fill="002060"/>
            <w:vAlign w:val="center"/>
          </w:tcPr>
          <w:p w14:paraId="401B72EE" w14:textId="77777777" w:rsidR="006B4107" w:rsidRDefault="004E70C7">
            <w:pPr>
              <w:jc w:val="center"/>
              <w:rPr>
                <w:b/>
                <w:color w:val="FFFFFF" w:themeColor="background1"/>
                <w:sz w:val="16"/>
                <w:szCs w:val="16"/>
              </w:rPr>
            </w:pPr>
            <w:r>
              <w:rPr>
                <w:b/>
                <w:color w:val="FFFFFF" w:themeColor="background1"/>
                <w:sz w:val="16"/>
                <w:szCs w:val="16"/>
              </w:rPr>
              <w:t>境内关联交易</w:t>
            </w:r>
          </w:p>
        </w:tc>
        <w:tc>
          <w:tcPr>
            <w:tcW w:w="1418" w:type="dxa"/>
            <w:shd w:val="clear" w:color="auto" w:fill="002060"/>
            <w:vAlign w:val="center"/>
          </w:tcPr>
          <w:p w14:paraId="7814E215" w14:textId="77777777" w:rsidR="006B4107" w:rsidRDefault="004E70C7">
            <w:pPr>
              <w:jc w:val="center"/>
              <w:rPr>
                <w:b/>
                <w:color w:val="FFFFFF" w:themeColor="background1"/>
                <w:sz w:val="16"/>
                <w:szCs w:val="16"/>
              </w:rPr>
            </w:pPr>
            <w:r>
              <w:rPr>
                <w:b/>
                <w:color w:val="FFFFFF" w:themeColor="background1"/>
                <w:sz w:val="16"/>
                <w:szCs w:val="16"/>
              </w:rPr>
              <w:t>境内非关联交易</w:t>
            </w:r>
          </w:p>
        </w:tc>
        <w:tc>
          <w:tcPr>
            <w:tcW w:w="1559" w:type="dxa"/>
            <w:shd w:val="clear" w:color="auto" w:fill="002060"/>
            <w:vAlign w:val="center"/>
          </w:tcPr>
          <w:p w14:paraId="543246B9" w14:textId="77777777" w:rsidR="006B4107" w:rsidRDefault="004E70C7">
            <w:pPr>
              <w:jc w:val="center"/>
              <w:rPr>
                <w:b/>
                <w:color w:val="FFFFFF" w:themeColor="background1"/>
                <w:sz w:val="16"/>
                <w:szCs w:val="16"/>
              </w:rPr>
            </w:pPr>
            <w:r>
              <w:rPr>
                <w:b/>
                <w:color w:val="FFFFFF" w:themeColor="background1"/>
                <w:sz w:val="16"/>
                <w:szCs w:val="16"/>
              </w:rPr>
              <w:t>总计</w:t>
            </w:r>
          </w:p>
        </w:tc>
      </w:tr>
      <w:tr w:rsidR="006B4107" w14:paraId="59ED0B46" w14:textId="77777777">
        <w:trPr>
          <w:trHeight w:hRule="exact" w:val="454"/>
          <w:jc w:val="center"/>
        </w:trPr>
        <w:tc>
          <w:tcPr>
            <w:tcW w:w="2117" w:type="dxa"/>
            <w:shd w:val="clear" w:color="auto" w:fill="auto"/>
            <w:vAlign w:val="center"/>
          </w:tcPr>
          <w:p w14:paraId="74A4D9EC" w14:textId="77777777" w:rsidR="006B4107" w:rsidRDefault="004E70C7">
            <w:pPr>
              <w:jc w:val="both"/>
              <w:rPr>
                <w:color w:val="000000"/>
                <w:sz w:val="16"/>
                <w:szCs w:val="16"/>
              </w:rPr>
            </w:pPr>
            <w:r>
              <w:rPr>
                <w:color w:val="000000"/>
                <w:sz w:val="16"/>
                <w:szCs w:val="16"/>
              </w:rPr>
              <w:t>一、营业收入</w:t>
            </w:r>
          </w:p>
        </w:tc>
        <w:tc>
          <w:tcPr>
            <w:tcW w:w="1417" w:type="dxa"/>
            <w:shd w:val="clear" w:color="auto" w:fill="auto"/>
            <w:vAlign w:val="center"/>
          </w:tcPr>
          <w:p w14:paraId="73491F4D" w14:textId="77777777" w:rsidR="006B4107" w:rsidRDefault="004E70C7">
            <w:pPr>
              <w:jc w:val="right"/>
              <w:rPr>
                <w:color w:val="000000"/>
                <w:sz w:val="16"/>
                <w:szCs w:val="16"/>
                <w:lang w:bidi="ar"/>
              </w:rPr>
            </w:pPr>
            <w:r>
              <w:rPr>
                <w:color w:val="000000"/>
                <w:sz w:val="16"/>
                <w:szCs w:val="16"/>
                <w:lang w:bidi="ar"/>
              </w:rPr>
              <w:t xml:space="preserve">0.00 </w:t>
            </w:r>
          </w:p>
        </w:tc>
        <w:tc>
          <w:tcPr>
            <w:tcW w:w="1418" w:type="dxa"/>
            <w:shd w:val="clear" w:color="auto" w:fill="auto"/>
            <w:vAlign w:val="center"/>
          </w:tcPr>
          <w:p w14:paraId="5742D4D1" w14:textId="77777777" w:rsidR="006B4107" w:rsidRDefault="004E70C7">
            <w:pPr>
              <w:jc w:val="right"/>
              <w:rPr>
                <w:color w:val="000000"/>
                <w:sz w:val="16"/>
                <w:szCs w:val="16"/>
                <w:lang w:bidi="ar"/>
              </w:rPr>
            </w:pPr>
            <w:r>
              <w:rPr>
                <w:rFonts w:hint="eastAsia"/>
                <w:color w:val="000000"/>
                <w:sz w:val="16"/>
                <w:szCs w:val="16"/>
              </w:rPr>
              <w:t>0.00</w:t>
            </w:r>
            <w:r>
              <w:rPr>
                <w:color w:val="000000"/>
                <w:sz w:val="16"/>
                <w:szCs w:val="16"/>
                <w:lang w:bidi="ar"/>
              </w:rPr>
              <w:t xml:space="preserve"> </w:t>
            </w:r>
          </w:p>
        </w:tc>
        <w:tc>
          <w:tcPr>
            <w:tcW w:w="1275" w:type="dxa"/>
            <w:shd w:val="clear" w:color="auto" w:fill="auto"/>
            <w:vAlign w:val="center"/>
          </w:tcPr>
          <w:p w14:paraId="39EB3BE7" w14:textId="77777777" w:rsidR="006B4107" w:rsidRDefault="004E70C7">
            <w:pPr>
              <w:jc w:val="right"/>
              <w:rPr>
                <w:color w:val="000000"/>
                <w:sz w:val="16"/>
                <w:szCs w:val="16"/>
                <w:lang w:bidi="ar"/>
              </w:rPr>
            </w:pPr>
            <w:r>
              <w:rPr>
                <w:color w:val="000000"/>
                <w:sz w:val="16"/>
                <w:szCs w:val="16"/>
                <w:lang w:bidi="ar"/>
              </w:rPr>
              <w:t xml:space="preserve">47,915,667.07 </w:t>
            </w:r>
          </w:p>
        </w:tc>
        <w:tc>
          <w:tcPr>
            <w:tcW w:w="1418" w:type="dxa"/>
            <w:shd w:val="clear" w:color="auto" w:fill="auto"/>
            <w:vAlign w:val="center"/>
          </w:tcPr>
          <w:p w14:paraId="1065EEED" w14:textId="77777777" w:rsidR="006B4107" w:rsidRDefault="004E70C7">
            <w:pPr>
              <w:jc w:val="right"/>
              <w:rPr>
                <w:color w:val="000000"/>
                <w:sz w:val="16"/>
                <w:szCs w:val="16"/>
                <w:lang w:bidi="ar"/>
              </w:rPr>
            </w:pPr>
            <w:r>
              <w:rPr>
                <w:color w:val="000000"/>
                <w:sz w:val="16"/>
                <w:szCs w:val="16"/>
                <w:lang w:bidi="ar"/>
              </w:rPr>
              <w:t xml:space="preserve">723,622.34 </w:t>
            </w:r>
          </w:p>
        </w:tc>
        <w:tc>
          <w:tcPr>
            <w:tcW w:w="1559" w:type="dxa"/>
            <w:shd w:val="clear" w:color="auto" w:fill="auto"/>
            <w:vAlign w:val="center"/>
          </w:tcPr>
          <w:p w14:paraId="318BC40E" w14:textId="77777777" w:rsidR="006B4107" w:rsidRDefault="004E70C7">
            <w:pPr>
              <w:jc w:val="right"/>
              <w:rPr>
                <w:color w:val="000000"/>
                <w:sz w:val="16"/>
                <w:szCs w:val="16"/>
                <w:lang w:bidi="ar"/>
              </w:rPr>
            </w:pPr>
            <w:r>
              <w:rPr>
                <w:color w:val="000000"/>
                <w:sz w:val="16"/>
                <w:szCs w:val="16"/>
                <w:lang w:bidi="ar"/>
              </w:rPr>
              <w:t xml:space="preserve">48,639,289.41 </w:t>
            </w:r>
          </w:p>
        </w:tc>
      </w:tr>
      <w:tr w:rsidR="006B4107" w14:paraId="23522118" w14:textId="77777777">
        <w:trPr>
          <w:trHeight w:hRule="exact" w:val="454"/>
          <w:jc w:val="center"/>
        </w:trPr>
        <w:tc>
          <w:tcPr>
            <w:tcW w:w="2117" w:type="dxa"/>
            <w:shd w:val="clear" w:color="auto" w:fill="auto"/>
            <w:vAlign w:val="center"/>
          </w:tcPr>
          <w:p w14:paraId="75D6737D" w14:textId="77777777" w:rsidR="006B4107" w:rsidRDefault="004E70C7">
            <w:pPr>
              <w:ind w:firstLineChars="100" w:firstLine="160"/>
              <w:jc w:val="both"/>
              <w:rPr>
                <w:color w:val="000000"/>
                <w:sz w:val="16"/>
                <w:szCs w:val="16"/>
              </w:rPr>
            </w:pPr>
            <w:r>
              <w:rPr>
                <w:color w:val="000000"/>
                <w:sz w:val="16"/>
                <w:szCs w:val="16"/>
              </w:rPr>
              <w:t>其中：主营业务收入</w:t>
            </w:r>
          </w:p>
        </w:tc>
        <w:tc>
          <w:tcPr>
            <w:tcW w:w="1417" w:type="dxa"/>
            <w:shd w:val="clear" w:color="auto" w:fill="auto"/>
            <w:vAlign w:val="center"/>
          </w:tcPr>
          <w:p w14:paraId="3F19744D" w14:textId="77777777" w:rsidR="006B4107" w:rsidRDefault="004E70C7">
            <w:pPr>
              <w:jc w:val="right"/>
              <w:rPr>
                <w:color w:val="000000"/>
                <w:sz w:val="16"/>
                <w:szCs w:val="16"/>
                <w:lang w:bidi="ar"/>
              </w:rPr>
            </w:pPr>
            <w:r>
              <w:rPr>
                <w:color w:val="000000"/>
                <w:sz w:val="16"/>
                <w:szCs w:val="16"/>
                <w:lang w:bidi="ar"/>
              </w:rPr>
              <w:t xml:space="preserve">0.00 </w:t>
            </w:r>
          </w:p>
        </w:tc>
        <w:tc>
          <w:tcPr>
            <w:tcW w:w="1418" w:type="dxa"/>
            <w:shd w:val="clear" w:color="auto" w:fill="auto"/>
            <w:vAlign w:val="center"/>
          </w:tcPr>
          <w:p w14:paraId="4E8F8B68" w14:textId="77777777" w:rsidR="006B4107" w:rsidRDefault="004E70C7">
            <w:pPr>
              <w:jc w:val="right"/>
              <w:rPr>
                <w:color w:val="000000"/>
                <w:sz w:val="16"/>
                <w:szCs w:val="16"/>
                <w:lang w:bidi="ar"/>
              </w:rPr>
            </w:pPr>
            <w:r>
              <w:rPr>
                <w:rFonts w:hint="eastAsia"/>
                <w:color w:val="000000"/>
                <w:sz w:val="16"/>
                <w:szCs w:val="16"/>
              </w:rPr>
              <w:t>0.00</w:t>
            </w:r>
            <w:r>
              <w:rPr>
                <w:color w:val="000000"/>
                <w:sz w:val="16"/>
                <w:szCs w:val="16"/>
                <w:lang w:bidi="ar"/>
              </w:rPr>
              <w:t xml:space="preserve"> </w:t>
            </w:r>
          </w:p>
        </w:tc>
        <w:tc>
          <w:tcPr>
            <w:tcW w:w="1275" w:type="dxa"/>
            <w:shd w:val="clear" w:color="auto" w:fill="auto"/>
            <w:vAlign w:val="center"/>
          </w:tcPr>
          <w:p w14:paraId="73E40206" w14:textId="77777777" w:rsidR="006B4107" w:rsidRDefault="004E70C7">
            <w:pPr>
              <w:jc w:val="right"/>
              <w:rPr>
                <w:color w:val="000000"/>
                <w:sz w:val="16"/>
                <w:szCs w:val="16"/>
                <w:lang w:bidi="ar"/>
              </w:rPr>
            </w:pPr>
            <w:r>
              <w:rPr>
                <w:color w:val="000000"/>
                <w:sz w:val="16"/>
                <w:szCs w:val="16"/>
                <w:lang w:bidi="ar"/>
              </w:rPr>
              <w:t xml:space="preserve">47,915,667.07 </w:t>
            </w:r>
          </w:p>
        </w:tc>
        <w:tc>
          <w:tcPr>
            <w:tcW w:w="1418" w:type="dxa"/>
            <w:shd w:val="clear" w:color="auto" w:fill="auto"/>
            <w:vAlign w:val="center"/>
          </w:tcPr>
          <w:p w14:paraId="0D2E99F1" w14:textId="77777777" w:rsidR="006B4107" w:rsidRDefault="004E70C7">
            <w:pPr>
              <w:jc w:val="right"/>
              <w:rPr>
                <w:color w:val="000000"/>
                <w:sz w:val="16"/>
                <w:szCs w:val="16"/>
                <w:lang w:bidi="ar"/>
              </w:rPr>
            </w:pPr>
            <w:r>
              <w:rPr>
                <w:color w:val="000000"/>
                <w:sz w:val="16"/>
                <w:szCs w:val="16"/>
                <w:lang w:bidi="ar"/>
              </w:rPr>
              <w:t xml:space="preserve">723,622.34 </w:t>
            </w:r>
          </w:p>
        </w:tc>
        <w:tc>
          <w:tcPr>
            <w:tcW w:w="1559" w:type="dxa"/>
            <w:shd w:val="clear" w:color="auto" w:fill="auto"/>
            <w:vAlign w:val="center"/>
          </w:tcPr>
          <w:p w14:paraId="4FD46C78" w14:textId="77777777" w:rsidR="006B4107" w:rsidRDefault="004E70C7">
            <w:pPr>
              <w:jc w:val="right"/>
              <w:rPr>
                <w:color w:val="000000"/>
                <w:sz w:val="16"/>
                <w:szCs w:val="16"/>
                <w:lang w:bidi="ar"/>
              </w:rPr>
            </w:pPr>
            <w:r>
              <w:rPr>
                <w:color w:val="000000"/>
                <w:sz w:val="16"/>
                <w:szCs w:val="16"/>
                <w:lang w:bidi="ar"/>
              </w:rPr>
              <w:t xml:space="preserve">48,639,289.41 </w:t>
            </w:r>
          </w:p>
        </w:tc>
      </w:tr>
      <w:tr w:rsidR="006B4107" w14:paraId="59590997" w14:textId="77777777">
        <w:trPr>
          <w:trHeight w:hRule="exact" w:val="454"/>
          <w:jc w:val="center"/>
        </w:trPr>
        <w:tc>
          <w:tcPr>
            <w:tcW w:w="2117" w:type="dxa"/>
            <w:shd w:val="clear" w:color="auto" w:fill="auto"/>
            <w:vAlign w:val="center"/>
          </w:tcPr>
          <w:p w14:paraId="20CC65F8" w14:textId="77777777" w:rsidR="006B4107" w:rsidRDefault="004E70C7">
            <w:pPr>
              <w:ind w:firstLineChars="100" w:firstLine="160"/>
              <w:jc w:val="both"/>
              <w:rPr>
                <w:color w:val="000000"/>
                <w:sz w:val="16"/>
                <w:szCs w:val="16"/>
              </w:rPr>
            </w:pPr>
            <w:r>
              <w:rPr>
                <w:color w:val="000000"/>
                <w:sz w:val="16"/>
                <w:szCs w:val="16"/>
              </w:rPr>
              <w:t>减：营业成本</w:t>
            </w:r>
          </w:p>
        </w:tc>
        <w:tc>
          <w:tcPr>
            <w:tcW w:w="1417" w:type="dxa"/>
            <w:shd w:val="clear" w:color="auto" w:fill="auto"/>
            <w:vAlign w:val="center"/>
          </w:tcPr>
          <w:p w14:paraId="5C70A32C" w14:textId="77777777" w:rsidR="006B4107" w:rsidRDefault="004E70C7">
            <w:pPr>
              <w:jc w:val="right"/>
              <w:rPr>
                <w:color w:val="000000"/>
                <w:sz w:val="16"/>
                <w:szCs w:val="16"/>
                <w:lang w:bidi="ar"/>
              </w:rPr>
            </w:pPr>
            <w:r>
              <w:rPr>
                <w:color w:val="000000"/>
                <w:sz w:val="16"/>
                <w:szCs w:val="16"/>
                <w:lang w:bidi="ar"/>
              </w:rPr>
              <w:t>0.00</w:t>
            </w:r>
          </w:p>
        </w:tc>
        <w:tc>
          <w:tcPr>
            <w:tcW w:w="1418" w:type="dxa"/>
            <w:shd w:val="clear" w:color="auto" w:fill="auto"/>
            <w:vAlign w:val="center"/>
          </w:tcPr>
          <w:p w14:paraId="6830C525" w14:textId="77777777" w:rsidR="006B4107" w:rsidRDefault="004E70C7">
            <w:pPr>
              <w:jc w:val="right"/>
              <w:rPr>
                <w:color w:val="000000"/>
                <w:sz w:val="16"/>
                <w:szCs w:val="16"/>
                <w:lang w:bidi="ar"/>
              </w:rPr>
            </w:pPr>
            <w:r>
              <w:rPr>
                <w:color w:val="000000"/>
                <w:sz w:val="16"/>
                <w:szCs w:val="16"/>
                <w:lang w:bidi="ar"/>
              </w:rPr>
              <w:t xml:space="preserve"> </w:t>
            </w:r>
            <w:r>
              <w:rPr>
                <w:rFonts w:hint="eastAsia"/>
                <w:color w:val="000000"/>
                <w:sz w:val="16"/>
                <w:szCs w:val="16"/>
              </w:rPr>
              <w:t>0.00</w:t>
            </w:r>
            <w:r>
              <w:rPr>
                <w:color w:val="000000"/>
                <w:sz w:val="16"/>
                <w:szCs w:val="16"/>
                <w:lang w:bidi="ar"/>
              </w:rPr>
              <w:t xml:space="preserve"> </w:t>
            </w:r>
          </w:p>
        </w:tc>
        <w:tc>
          <w:tcPr>
            <w:tcW w:w="1275" w:type="dxa"/>
            <w:shd w:val="clear" w:color="auto" w:fill="auto"/>
            <w:vAlign w:val="center"/>
          </w:tcPr>
          <w:p w14:paraId="32080771" w14:textId="77777777" w:rsidR="006B4107" w:rsidRDefault="004E70C7">
            <w:pPr>
              <w:jc w:val="right"/>
              <w:rPr>
                <w:color w:val="000000"/>
                <w:sz w:val="16"/>
                <w:szCs w:val="16"/>
                <w:lang w:bidi="ar"/>
              </w:rPr>
            </w:pPr>
            <w:r>
              <w:rPr>
                <w:color w:val="000000"/>
                <w:sz w:val="16"/>
                <w:szCs w:val="16"/>
                <w:lang w:bidi="ar"/>
              </w:rPr>
              <w:t xml:space="preserve">45,252,801.26 </w:t>
            </w:r>
          </w:p>
        </w:tc>
        <w:tc>
          <w:tcPr>
            <w:tcW w:w="1418" w:type="dxa"/>
            <w:shd w:val="clear" w:color="auto" w:fill="auto"/>
            <w:vAlign w:val="center"/>
          </w:tcPr>
          <w:p w14:paraId="79123C36" w14:textId="77777777" w:rsidR="006B4107" w:rsidRDefault="004E70C7">
            <w:pPr>
              <w:jc w:val="right"/>
              <w:rPr>
                <w:color w:val="000000"/>
                <w:sz w:val="16"/>
                <w:szCs w:val="16"/>
                <w:lang w:bidi="ar"/>
              </w:rPr>
            </w:pPr>
            <w:r>
              <w:rPr>
                <w:color w:val="000000"/>
                <w:sz w:val="16"/>
                <w:szCs w:val="16"/>
                <w:lang w:bidi="ar"/>
              </w:rPr>
              <w:t xml:space="preserve">683,407.74 </w:t>
            </w:r>
          </w:p>
        </w:tc>
        <w:tc>
          <w:tcPr>
            <w:tcW w:w="1559" w:type="dxa"/>
            <w:shd w:val="clear" w:color="auto" w:fill="auto"/>
            <w:vAlign w:val="center"/>
          </w:tcPr>
          <w:p w14:paraId="4B9CCC5E" w14:textId="77777777" w:rsidR="006B4107" w:rsidRDefault="004E70C7">
            <w:pPr>
              <w:jc w:val="right"/>
              <w:rPr>
                <w:color w:val="000000"/>
                <w:sz w:val="16"/>
                <w:szCs w:val="16"/>
                <w:lang w:bidi="ar"/>
              </w:rPr>
            </w:pPr>
            <w:r>
              <w:rPr>
                <w:color w:val="000000"/>
                <w:sz w:val="16"/>
                <w:szCs w:val="16"/>
                <w:lang w:bidi="ar"/>
              </w:rPr>
              <w:t xml:space="preserve">45,936,209.00 </w:t>
            </w:r>
          </w:p>
        </w:tc>
      </w:tr>
      <w:tr w:rsidR="006B4107" w14:paraId="38C20883" w14:textId="77777777">
        <w:trPr>
          <w:trHeight w:hRule="exact" w:val="454"/>
          <w:jc w:val="center"/>
        </w:trPr>
        <w:tc>
          <w:tcPr>
            <w:tcW w:w="2117" w:type="dxa"/>
            <w:shd w:val="clear" w:color="auto" w:fill="auto"/>
            <w:vAlign w:val="center"/>
          </w:tcPr>
          <w:p w14:paraId="47D1BEB8" w14:textId="77777777" w:rsidR="006B4107" w:rsidRDefault="004E70C7">
            <w:pPr>
              <w:ind w:firstLineChars="100" w:firstLine="160"/>
              <w:jc w:val="both"/>
              <w:rPr>
                <w:color w:val="000000"/>
                <w:sz w:val="16"/>
                <w:szCs w:val="16"/>
              </w:rPr>
            </w:pPr>
            <w:r>
              <w:rPr>
                <w:color w:val="000000"/>
                <w:sz w:val="16"/>
                <w:szCs w:val="16"/>
              </w:rPr>
              <w:t>其中：主营业务成本</w:t>
            </w:r>
          </w:p>
        </w:tc>
        <w:tc>
          <w:tcPr>
            <w:tcW w:w="1417" w:type="dxa"/>
            <w:shd w:val="clear" w:color="auto" w:fill="auto"/>
            <w:vAlign w:val="center"/>
          </w:tcPr>
          <w:p w14:paraId="548E8304" w14:textId="77777777" w:rsidR="006B4107" w:rsidRDefault="004E70C7">
            <w:pPr>
              <w:jc w:val="right"/>
              <w:rPr>
                <w:color w:val="000000"/>
                <w:sz w:val="16"/>
                <w:szCs w:val="16"/>
                <w:lang w:bidi="ar"/>
              </w:rPr>
            </w:pPr>
            <w:r>
              <w:rPr>
                <w:color w:val="000000"/>
                <w:sz w:val="16"/>
                <w:szCs w:val="16"/>
                <w:lang w:bidi="ar"/>
              </w:rPr>
              <w:t xml:space="preserve">0.00 </w:t>
            </w:r>
          </w:p>
        </w:tc>
        <w:tc>
          <w:tcPr>
            <w:tcW w:w="1418" w:type="dxa"/>
            <w:shd w:val="clear" w:color="auto" w:fill="auto"/>
            <w:vAlign w:val="center"/>
          </w:tcPr>
          <w:p w14:paraId="7A45190D" w14:textId="77777777" w:rsidR="006B4107" w:rsidRDefault="004E70C7">
            <w:pPr>
              <w:jc w:val="right"/>
              <w:rPr>
                <w:color w:val="000000"/>
                <w:sz w:val="16"/>
                <w:szCs w:val="16"/>
                <w:lang w:bidi="ar"/>
              </w:rPr>
            </w:pPr>
            <w:r>
              <w:rPr>
                <w:rFonts w:hint="eastAsia"/>
                <w:color w:val="000000"/>
                <w:sz w:val="16"/>
                <w:szCs w:val="16"/>
              </w:rPr>
              <w:t>0.00</w:t>
            </w:r>
            <w:r>
              <w:rPr>
                <w:color w:val="000000"/>
                <w:sz w:val="16"/>
                <w:szCs w:val="16"/>
                <w:lang w:bidi="ar"/>
              </w:rPr>
              <w:t xml:space="preserve"> </w:t>
            </w:r>
          </w:p>
        </w:tc>
        <w:tc>
          <w:tcPr>
            <w:tcW w:w="1275" w:type="dxa"/>
            <w:shd w:val="clear" w:color="auto" w:fill="auto"/>
            <w:vAlign w:val="center"/>
          </w:tcPr>
          <w:p w14:paraId="47DEF771" w14:textId="77777777" w:rsidR="006B4107" w:rsidRDefault="004E70C7">
            <w:pPr>
              <w:jc w:val="right"/>
              <w:rPr>
                <w:color w:val="000000"/>
                <w:sz w:val="16"/>
                <w:szCs w:val="16"/>
                <w:lang w:bidi="ar"/>
              </w:rPr>
            </w:pPr>
            <w:r>
              <w:rPr>
                <w:color w:val="000000"/>
                <w:sz w:val="16"/>
                <w:szCs w:val="16"/>
                <w:lang w:bidi="ar"/>
              </w:rPr>
              <w:t xml:space="preserve">45,252,801.26 </w:t>
            </w:r>
          </w:p>
        </w:tc>
        <w:tc>
          <w:tcPr>
            <w:tcW w:w="1418" w:type="dxa"/>
            <w:shd w:val="clear" w:color="auto" w:fill="auto"/>
            <w:vAlign w:val="center"/>
          </w:tcPr>
          <w:p w14:paraId="4FC77D4C" w14:textId="77777777" w:rsidR="006B4107" w:rsidRDefault="004E70C7">
            <w:pPr>
              <w:jc w:val="right"/>
              <w:rPr>
                <w:color w:val="000000"/>
                <w:sz w:val="16"/>
                <w:szCs w:val="16"/>
                <w:lang w:bidi="ar"/>
              </w:rPr>
            </w:pPr>
            <w:r>
              <w:rPr>
                <w:color w:val="000000"/>
                <w:sz w:val="16"/>
                <w:szCs w:val="16"/>
                <w:lang w:bidi="ar"/>
              </w:rPr>
              <w:t xml:space="preserve">683,407.74 </w:t>
            </w:r>
          </w:p>
        </w:tc>
        <w:tc>
          <w:tcPr>
            <w:tcW w:w="1559" w:type="dxa"/>
            <w:shd w:val="clear" w:color="auto" w:fill="auto"/>
            <w:vAlign w:val="center"/>
          </w:tcPr>
          <w:p w14:paraId="331E9EE2" w14:textId="77777777" w:rsidR="006B4107" w:rsidRDefault="004E70C7">
            <w:pPr>
              <w:jc w:val="right"/>
              <w:rPr>
                <w:color w:val="000000"/>
                <w:sz w:val="16"/>
                <w:szCs w:val="16"/>
                <w:lang w:bidi="ar"/>
              </w:rPr>
            </w:pPr>
            <w:r>
              <w:rPr>
                <w:color w:val="000000"/>
                <w:sz w:val="16"/>
                <w:szCs w:val="16"/>
                <w:lang w:bidi="ar"/>
              </w:rPr>
              <w:t xml:space="preserve">45,936,209.00 </w:t>
            </w:r>
          </w:p>
        </w:tc>
      </w:tr>
      <w:tr w:rsidR="006B4107" w14:paraId="1F16D12C" w14:textId="77777777">
        <w:trPr>
          <w:trHeight w:hRule="exact" w:val="454"/>
          <w:jc w:val="center"/>
        </w:trPr>
        <w:tc>
          <w:tcPr>
            <w:tcW w:w="2117" w:type="dxa"/>
            <w:shd w:val="clear" w:color="auto" w:fill="auto"/>
            <w:vAlign w:val="center"/>
          </w:tcPr>
          <w:p w14:paraId="06CD5D37" w14:textId="77777777" w:rsidR="006B4107" w:rsidRDefault="004E70C7">
            <w:pPr>
              <w:ind w:firstLineChars="100" w:firstLine="160"/>
              <w:jc w:val="both"/>
              <w:rPr>
                <w:color w:val="000000"/>
                <w:sz w:val="16"/>
                <w:szCs w:val="16"/>
              </w:rPr>
            </w:pPr>
            <w:r>
              <w:rPr>
                <w:color w:val="000000"/>
                <w:sz w:val="16"/>
                <w:szCs w:val="16"/>
              </w:rPr>
              <w:t>营业税金及附加</w:t>
            </w:r>
          </w:p>
        </w:tc>
        <w:tc>
          <w:tcPr>
            <w:tcW w:w="1417" w:type="dxa"/>
            <w:shd w:val="clear" w:color="auto" w:fill="auto"/>
            <w:vAlign w:val="center"/>
          </w:tcPr>
          <w:p w14:paraId="0F7DAF5F" w14:textId="77777777" w:rsidR="006B4107" w:rsidRDefault="004E70C7">
            <w:pPr>
              <w:jc w:val="right"/>
              <w:rPr>
                <w:color w:val="000000"/>
                <w:sz w:val="16"/>
                <w:szCs w:val="16"/>
                <w:lang w:bidi="ar"/>
              </w:rPr>
            </w:pPr>
            <w:r>
              <w:rPr>
                <w:color w:val="000000"/>
                <w:sz w:val="16"/>
                <w:szCs w:val="16"/>
                <w:lang w:bidi="ar"/>
              </w:rPr>
              <w:t xml:space="preserve">0.00 </w:t>
            </w:r>
          </w:p>
        </w:tc>
        <w:tc>
          <w:tcPr>
            <w:tcW w:w="1418" w:type="dxa"/>
            <w:shd w:val="clear" w:color="auto" w:fill="auto"/>
            <w:vAlign w:val="center"/>
          </w:tcPr>
          <w:p w14:paraId="63BD7F50" w14:textId="77777777" w:rsidR="006B4107" w:rsidRDefault="004E70C7">
            <w:pPr>
              <w:jc w:val="right"/>
              <w:rPr>
                <w:color w:val="000000"/>
                <w:sz w:val="16"/>
                <w:szCs w:val="16"/>
                <w:lang w:bidi="ar"/>
              </w:rPr>
            </w:pPr>
            <w:r>
              <w:rPr>
                <w:color w:val="000000"/>
                <w:sz w:val="16"/>
                <w:szCs w:val="16"/>
                <w:lang w:bidi="ar"/>
              </w:rPr>
              <w:t xml:space="preserve"> </w:t>
            </w:r>
            <w:r>
              <w:rPr>
                <w:rFonts w:hint="eastAsia"/>
                <w:color w:val="000000"/>
                <w:sz w:val="16"/>
                <w:szCs w:val="16"/>
              </w:rPr>
              <w:t>0.00</w:t>
            </w:r>
            <w:r>
              <w:rPr>
                <w:color w:val="000000"/>
                <w:sz w:val="16"/>
                <w:szCs w:val="16"/>
                <w:lang w:bidi="ar"/>
              </w:rPr>
              <w:t xml:space="preserve"> </w:t>
            </w:r>
          </w:p>
        </w:tc>
        <w:tc>
          <w:tcPr>
            <w:tcW w:w="1275" w:type="dxa"/>
            <w:shd w:val="clear" w:color="auto" w:fill="auto"/>
            <w:vAlign w:val="center"/>
          </w:tcPr>
          <w:p w14:paraId="77CA1BEA" w14:textId="77777777" w:rsidR="006B4107" w:rsidRDefault="004E70C7">
            <w:pPr>
              <w:jc w:val="right"/>
              <w:rPr>
                <w:color w:val="000000"/>
                <w:sz w:val="16"/>
                <w:szCs w:val="16"/>
                <w:lang w:bidi="ar"/>
              </w:rPr>
            </w:pPr>
            <w:r>
              <w:rPr>
                <w:color w:val="000000"/>
                <w:sz w:val="16"/>
                <w:szCs w:val="16"/>
                <w:lang w:bidi="ar"/>
              </w:rPr>
              <w:t xml:space="preserve">123,460.10 </w:t>
            </w:r>
          </w:p>
        </w:tc>
        <w:tc>
          <w:tcPr>
            <w:tcW w:w="1418" w:type="dxa"/>
            <w:shd w:val="clear" w:color="auto" w:fill="auto"/>
            <w:vAlign w:val="center"/>
          </w:tcPr>
          <w:p w14:paraId="1F9DE9E1" w14:textId="77777777" w:rsidR="006B4107" w:rsidRDefault="004E70C7">
            <w:pPr>
              <w:jc w:val="right"/>
              <w:rPr>
                <w:color w:val="000000"/>
                <w:sz w:val="16"/>
                <w:szCs w:val="16"/>
                <w:lang w:bidi="ar"/>
              </w:rPr>
            </w:pPr>
            <w:r>
              <w:rPr>
                <w:color w:val="000000"/>
                <w:sz w:val="16"/>
                <w:szCs w:val="16"/>
                <w:lang w:bidi="ar"/>
              </w:rPr>
              <w:t xml:space="preserve">1,864.49 </w:t>
            </w:r>
          </w:p>
        </w:tc>
        <w:tc>
          <w:tcPr>
            <w:tcW w:w="1559" w:type="dxa"/>
            <w:shd w:val="clear" w:color="auto" w:fill="auto"/>
            <w:vAlign w:val="center"/>
          </w:tcPr>
          <w:p w14:paraId="0822189C" w14:textId="77777777" w:rsidR="006B4107" w:rsidRDefault="004E70C7">
            <w:pPr>
              <w:jc w:val="right"/>
              <w:rPr>
                <w:color w:val="000000"/>
                <w:sz w:val="16"/>
                <w:szCs w:val="16"/>
                <w:lang w:bidi="ar"/>
              </w:rPr>
            </w:pPr>
            <w:r>
              <w:rPr>
                <w:color w:val="000000"/>
                <w:sz w:val="16"/>
                <w:szCs w:val="16"/>
                <w:lang w:bidi="ar"/>
              </w:rPr>
              <w:t xml:space="preserve">125,324.59 </w:t>
            </w:r>
          </w:p>
        </w:tc>
      </w:tr>
      <w:tr w:rsidR="006B4107" w14:paraId="41353893" w14:textId="77777777">
        <w:trPr>
          <w:trHeight w:hRule="exact" w:val="454"/>
          <w:jc w:val="center"/>
        </w:trPr>
        <w:tc>
          <w:tcPr>
            <w:tcW w:w="2117" w:type="dxa"/>
            <w:shd w:val="clear" w:color="auto" w:fill="auto"/>
            <w:vAlign w:val="center"/>
          </w:tcPr>
          <w:p w14:paraId="496336D0" w14:textId="77777777" w:rsidR="006B4107" w:rsidRDefault="004E70C7">
            <w:pPr>
              <w:ind w:firstLineChars="100" w:firstLine="160"/>
              <w:jc w:val="both"/>
              <w:rPr>
                <w:color w:val="000000"/>
                <w:sz w:val="16"/>
                <w:szCs w:val="16"/>
              </w:rPr>
            </w:pPr>
            <w:r>
              <w:rPr>
                <w:color w:val="000000"/>
                <w:sz w:val="16"/>
                <w:szCs w:val="16"/>
              </w:rPr>
              <w:t>其中：主营业务税金及附加</w:t>
            </w:r>
          </w:p>
        </w:tc>
        <w:tc>
          <w:tcPr>
            <w:tcW w:w="1417" w:type="dxa"/>
            <w:shd w:val="clear" w:color="auto" w:fill="auto"/>
            <w:vAlign w:val="center"/>
          </w:tcPr>
          <w:p w14:paraId="7E3A9B61" w14:textId="77777777" w:rsidR="006B4107" w:rsidRDefault="004E70C7">
            <w:pPr>
              <w:jc w:val="right"/>
              <w:rPr>
                <w:color w:val="000000"/>
                <w:sz w:val="16"/>
                <w:szCs w:val="16"/>
                <w:lang w:bidi="ar"/>
              </w:rPr>
            </w:pPr>
            <w:r>
              <w:rPr>
                <w:color w:val="000000"/>
                <w:sz w:val="16"/>
                <w:szCs w:val="16"/>
                <w:lang w:bidi="ar"/>
              </w:rPr>
              <w:t xml:space="preserve">0.00 </w:t>
            </w:r>
          </w:p>
        </w:tc>
        <w:tc>
          <w:tcPr>
            <w:tcW w:w="1418" w:type="dxa"/>
            <w:shd w:val="clear" w:color="auto" w:fill="auto"/>
            <w:vAlign w:val="center"/>
          </w:tcPr>
          <w:p w14:paraId="2967E5EE" w14:textId="77777777" w:rsidR="006B4107" w:rsidRDefault="004E70C7">
            <w:pPr>
              <w:jc w:val="right"/>
              <w:rPr>
                <w:color w:val="000000"/>
                <w:sz w:val="16"/>
                <w:szCs w:val="16"/>
                <w:lang w:bidi="ar"/>
              </w:rPr>
            </w:pPr>
            <w:r>
              <w:rPr>
                <w:color w:val="000000"/>
                <w:sz w:val="16"/>
                <w:szCs w:val="16"/>
                <w:lang w:bidi="ar"/>
              </w:rPr>
              <w:t xml:space="preserve"> </w:t>
            </w:r>
            <w:r>
              <w:rPr>
                <w:rFonts w:hint="eastAsia"/>
                <w:color w:val="000000"/>
                <w:sz w:val="16"/>
                <w:szCs w:val="16"/>
              </w:rPr>
              <w:t>0.00</w:t>
            </w:r>
            <w:r>
              <w:rPr>
                <w:color w:val="000000"/>
                <w:sz w:val="16"/>
                <w:szCs w:val="16"/>
                <w:lang w:bidi="ar"/>
              </w:rPr>
              <w:t xml:space="preserve"> </w:t>
            </w:r>
          </w:p>
        </w:tc>
        <w:tc>
          <w:tcPr>
            <w:tcW w:w="1275" w:type="dxa"/>
            <w:shd w:val="clear" w:color="auto" w:fill="auto"/>
            <w:vAlign w:val="center"/>
          </w:tcPr>
          <w:p w14:paraId="11ECA186" w14:textId="77777777" w:rsidR="006B4107" w:rsidRDefault="004E70C7">
            <w:pPr>
              <w:jc w:val="right"/>
              <w:rPr>
                <w:color w:val="000000"/>
                <w:sz w:val="16"/>
                <w:szCs w:val="16"/>
                <w:lang w:bidi="ar"/>
              </w:rPr>
            </w:pPr>
            <w:r>
              <w:rPr>
                <w:color w:val="000000"/>
                <w:sz w:val="16"/>
                <w:szCs w:val="16"/>
                <w:lang w:bidi="ar"/>
              </w:rPr>
              <w:t xml:space="preserve">123,460.10 </w:t>
            </w:r>
          </w:p>
        </w:tc>
        <w:tc>
          <w:tcPr>
            <w:tcW w:w="1418" w:type="dxa"/>
            <w:shd w:val="clear" w:color="auto" w:fill="auto"/>
            <w:vAlign w:val="center"/>
          </w:tcPr>
          <w:p w14:paraId="3DFD3EC9" w14:textId="77777777" w:rsidR="006B4107" w:rsidRDefault="004E70C7">
            <w:pPr>
              <w:jc w:val="right"/>
              <w:rPr>
                <w:color w:val="000000"/>
                <w:sz w:val="16"/>
                <w:szCs w:val="16"/>
                <w:lang w:bidi="ar"/>
              </w:rPr>
            </w:pPr>
            <w:r>
              <w:rPr>
                <w:color w:val="000000"/>
                <w:sz w:val="16"/>
                <w:szCs w:val="16"/>
                <w:lang w:bidi="ar"/>
              </w:rPr>
              <w:t xml:space="preserve">1,864.49 </w:t>
            </w:r>
          </w:p>
        </w:tc>
        <w:tc>
          <w:tcPr>
            <w:tcW w:w="1559" w:type="dxa"/>
            <w:shd w:val="clear" w:color="auto" w:fill="auto"/>
            <w:vAlign w:val="center"/>
          </w:tcPr>
          <w:p w14:paraId="375E8C32" w14:textId="77777777" w:rsidR="006B4107" w:rsidRDefault="004E70C7">
            <w:pPr>
              <w:jc w:val="right"/>
              <w:rPr>
                <w:color w:val="000000"/>
                <w:sz w:val="16"/>
                <w:szCs w:val="16"/>
                <w:lang w:bidi="ar"/>
              </w:rPr>
            </w:pPr>
            <w:r>
              <w:rPr>
                <w:color w:val="000000"/>
                <w:sz w:val="16"/>
                <w:szCs w:val="16"/>
                <w:lang w:bidi="ar"/>
              </w:rPr>
              <w:t xml:space="preserve">125,324.59 </w:t>
            </w:r>
          </w:p>
        </w:tc>
      </w:tr>
      <w:tr w:rsidR="006B4107" w14:paraId="2A98D4AB" w14:textId="77777777">
        <w:trPr>
          <w:trHeight w:hRule="exact" w:val="454"/>
          <w:jc w:val="center"/>
        </w:trPr>
        <w:tc>
          <w:tcPr>
            <w:tcW w:w="2117" w:type="dxa"/>
            <w:shd w:val="clear" w:color="auto" w:fill="auto"/>
            <w:vAlign w:val="center"/>
          </w:tcPr>
          <w:p w14:paraId="31C83426" w14:textId="77777777" w:rsidR="006B4107" w:rsidRDefault="004E70C7">
            <w:pPr>
              <w:ind w:firstLineChars="100" w:firstLine="160"/>
              <w:jc w:val="both"/>
              <w:rPr>
                <w:color w:val="000000"/>
                <w:sz w:val="16"/>
                <w:szCs w:val="16"/>
              </w:rPr>
            </w:pPr>
            <w:r>
              <w:rPr>
                <w:color w:val="000000"/>
                <w:sz w:val="16"/>
                <w:szCs w:val="16"/>
              </w:rPr>
              <w:t>销售费用</w:t>
            </w:r>
          </w:p>
        </w:tc>
        <w:tc>
          <w:tcPr>
            <w:tcW w:w="1417" w:type="dxa"/>
            <w:shd w:val="clear" w:color="auto" w:fill="auto"/>
            <w:vAlign w:val="center"/>
          </w:tcPr>
          <w:p w14:paraId="688559FD" w14:textId="77777777" w:rsidR="006B4107" w:rsidRDefault="004E70C7">
            <w:pPr>
              <w:jc w:val="right"/>
              <w:rPr>
                <w:color w:val="000000"/>
                <w:sz w:val="16"/>
                <w:szCs w:val="16"/>
                <w:lang w:bidi="ar"/>
              </w:rPr>
            </w:pPr>
            <w:r>
              <w:rPr>
                <w:color w:val="000000"/>
                <w:sz w:val="16"/>
                <w:szCs w:val="16"/>
                <w:lang w:bidi="ar"/>
              </w:rPr>
              <w:t xml:space="preserve"> 0.00 </w:t>
            </w:r>
          </w:p>
        </w:tc>
        <w:tc>
          <w:tcPr>
            <w:tcW w:w="1418" w:type="dxa"/>
            <w:shd w:val="clear" w:color="auto" w:fill="auto"/>
            <w:vAlign w:val="center"/>
          </w:tcPr>
          <w:p w14:paraId="5EDA23FD" w14:textId="77777777" w:rsidR="006B4107" w:rsidRDefault="004E70C7">
            <w:pPr>
              <w:jc w:val="right"/>
              <w:rPr>
                <w:color w:val="000000"/>
                <w:sz w:val="16"/>
                <w:szCs w:val="16"/>
                <w:lang w:bidi="ar"/>
              </w:rPr>
            </w:pPr>
            <w:r>
              <w:rPr>
                <w:rFonts w:hint="eastAsia"/>
                <w:color w:val="000000"/>
                <w:sz w:val="16"/>
                <w:szCs w:val="16"/>
              </w:rPr>
              <w:t>0.00</w:t>
            </w:r>
            <w:r>
              <w:rPr>
                <w:color w:val="000000"/>
                <w:sz w:val="16"/>
                <w:szCs w:val="16"/>
                <w:lang w:bidi="ar"/>
              </w:rPr>
              <w:t xml:space="preserve"> </w:t>
            </w:r>
          </w:p>
        </w:tc>
        <w:tc>
          <w:tcPr>
            <w:tcW w:w="1275" w:type="dxa"/>
            <w:shd w:val="clear" w:color="auto" w:fill="auto"/>
            <w:vAlign w:val="center"/>
          </w:tcPr>
          <w:p w14:paraId="71A37C05" w14:textId="77777777" w:rsidR="006B4107" w:rsidRDefault="004E70C7">
            <w:pPr>
              <w:jc w:val="right"/>
              <w:rPr>
                <w:color w:val="000000"/>
                <w:sz w:val="16"/>
                <w:szCs w:val="16"/>
                <w:lang w:bidi="ar"/>
              </w:rPr>
            </w:pPr>
            <w:r>
              <w:rPr>
                <w:color w:val="000000"/>
                <w:sz w:val="16"/>
                <w:szCs w:val="16"/>
                <w:lang w:bidi="ar"/>
              </w:rPr>
              <w:t xml:space="preserve">0.00 </w:t>
            </w:r>
          </w:p>
        </w:tc>
        <w:tc>
          <w:tcPr>
            <w:tcW w:w="1418" w:type="dxa"/>
            <w:shd w:val="clear" w:color="auto" w:fill="auto"/>
            <w:vAlign w:val="center"/>
          </w:tcPr>
          <w:p w14:paraId="27D9C73A" w14:textId="77777777" w:rsidR="006B4107" w:rsidRDefault="004E70C7">
            <w:pPr>
              <w:jc w:val="right"/>
              <w:rPr>
                <w:color w:val="000000"/>
                <w:sz w:val="16"/>
                <w:szCs w:val="16"/>
                <w:lang w:bidi="ar"/>
              </w:rPr>
            </w:pPr>
            <w:r>
              <w:rPr>
                <w:color w:val="000000"/>
                <w:sz w:val="16"/>
                <w:szCs w:val="16"/>
                <w:lang w:bidi="ar"/>
              </w:rPr>
              <w:t xml:space="preserve">0.00 </w:t>
            </w:r>
          </w:p>
        </w:tc>
        <w:tc>
          <w:tcPr>
            <w:tcW w:w="1559" w:type="dxa"/>
            <w:shd w:val="clear" w:color="auto" w:fill="auto"/>
            <w:vAlign w:val="center"/>
          </w:tcPr>
          <w:p w14:paraId="68BCB5D6" w14:textId="77777777" w:rsidR="006B4107" w:rsidRDefault="004E70C7">
            <w:pPr>
              <w:jc w:val="right"/>
              <w:rPr>
                <w:color w:val="000000"/>
                <w:sz w:val="16"/>
                <w:szCs w:val="16"/>
                <w:lang w:bidi="ar"/>
              </w:rPr>
            </w:pPr>
            <w:r>
              <w:rPr>
                <w:color w:val="000000"/>
                <w:sz w:val="16"/>
                <w:szCs w:val="16"/>
                <w:lang w:bidi="ar"/>
              </w:rPr>
              <w:t xml:space="preserve"> 0.00 </w:t>
            </w:r>
          </w:p>
        </w:tc>
      </w:tr>
      <w:tr w:rsidR="006B4107" w14:paraId="7AFAB27C" w14:textId="77777777">
        <w:trPr>
          <w:trHeight w:hRule="exact" w:val="454"/>
          <w:jc w:val="center"/>
        </w:trPr>
        <w:tc>
          <w:tcPr>
            <w:tcW w:w="2117" w:type="dxa"/>
            <w:shd w:val="clear" w:color="auto" w:fill="auto"/>
            <w:vAlign w:val="center"/>
          </w:tcPr>
          <w:p w14:paraId="44237C9D" w14:textId="77777777" w:rsidR="006B4107" w:rsidRDefault="004E70C7">
            <w:pPr>
              <w:ind w:firstLineChars="100" w:firstLine="160"/>
              <w:jc w:val="both"/>
              <w:rPr>
                <w:color w:val="000000"/>
                <w:sz w:val="16"/>
                <w:szCs w:val="16"/>
              </w:rPr>
            </w:pPr>
            <w:r>
              <w:rPr>
                <w:color w:val="000000"/>
                <w:sz w:val="16"/>
                <w:szCs w:val="16"/>
              </w:rPr>
              <w:t>管理费用</w:t>
            </w:r>
          </w:p>
        </w:tc>
        <w:tc>
          <w:tcPr>
            <w:tcW w:w="1417" w:type="dxa"/>
            <w:shd w:val="clear" w:color="auto" w:fill="auto"/>
            <w:vAlign w:val="center"/>
          </w:tcPr>
          <w:p w14:paraId="20705A5F" w14:textId="77777777" w:rsidR="006B4107" w:rsidRDefault="004E70C7">
            <w:pPr>
              <w:jc w:val="right"/>
              <w:rPr>
                <w:color w:val="000000"/>
                <w:sz w:val="16"/>
                <w:szCs w:val="16"/>
                <w:lang w:bidi="ar"/>
              </w:rPr>
            </w:pPr>
            <w:r>
              <w:rPr>
                <w:color w:val="000000"/>
                <w:sz w:val="16"/>
                <w:szCs w:val="16"/>
                <w:lang w:bidi="ar"/>
              </w:rPr>
              <w:t xml:space="preserve">0.00 </w:t>
            </w:r>
          </w:p>
        </w:tc>
        <w:tc>
          <w:tcPr>
            <w:tcW w:w="1418" w:type="dxa"/>
            <w:shd w:val="clear" w:color="auto" w:fill="auto"/>
            <w:vAlign w:val="center"/>
          </w:tcPr>
          <w:p w14:paraId="11479EFE" w14:textId="77777777" w:rsidR="006B4107" w:rsidRDefault="004E70C7">
            <w:pPr>
              <w:jc w:val="right"/>
              <w:rPr>
                <w:color w:val="000000"/>
                <w:sz w:val="16"/>
                <w:szCs w:val="16"/>
                <w:lang w:bidi="ar"/>
              </w:rPr>
            </w:pPr>
            <w:r>
              <w:rPr>
                <w:rFonts w:hint="eastAsia"/>
                <w:color w:val="000000"/>
                <w:sz w:val="16"/>
                <w:szCs w:val="16"/>
              </w:rPr>
              <w:t>0.00</w:t>
            </w:r>
            <w:r>
              <w:rPr>
                <w:color w:val="000000"/>
                <w:sz w:val="16"/>
                <w:szCs w:val="16"/>
                <w:lang w:bidi="ar"/>
              </w:rPr>
              <w:t xml:space="preserve"> </w:t>
            </w:r>
          </w:p>
        </w:tc>
        <w:tc>
          <w:tcPr>
            <w:tcW w:w="1275" w:type="dxa"/>
            <w:shd w:val="clear" w:color="auto" w:fill="auto"/>
            <w:vAlign w:val="center"/>
          </w:tcPr>
          <w:p w14:paraId="03AB3DC2" w14:textId="77777777" w:rsidR="006B4107" w:rsidRDefault="004E70C7">
            <w:pPr>
              <w:jc w:val="right"/>
              <w:rPr>
                <w:color w:val="000000"/>
                <w:sz w:val="16"/>
                <w:szCs w:val="16"/>
                <w:lang w:bidi="ar"/>
              </w:rPr>
            </w:pPr>
            <w:r>
              <w:rPr>
                <w:color w:val="000000"/>
                <w:sz w:val="16"/>
                <w:szCs w:val="16"/>
                <w:lang w:bidi="ar"/>
              </w:rPr>
              <w:t xml:space="preserve">872,681.50 </w:t>
            </w:r>
          </w:p>
        </w:tc>
        <w:tc>
          <w:tcPr>
            <w:tcW w:w="1418" w:type="dxa"/>
            <w:shd w:val="clear" w:color="auto" w:fill="auto"/>
            <w:vAlign w:val="center"/>
          </w:tcPr>
          <w:p w14:paraId="5B6CF9E4" w14:textId="77777777" w:rsidR="006B4107" w:rsidRDefault="004E70C7">
            <w:pPr>
              <w:jc w:val="right"/>
              <w:rPr>
                <w:color w:val="000000"/>
                <w:sz w:val="16"/>
                <w:szCs w:val="16"/>
                <w:lang w:bidi="ar"/>
              </w:rPr>
            </w:pPr>
            <w:r>
              <w:rPr>
                <w:color w:val="000000"/>
                <w:sz w:val="16"/>
                <w:szCs w:val="16"/>
                <w:lang w:bidi="ar"/>
              </w:rPr>
              <w:t xml:space="preserve">13,179.23 </w:t>
            </w:r>
          </w:p>
        </w:tc>
        <w:tc>
          <w:tcPr>
            <w:tcW w:w="1559" w:type="dxa"/>
            <w:shd w:val="clear" w:color="auto" w:fill="auto"/>
            <w:vAlign w:val="center"/>
          </w:tcPr>
          <w:p w14:paraId="7EBB856D" w14:textId="77777777" w:rsidR="006B4107" w:rsidRDefault="004E70C7">
            <w:pPr>
              <w:jc w:val="right"/>
              <w:rPr>
                <w:color w:val="000000"/>
                <w:sz w:val="16"/>
                <w:szCs w:val="16"/>
                <w:lang w:bidi="ar"/>
              </w:rPr>
            </w:pPr>
            <w:r>
              <w:rPr>
                <w:color w:val="000000"/>
                <w:sz w:val="16"/>
                <w:szCs w:val="16"/>
                <w:lang w:bidi="ar"/>
              </w:rPr>
              <w:t xml:space="preserve">885,860.73 </w:t>
            </w:r>
          </w:p>
        </w:tc>
      </w:tr>
      <w:tr w:rsidR="006B4107" w14:paraId="0D2259A9" w14:textId="77777777">
        <w:trPr>
          <w:trHeight w:hRule="exact" w:val="454"/>
          <w:jc w:val="center"/>
        </w:trPr>
        <w:tc>
          <w:tcPr>
            <w:tcW w:w="2117" w:type="dxa"/>
            <w:shd w:val="clear" w:color="auto" w:fill="auto"/>
            <w:vAlign w:val="center"/>
          </w:tcPr>
          <w:p w14:paraId="7E9E440B" w14:textId="77777777" w:rsidR="006B4107" w:rsidRDefault="004E70C7">
            <w:pPr>
              <w:ind w:firstLineChars="100" w:firstLine="160"/>
              <w:jc w:val="both"/>
              <w:rPr>
                <w:color w:val="000000"/>
                <w:sz w:val="16"/>
                <w:szCs w:val="16"/>
              </w:rPr>
            </w:pPr>
            <w:r>
              <w:rPr>
                <w:color w:val="000000"/>
                <w:sz w:val="16"/>
                <w:szCs w:val="16"/>
              </w:rPr>
              <w:t>财务费用</w:t>
            </w:r>
          </w:p>
        </w:tc>
        <w:tc>
          <w:tcPr>
            <w:tcW w:w="1417" w:type="dxa"/>
            <w:shd w:val="clear" w:color="auto" w:fill="auto"/>
            <w:vAlign w:val="center"/>
          </w:tcPr>
          <w:p w14:paraId="18A543B9" w14:textId="77777777" w:rsidR="006B4107" w:rsidRDefault="004E70C7">
            <w:pPr>
              <w:jc w:val="right"/>
              <w:rPr>
                <w:color w:val="000000"/>
                <w:sz w:val="16"/>
                <w:szCs w:val="16"/>
                <w:lang w:bidi="ar"/>
              </w:rPr>
            </w:pPr>
            <w:r>
              <w:rPr>
                <w:color w:val="000000"/>
                <w:sz w:val="16"/>
                <w:szCs w:val="16"/>
                <w:lang w:bidi="ar"/>
              </w:rPr>
              <w:t xml:space="preserve">0.00 </w:t>
            </w:r>
          </w:p>
        </w:tc>
        <w:tc>
          <w:tcPr>
            <w:tcW w:w="1418" w:type="dxa"/>
            <w:shd w:val="clear" w:color="auto" w:fill="auto"/>
            <w:vAlign w:val="center"/>
          </w:tcPr>
          <w:p w14:paraId="1723CF13" w14:textId="77777777" w:rsidR="006B4107" w:rsidRDefault="004E70C7">
            <w:pPr>
              <w:jc w:val="right"/>
              <w:rPr>
                <w:color w:val="000000"/>
                <w:sz w:val="16"/>
                <w:szCs w:val="16"/>
                <w:lang w:bidi="ar"/>
              </w:rPr>
            </w:pPr>
            <w:r>
              <w:rPr>
                <w:rFonts w:hint="eastAsia"/>
                <w:color w:val="000000"/>
                <w:sz w:val="16"/>
                <w:szCs w:val="16"/>
              </w:rPr>
              <w:t>0.00</w:t>
            </w:r>
            <w:r>
              <w:rPr>
                <w:color w:val="000000"/>
                <w:sz w:val="16"/>
                <w:szCs w:val="16"/>
                <w:lang w:bidi="ar"/>
              </w:rPr>
              <w:t xml:space="preserve"> </w:t>
            </w:r>
          </w:p>
        </w:tc>
        <w:tc>
          <w:tcPr>
            <w:tcW w:w="1275" w:type="dxa"/>
            <w:shd w:val="clear" w:color="auto" w:fill="auto"/>
            <w:vAlign w:val="center"/>
          </w:tcPr>
          <w:p w14:paraId="53CBCE96" w14:textId="77777777" w:rsidR="006B4107" w:rsidRDefault="004E70C7">
            <w:pPr>
              <w:jc w:val="right"/>
              <w:rPr>
                <w:color w:val="000000"/>
                <w:sz w:val="16"/>
                <w:szCs w:val="16"/>
                <w:lang w:bidi="ar"/>
              </w:rPr>
            </w:pPr>
            <w:r>
              <w:rPr>
                <w:color w:val="000000"/>
                <w:sz w:val="16"/>
                <w:szCs w:val="16"/>
                <w:lang w:bidi="ar"/>
              </w:rPr>
              <w:t xml:space="preserve">-115,787.80 </w:t>
            </w:r>
          </w:p>
        </w:tc>
        <w:tc>
          <w:tcPr>
            <w:tcW w:w="1418" w:type="dxa"/>
            <w:shd w:val="clear" w:color="auto" w:fill="auto"/>
            <w:vAlign w:val="center"/>
          </w:tcPr>
          <w:p w14:paraId="4CC143A8" w14:textId="77777777" w:rsidR="006B4107" w:rsidRDefault="004E70C7">
            <w:pPr>
              <w:jc w:val="right"/>
              <w:rPr>
                <w:color w:val="000000"/>
                <w:sz w:val="16"/>
                <w:szCs w:val="16"/>
                <w:lang w:bidi="ar"/>
              </w:rPr>
            </w:pPr>
            <w:r>
              <w:rPr>
                <w:color w:val="000000"/>
                <w:sz w:val="16"/>
                <w:szCs w:val="16"/>
                <w:lang w:bidi="ar"/>
              </w:rPr>
              <w:t xml:space="preserve">-1,748.63 </w:t>
            </w:r>
          </w:p>
        </w:tc>
        <w:tc>
          <w:tcPr>
            <w:tcW w:w="1559" w:type="dxa"/>
            <w:shd w:val="clear" w:color="auto" w:fill="auto"/>
            <w:vAlign w:val="center"/>
          </w:tcPr>
          <w:p w14:paraId="2D4D64D7" w14:textId="77777777" w:rsidR="006B4107" w:rsidRDefault="004E70C7">
            <w:pPr>
              <w:jc w:val="right"/>
              <w:rPr>
                <w:color w:val="000000"/>
                <w:sz w:val="16"/>
                <w:szCs w:val="16"/>
                <w:lang w:bidi="ar"/>
              </w:rPr>
            </w:pPr>
            <w:r>
              <w:rPr>
                <w:color w:val="000000"/>
                <w:sz w:val="16"/>
                <w:szCs w:val="16"/>
                <w:lang w:bidi="ar"/>
              </w:rPr>
              <w:t xml:space="preserve">-117,536.43 </w:t>
            </w:r>
          </w:p>
        </w:tc>
      </w:tr>
      <w:tr w:rsidR="006B4107" w14:paraId="36CE483D" w14:textId="77777777">
        <w:trPr>
          <w:trHeight w:hRule="exact" w:val="454"/>
          <w:jc w:val="center"/>
        </w:trPr>
        <w:tc>
          <w:tcPr>
            <w:tcW w:w="2117" w:type="dxa"/>
            <w:shd w:val="clear" w:color="auto" w:fill="auto"/>
            <w:vAlign w:val="center"/>
          </w:tcPr>
          <w:p w14:paraId="79D65BCB" w14:textId="77777777" w:rsidR="006B4107" w:rsidRDefault="004E70C7">
            <w:pPr>
              <w:ind w:firstLineChars="100" w:firstLine="160"/>
              <w:jc w:val="both"/>
              <w:rPr>
                <w:color w:val="000000"/>
                <w:sz w:val="16"/>
                <w:szCs w:val="16"/>
              </w:rPr>
            </w:pPr>
            <w:r>
              <w:rPr>
                <w:color w:val="000000"/>
                <w:sz w:val="16"/>
                <w:szCs w:val="16"/>
              </w:rPr>
              <w:t>资产减值损失</w:t>
            </w:r>
          </w:p>
        </w:tc>
        <w:tc>
          <w:tcPr>
            <w:tcW w:w="1417" w:type="dxa"/>
            <w:shd w:val="clear" w:color="auto" w:fill="auto"/>
            <w:vAlign w:val="center"/>
          </w:tcPr>
          <w:p w14:paraId="2F8C6BD0" w14:textId="77777777" w:rsidR="006B4107" w:rsidRDefault="004E70C7">
            <w:pPr>
              <w:jc w:val="right"/>
              <w:rPr>
                <w:color w:val="000000"/>
                <w:sz w:val="16"/>
                <w:szCs w:val="16"/>
                <w:lang w:bidi="ar"/>
              </w:rPr>
            </w:pPr>
            <w:r>
              <w:rPr>
                <w:color w:val="000000"/>
                <w:sz w:val="16"/>
                <w:szCs w:val="16"/>
                <w:lang w:bidi="ar"/>
              </w:rPr>
              <w:t xml:space="preserve">0.00 </w:t>
            </w:r>
          </w:p>
        </w:tc>
        <w:tc>
          <w:tcPr>
            <w:tcW w:w="1418" w:type="dxa"/>
            <w:shd w:val="clear" w:color="auto" w:fill="auto"/>
            <w:vAlign w:val="center"/>
          </w:tcPr>
          <w:p w14:paraId="3910E826" w14:textId="77777777" w:rsidR="006B4107" w:rsidRDefault="004E70C7">
            <w:pPr>
              <w:jc w:val="right"/>
              <w:rPr>
                <w:color w:val="000000"/>
                <w:sz w:val="16"/>
                <w:szCs w:val="16"/>
                <w:lang w:bidi="ar"/>
              </w:rPr>
            </w:pPr>
            <w:r>
              <w:rPr>
                <w:rFonts w:hint="eastAsia"/>
                <w:color w:val="000000"/>
                <w:sz w:val="16"/>
                <w:szCs w:val="16"/>
              </w:rPr>
              <w:t>0.00</w:t>
            </w:r>
            <w:r>
              <w:rPr>
                <w:color w:val="000000"/>
                <w:sz w:val="16"/>
                <w:szCs w:val="16"/>
                <w:lang w:bidi="ar"/>
              </w:rPr>
              <w:t xml:space="preserve"> </w:t>
            </w:r>
          </w:p>
        </w:tc>
        <w:tc>
          <w:tcPr>
            <w:tcW w:w="1275" w:type="dxa"/>
            <w:shd w:val="clear" w:color="auto" w:fill="auto"/>
            <w:vAlign w:val="center"/>
          </w:tcPr>
          <w:p w14:paraId="58A6CE9F" w14:textId="77777777" w:rsidR="006B4107" w:rsidRDefault="004E70C7">
            <w:pPr>
              <w:jc w:val="right"/>
              <w:rPr>
                <w:color w:val="000000"/>
                <w:sz w:val="16"/>
                <w:szCs w:val="16"/>
                <w:lang w:bidi="ar"/>
              </w:rPr>
            </w:pPr>
            <w:r>
              <w:rPr>
                <w:color w:val="000000"/>
                <w:sz w:val="16"/>
                <w:szCs w:val="16"/>
                <w:lang w:bidi="ar"/>
              </w:rPr>
              <w:t xml:space="preserve">0.00 </w:t>
            </w:r>
          </w:p>
        </w:tc>
        <w:tc>
          <w:tcPr>
            <w:tcW w:w="1418" w:type="dxa"/>
            <w:shd w:val="clear" w:color="auto" w:fill="auto"/>
            <w:vAlign w:val="center"/>
          </w:tcPr>
          <w:p w14:paraId="12519B48" w14:textId="77777777" w:rsidR="006B4107" w:rsidRDefault="004E70C7">
            <w:pPr>
              <w:jc w:val="right"/>
              <w:rPr>
                <w:color w:val="000000"/>
                <w:sz w:val="16"/>
                <w:szCs w:val="16"/>
                <w:lang w:bidi="ar"/>
              </w:rPr>
            </w:pPr>
            <w:r>
              <w:rPr>
                <w:color w:val="000000"/>
                <w:sz w:val="16"/>
                <w:szCs w:val="16"/>
                <w:lang w:bidi="ar"/>
              </w:rPr>
              <w:t xml:space="preserve">0.00 </w:t>
            </w:r>
          </w:p>
        </w:tc>
        <w:tc>
          <w:tcPr>
            <w:tcW w:w="1559" w:type="dxa"/>
            <w:shd w:val="clear" w:color="auto" w:fill="auto"/>
            <w:vAlign w:val="center"/>
          </w:tcPr>
          <w:p w14:paraId="5FBED3C0" w14:textId="77777777" w:rsidR="006B4107" w:rsidRDefault="004E70C7">
            <w:pPr>
              <w:jc w:val="right"/>
              <w:rPr>
                <w:color w:val="000000"/>
                <w:sz w:val="16"/>
                <w:szCs w:val="16"/>
                <w:lang w:bidi="ar"/>
              </w:rPr>
            </w:pPr>
            <w:r>
              <w:rPr>
                <w:color w:val="000000"/>
                <w:sz w:val="16"/>
                <w:szCs w:val="16"/>
                <w:lang w:bidi="ar"/>
              </w:rPr>
              <w:t xml:space="preserve">0.00 </w:t>
            </w:r>
          </w:p>
        </w:tc>
      </w:tr>
      <w:tr w:rsidR="006B4107" w14:paraId="6E7D6D19" w14:textId="77777777">
        <w:trPr>
          <w:trHeight w:hRule="exact" w:val="454"/>
          <w:jc w:val="center"/>
        </w:trPr>
        <w:tc>
          <w:tcPr>
            <w:tcW w:w="2117" w:type="dxa"/>
            <w:shd w:val="clear" w:color="auto" w:fill="auto"/>
            <w:vAlign w:val="center"/>
          </w:tcPr>
          <w:p w14:paraId="22B61DAF" w14:textId="77777777" w:rsidR="006B4107" w:rsidRDefault="004E70C7">
            <w:pPr>
              <w:ind w:firstLineChars="100" w:firstLine="160"/>
              <w:jc w:val="both"/>
              <w:rPr>
                <w:color w:val="000000"/>
                <w:sz w:val="16"/>
                <w:szCs w:val="16"/>
              </w:rPr>
            </w:pPr>
            <w:r>
              <w:rPr>
                <w:color w:val="000000"/>
                <w:sz w:val="16"/>
                <w:szCs w:val="16"/>
              </w:rPr>
              <w:t>加：公允价值变动收益（损失以</w:t>
            </w:r>
            <w:r>
              <w:rPr>
                <w:color w:val="000000"/>
                <w:sz w:val="16"/>
                <w:szCs w:val="16"/>
              </w:rPr>
              <w:t>“-”</w:t>
            </w:r>
            <w:r>
              <w:rPr>
                <w:color w:val="000000"/>
                <w:sz w:val="16"/>
                <w:szCs w:val="16"/>
              </w:rPr>
              <w:t>号填列）</w:t>
            </w:r>
          </w:p>
        </w:tc>
        <w:tc>
          <w:tcPr>
            <w:tcW w:w="1417" w:type="dxa"/>
            <w:shd w:val="clear" w:color="auto" w:fill="auto"/>
            <w:vAlign w:val="center"/>
          </w:tcPr>
          <w:p w14:paraId="3F9D8E07" w14:textId="77777777" w:rsidR="006B4107" w:rsidRDefault="004E70C7">
            <w:pPr>
              <w:jc w:val="right"/>
              <w:rPr>
                <w:color w:val="000000"/>
                <w:sz w:val="16"/>
                <w:szCs w:val="16"/>
                <w:lang w:bidi="ar"/>
              </w:rPr>
            </w:pPr>
            <w:r>
              <w:rPr>
                <w:color w:val="000000"/>
                <w:sz w:val="16"/>
                <w:szCs w:val="16"/>
                <w:lang w:bidi="ar"/>
              </w:rPr>
              <w:t>0.00</w:t>
            </w:r>
          </w:p>
        </w:tc>
        <w:tc>
          <w:tcPr>
            <w:tcW w:w="1418" w:type="dxa"/>
            <w:shd w:val="clear" w:color="auto" w:fill="auto"/>
            <w:vAlign w:val="center"/>
          </w:tcPr>
          <w:p w14:paraId="1A5E7903" w14:textId="77777777" w:rsidR="006B4107" w:rsidRDefault="004E70C7">
            <w:pPr>
              <w:jc w:val="right"/>
              <w:rPr>
                <w:color w:val="000000"/>
                <w:sz w:val="16"/>
                <w:szCs w:val="16"/>
                <w:lang w:bidi="ar"/>
              </w:rPr>
            </w:pPr>
            <w:r>
              <w:rPr>
                <w:color w:val="000000"/>
                <w:sz w:val="16"/>
                <w:szCs w:val="16"/>
                <w:lang w:bidi="ar"/>
              </w:rPr>
              <w:t>0.00</w:t>
            </w:r>
          </w:p>
        </w:tc>
        <w:tc>
          <w:tcPr>
            <w:tcW w:w="1275" w:type="dxa"/>
            <w:shd w:val="clear" w:color="auto" w:fill="auto"/>
            <w:vAlign w:val="center"/>
          </w:tcPr>
          <w:p w14:paraId="35553318" w14:textId="77777777" w:rsidR="006B4107" w:rsidRDefault="004E70C7">
            <w:pPr>
              <w:jc w:val="right"/>
              <w:rPr>
                <w:color w:val="000000"/>
                <w:sz w:val="16"/>
                <w:szCs w:val="16"/>
                <w:lang w:bidi="ar"/>
              </w:rPr>
            </w:pPr>
            <w:r>
              <w:rPr>
                <w:color w:val="000000"/>
                <w:sz w:val="16"/>
                <w:szCs w:val="16"/>
                <w:lang w:bidi="ar"/>
              </w:rPr>
              <w:t>0.00</w:t>
            </w:r>
          </w:p>
        </w:tc>
        <w:tc>
          <w:tcPr>
            <w:tcW w:w="1418" w:type="dxa"/>
            <w:shd w:val="clear" w:color="auto" w:fill="auto"/>
            <w:vAlign w:val="center"/>
          </w:tcPr>
          <w:p w14:paraId="2095F2BE" w14:textId="77777777" w:rsidR="006B4107" w:rsidRDefault="004E70C7">
            <w:pPr>
              <w:jc w:val="right"/>
              <w:rPr>
                <w:color w:val="000000"/>
                <w:sz w:val="16"/>
                <w:szCs w:val="16"/>
                <w:lang w:bidi="ar"/>
              </w:rPr>
            </w:pPr>
            <w:r>
              <w:rPr>
                <w:color w:val="000000"/>
                <w:sz w:val="16"/>
                <w:szCs w:val="16"/>
                <w:lang w:bidi="ar"/>
              </w:rPr>
              <w:t>0.00</w:t>
            </w:r>
          </w:p>
        </w:tc>
        <w:tc>
          <w:tcPr>
            <w:tcW w:w="1559" w:type="dxa"/>
            <w:shd w:val="clear" w:color="auto" w:fill="auto"/>
            <w:vAlign w:val="center"/>
          </w:tcPr>
          <w:p w14:paraId="338E2064" w14:textId="77777777" w:rsidR="006B4107" w:rsidRDefault="004E70C7">
            <w:pPr>
              <w:jc w:val="right"/>
              <w:rPr>
                <w:color w:val="000000"/>
                <w:sz w:val="16"/>
                <w:szCs w:val="16"/>
                <w:lang w:bidi="ar"/>
              </w:rPr>
            </w:pPr>
            <w:r>
              <w:rPr>
                <w:color w:val="000000"/>
                <w:sz w:val="16"/>
                <w:szCs w:val="16"/>
                <w:lang w:bidi="ar"/>
              </w:rPr>
              <w:t>0.00</w:t>
            </w:r>
          </w:p>
        </w:tc>
      </w:tr>
      <w:tr w:rsidR="006B4107" w14:paraId="68356AE2" w14:textId="77777777">
        <w:trPr>
          <w:trHeight w:hRule="exact" w:val="454"/>
          <w:jc w:val="center"/>
        </w:trPr>
        <w:tc>
          <w:tcPr>
            <w:tcW w:w="2117" w:type="dxa"/>
            <w:shd w:val="clear" w:color="auto" w:fill="auto"/>
            <w:vAlign w:val="center"/>
          </w:tcPr>
          <w:p w14:paraId="5CCF50F1" w14:textId="77777777" w:rsidR="006B4107" w:rsidRDefault="004E70C7">
            <w:pPr>
              <w:ind w:firstLineChars="100" w:firstLine="160"/>
              <w:jc w:val="both"/>
              <w:rPr>
                <w:color w:val="000000"/>
                <w:sz w:val="16"/>
                <w:szCs w:val="16"/>
              </w:rPr>
            </w:pPr>
            <w:r>
              <w:rPr>
                <w:color w:val="000000"/>
                <w:sz w:val="16"/>
                <w:szCs w:val="16"/>
              </w:rPr>
              <w:t>投资收益（损失以</w:t>
            </w:r>
            <w:r>
              <w:rPr>
                <w:color w:val="000000"/>
                <w:sz w:val="16"/>
                <w:szCs w:val="16"/>
              </w:rPr>
              <w:t>“-”</w:t>
            </w:r>
            <w:r>
              <w:rPr>
                <w:color w:val="000000"/>
                <w:sz w:val="16"/>
                <w:szCs w:val="16"/>
              </w:rPr>
              <w:t>号填列）</w:t>
            </w:r>
          </w:p>
        </w:tc>
        <w:tc>
          <w:tcPr>
            <w:tcW w:w="1417" w:type="dxa"/>
            <w:shd w:val="clear" w:color="auto" w:fill="auto"/>
            <w:vAlign w:val="center"/>
          </w:tcPr>
          <w:p w14:paraId="186106F1" w14:textId="77777777" w:rsidR="006B4107" w:rsidRDefault="004E70C7">
            <w:pPr>
              <w:jc w:val="right"/>
              <w:rPr>
                <w:color w:val="000000"/>
                <w:sz w:val="16"/>
                <w:szCs w:val="16"/>
                <w:lang w:bidi="ar"/>
              </w:rPr>
            </w:pPr>
            <w:r>
              <w:rPr>
                <w:color w:val="000000"/>
                <w:sz w:val="16"/>
                <w:szCs w:val="16"/>
                <w:lang w:bidi="ar"/>
              </w:rPr>
              <w:t>0.00</w:t>
            </w:r>
          </w:p>
        </w:tc>
        <w:tc>
          <w:tcPr>
            <w:tcW w:w="1418" w:type="dxa"/>
            <w:shd w:val="clear" w:color="auto" w:fill="auto"/>
            <w:vAlign w:val="center"/>
          </w:tcPr>
          <w:p w14:paraId="5D5419C6" w14:textId="77777777" w:rsidR="006B4107" w:rsidRDefault="004E70C7">
            <w:pPr>
              <w:jc w:val="right"/>
              <w:rPr>
                <w:color w:val="000000"/>
                <w:sz w:val="16"/>
                <w:szCs w:val="16"/>
                <w:lang w:bidi="ar"/>
              </w:rPr>
            </w:pPr>
            <w:r>
              <w:rPr>
                <w:color w:val="000000"/>
                <w:sz w:val="16"/>
                <w:szCs w:val="16"/>
                <w:lang w:bidi="ar"/>
              </w:rPr>
              <w:t>0.00</w:t>
            </w:r>
          </w:p>
        </w:tc>
        <w:tc>
          <w:tcPr>
            <w:tcW w:w="1275" w:type="dxa"/>
            <w:shd w:val="clear" w:color="auto" w:fill="auto"/>
            <w:vAlign w:val="center"/>
          </w:tcPr>
          <w:p w14:paraId="7E6DB30B" w14:textId="77777777" w:rsidR="006B4107" w:rsidRDefault="004E70C7">
            <w:pPr>
              <w:jc w:val="right"/>
              <w:rPr>
                <w:color w:val="000000"/>
                <w:sz w:val="16"/>
                <w:szCs w:val="16"/>
                <w:lang w:bidi="ar"/>
              </w:rPr>
            </w:pPr>
            <w:r>
              <w:rPr>
                <w:color w:val="000000"/>
                <w:sz w:val="16"/>
                <w:szCs w:val="16"/>
                <w:lang w:bidi="ar"/>
              </w:rPr>
              <w:t>0.00</w:t>
            </w:r>
          </w:p>
        </w:tc>
        <w:tc>
          <w:tcPr>
            <w:tcW w:w="1418" w:type="dxa"/>
            <w:shd w:val="clear" w:color="auto" w:fill="auto"/>
            <w:vAlign w:val="center"/>
          </w:tcPr>
          <w:p w14:paraId="517A9F56" w14:textId="77777777" w:rsidR="006B4107" w:rsidRDefault="004E70C7">
            <w:pPr>
              <w:jc w:val="right"/>
              <w:rPr>
                <w:color w:val="000000"/>
                <w:sz w:val="16"/>
                <w:szCs w:val="16"/>
                <w:lang w:bidi="ar"/>
              </w:rPr>
            </w:pPr>
            <w:r>
              <w:rPr>
                <w:color w:val="000000"/>
                <w:sz w:val="16"/>
                <w:szCs w:val="16"/>
                <w:lang w:bidi="ar"/>
              </w:rPr>
              <w:t>0.00</w:t>
            </w:r>
          </w:p>
        </w:tc>
        <w:tc>
          <w:tcPr>
            <w:tcW w:w="1559" w:type="dxa"/>
            <w:shd w:val="clear" w:color="auto" w:fill="auto"/>
            <w:vAlign w:val="center"/>
          </w:tcPr>
          <w:p w14:paraId="683F8746" w14:textId="77777777" w:rsidR="006B4107" w:rsidRDefault="004E70C7">
            <w:pPr>
              <w:jc w:val="right"/>
              <w:rPr>
                <w:color w:val="000000"/>
                <w:sz w:val="16"/>
                <w:szCs w:val="16"/>
                <w:lang w:bidi="ar"/>
              </w:rPr>
            </w:pPr>
            <w:r>
              <w:rPr>
                <w:color w:val="000000"/>
                <w:sz w:val="16"/>
                <w:szCs w:val="16"/>
                <w:lang w:bidi="ar"/>
              </w:rPr>
              <w:t>0.00</w:t>
            </w:r>
          </w:p>
        </w:tc>
      </w:tr>
      <w:tr w:rsidR="006B4107" w14:paraId="472F3639" w14:textId="77777777">
        <w:trPr>
          <w:trHeight w:hRule="exact" w:val="454"/>
          <w:jc w:val="center"/>
        </w:trPr>
        <w:tc>
          <w:tcPr>
            <w:tcW w:w="2117" w:type="dxa"/>
            <w:shd w:val="clear" w:color="auto" w:fill="auto"/>
            <w:vAlign w:val="center"/>
          </w:tcPr>
          <w:p w14:paraId="645253DD" w14:textId="77777777" w:rsidR="006B4107" w:rsidRDefault="004E70C7">
            <w:pPr>
              <w:ind w:firstLineChars="100" w:firstLine="160"/>
              <w:jc w:val="both"/>
              <w:rPr>
                <w:color w:val="000000"/>
                <w:sz w:val="16"/>
                <w:szCs w:val="16"/>
              </w:rPr>
            </w:pPr>
            <w:r>
              <w:rPr>
                <w:color w:val="000000"/>
                <w:sz w:val="16"/>
                <w:szCs w:val="16"/>
              </w:rPr>
              <w:t>其中：对联营企业和合营企业的投资收益</w:t>
            </w:r>
          </w:p>
        </w:tc>
        <w:tc>
          <w:tcPr>
            <w:tcW w:w="1417" w:type="dxa"/>
            <w:shd w:val="clear" w:color="auto" w:fill="auto"/>
            <w:vAlign w:val="center"/>
          </w:tcPr>
          <w:p w14:paraId="4568377A" w14:textId="77777777" w:rsidR="006B4107" w:rsidRDefault="004E70C7">
            <w:pPr>
              <w:jc w:val="right"/>
              <w:rPr>
                <w:color w:val="000000"/>
                <w:sz w:val="16"/>
                <w:szCs w:val="16"/>
                <w:lang w:bidi="ar"/>
              </w:rPr>
            </w:pPr>
            <w:r>
              <w:rPr>
                <w:color w:val="000000"/>
                <w:sz w:val="16"/>
                <w:szCs w:val="16"/>
                <w:lang w:bidi="ar"/>
              </w:rPr>
              <w:t>0.00</w:t>
            </w:r>
          </w:p>
        </w:tc>
        <w:tc>
          <w:tcPr>
            <w:tcW w:w="1418" w:type="dxa"/>
            <w:shd w:val="clear" w:color="auto" w:fill="auto"/>
            <w:vAlign w:val="center"/>
          </w:tcPr>
          <w:p w14:paraId="4A251644" w14:textId="77777777" w:rsidR="006B4107" w:rsidRDefault="004E70C7">
            <w:pPr>
              <w:jc w:val="right"/>
              <w:rPr>
                <w:color w:val="000000"/>
                <w:sz w:val="16"/>
                <w:szCs w:val="16"/>
                <w:lang w:bidi="ar"/>
              </w:rPr>
            </w:pPr>
            <w:r>
              <w:rPr>
                <w:color w:val="000000"/>
                <w:sz w:val="16"/>
                <w:szCs w:val="16"/>
                <w:lang w:bidi="ar"/>
              </w:rPr>
              <w:t>0.00</w:t>
            </w:r>
          </w:p>
        </w:tc>
        <w:tc>
          <w:tcPr>
            <w:tcW w:w="1275" w:type="dxa"/>
            <w:shd w:val="clear" w:color="auto" w:fill="auto"/>
            <w:vAlign w:val="center"/>
          </w:tcPr>
          <w:p w14:paraId="0BD40B78" w14:textId="77777777" w:rsidR="006B4107" w:rsidRDefault="004E70C7">
            <w:pPr>
              <w:jc w:val="right"/>
              <w:rPr>
                <w:color w:val="000000"/>
                <w:sz w:val="16"/>
                <w:szCs w:val="16"/>
                <w:lang w:bidi="ar"/>
              </w:rPr>
            </w:pPr>
            <w:r>
              <w:rPr>
                <w:color w:val="000000"/>
                <w:sz w:val="16"/>
                <w:szCs w:val="16"/>
                <w:lang w:bidi="ar"/>
              </w:rPr>
              <w:t>0.00</w:t>
            </w:r>
          </w:p>
        </w:tc>
        <w:tc>
          <w:tcPr>
            <w:tcW w:w="1418" w:type="dxa"/>
            <w:shd w:val="clear" w:color="auto" w:fill="auto"/>
            <w:vAlign w:val="center"/>
          </w:tcPr>
          <w:p w14:paraId="60C8A91F" w14:textId="77777777" w:rsidR="006B4107" w:rsidRDefault="004E70C7">
            <w:pPr>
              <w:jc w:val="right"/>
              <w:rPr>
                <w:color w:val="000000"/>
                <w:sz w:val="16"/>
                <w:szCs w:val="16"/>
                <w:lang w:bidi="ar"/>
              </w:rPr>
            </w:pPr>
            <w:r>
              <w:rPr>
                <w:color w:val="000000"/>
                <w:sz w:val="16"/>
                <w:szCs w:val="16"/>
                <w:lang w:bidi="ar"/>
              </w:rPr>
              <w:t>0.00</w:t>
            </w:r>
          </w:p>
        </w:tc>
        <w:tc>
          <w:tcPr>
            <w:tcW w:w="1559" w:type="dxa"/>
            <w:shd w:val="clear" w:color="auto" w:fill="auto"/>
            <w:vAlign w:val="center"/>
          </w:tcPr>
          <w:p w14:paraId="0D0D02C0" w14:textId="77777777" w:rsidR="006B4107" w:rsidRDefault="004E70C7">
            <w:pPr>
              <w:jc w:val="right"/>
              <w:rPr>
                <w:color w:val="000000"/>
                <w:sz w:val="16"/>
                <w:szCs w:val="16"/>
                <w:lang w:bidi="ar"/>
              </w:rPr>
            </w:pPr>
            <w:r>
              <w:rPr>
                <w:color w:val="000000"/>
                <w:sz w:val="16"/>
                <w:szCs w:val="16"/>
                <w:lang w:bidi="ar"/>
              </w:rPr>
              <w:t>0.00</w:t>
            </w:r>
          </w:p>
        </w:tc>
      </w:tr>
      <w:tr w:rsidR="006B4107" w14:paraId="69B22374" w14:textId="77777777">
        <w:trPr>
          <w:trHeight w:hRule="exact" w:val="454"/>
          <w:jc w:val="center"/>
        </w:trPr>
        <w:tc>
          <w:tcPr>
            <w:tcW w:w="2117" w:type="dxa"/>
            <w:shd w:val="clear" w:color="auto" w:fill="auto"/>
            <w:vAlign w:val="center"/>
          </w:tcPr>
          <w:p w14:paraId="79400491" w14:textId="77777777" w:rsidR="006B4107" w:rsidRDefault="004E70C7">
            <w:pPr>
              <w:jc w:val="both"/>
              <w:rPr>
                <w:color w:val="000000"/>
                <w:sz w:val="16"/>
                <w:szCs w:val="16"/>
              </w:rPr>
            </w:pPr>
            <w:r>
              <w:rPr>
                <w:color w:val="000000"/>
                <w:sz w:val="16"/>
                <w:szCs w:val="16"/>
              </w:rPr>
              <w:t>补贴收入</w:t>
            </w:r>
          </w:p>
        </w:tc>
        <w:tc>
          <w:tcPr>
            <w:tcW w:w="1417" w:type="dxa"/>
            <w:shd w:val="clear" w:color="auto" w:fill="auto"/>
            <w:vAlign w:val="center"/>
          </w:tcPr>
          <w:p w14:paraId="27FC230B" w14:textId="77777777" w:rsidR="006B4107" w:rsidRDefault="004E70C7">
            <w:pPr>
              <w:jc w:val="right"/>
              <w:rPr>
                <w:color w:val="000000"/>
                <w:sz w:val="16"/>
                <w:szCs w:val="16"/>
                <w:lang w:bidi="ar"/>
              </w:rPr>
            </w:pPr>
            <w:r>
              <w:rPr>
                <w:color w:val="000000"/>
                <w:sz w:val="16"/>
                <w:szCs w:val="16"/>
                <w:lang w:bidi="ar"/>
              </w:rPr>
              <w:t>0.00</w:t>
            </w:r>
          </w:p>
        </w:tc>
        <w:tc>
          <w:tcPr>
            <w:tcW w:w="1418" w:type="dxa"/>
            <w:shd w:val="clear" w:color="auto" w:fill="auto"/>
            <w:vAlign w:val="center"/>
          </w:tcPr>
          <w:p w14:paraId="0ED913EC" w14:textId="77777777" w:rsidR="006B4107" w:rsidRDefault="004E70C7">
            <w:pPr>
              <w:jc w:val="right"/>
              <w:rPr>
                <w:color w:val="000000"/>
                <w:sz w:val="16"/>
                <w:szCs w:val="16"/>
                <w:lang w:bidi="ar"/>
              </w:rPr>
            </w:pPr>
            <w:r>
              <w:rPr>
                <w:color w:val="000000"/>
                <w:sz w:val="16"/>
                <w:szCs w:val="16"/>
                <w:lang w:bidi="ar"/>
              </w:rPr>
              <w:t>0.00</w:t>
            </w:r>
          </w:p>
        </w:tc>
        <w:tc>
          <w:tcPr>
            <w:tcW w:w="1275" w:type="dxa"/>
            <w:shd w:val="clear" w:color="auto" w:fill="auto"/>
            <w:vAlign w:val="center"/>
          </w:tcPr>
          <w:p w14:paraId="38DDFDAE" w14:textId="77777777" w:rsidR="006B4107" w:rsidRDefault="004E70C7">
            <w:pPr>
              <w:jc w:val="right"/>
              <w:rPr>
                <w:color w:val="000000"/>
                <w:sz w:val="16"/>
                <w:szCs w:val="16"/>
                <w:lang w:bidi="ar"/>
              </w:rPr>
            </w:pPr>
            <w:r>
              <w:rPr>
                <w:color w:val="000000"/>
                <w:sz w:val="16"/>
                <w:szCs w:val="16"/>
                <w:lang w:bidi="ar"/>
              </w:rPr>
              <w:t>0.00</w:t>
            </w:r>
          </w:p>
        </w:tc>
        <w:tc>
          <w:tcPr>
            <w:tcW w:w="1418" w:type="dxa"/>
            <w:shd w:val="clear" w:color="auto" w:fill="auto"/>
            <w:vAlign w:val="center"/>
          </w:tcPr>
          <w:p w14:paraId="3759D7D9" w14:textId="77777777" w:rsidR="006B4107" w:rsidRDefault="004E70C7">
            <w:pPr>
              <w:jc w:val="right"/>
              <w:rPr>
                <w:color w:val="000000"/>
                <w:sz w:val="16"/>
                <w:szCs w:val="16"/>
                <w:lang w:bidi="ar"/>
              </w:rPr>
            </w:pPr>
            <w:r>
              <w:rPr>
                <w:color w:val="000000"/>
                <w:sz w:val="16"/>
                <w:szCs w:val="16"/>
                <w:lang w:bidi="ar"/>
              </w:rPr>
              <w:t>0.00</w:t>
            </w:r>
          </w:p>
        </w:tc>
        <w:tc>
          <w:tcPr>
            <w:tcW w:w="1559" w:type="dxa"/>
            <w:shd w:val="clear" w:color="auto" w:fill="auto"/>
            <w:vAlign w:val="center"/>
          </w:tcPr>
          <w:p w14:paraId="0CBA7F4B" w14:textId="77777777" w:rsidR="006B4107" w:rsidRDefault="004E70C7">
            <w:pPr>
              <w:jc w:val="right"/>
              <w:rPr>
                <w:color w:val="000000"/>
                <w:sz w:val="16"/>
                <w:szCs w:val="16"/>
                <w:lang w:bidi="ar"/>
              </w:rPr>
            </w:pPr>
            <w:r>
              <w:rPr>
                <w:color w:val="000000"/>
                <w:sz w:val="16"/>
                <w:szCs w:val="16"/>
                <w:lang w:bidi="ar"/>
              </w:rPr>
              <w:t>0.00</w:t>
            </w:r>
          </w:p>
        </w:tc>
      </w:tr>
      <w:tr w:rsidR="006B4107" w14:paraId="109E93CE" w14:textId="77777777">
        <w:trPr>
          <w:trHeight w:hRule="exact" w:val="454"/>
          <w:jc w:val="center"/>
        </w:trPr>
        <w:tc>
          <w:tcPr>
            <w:tcW w:w="2117" w:type="dxa"/>
            <w:shd w:val="clear" w:color="auto" w:fill="auto"/>
            <w:vAlign w:val="center"/>
          </w:tcPr>
          <w:p w14:paraId="720716B8" w14:textId="77777777" w:rsidR="006B4107" w:rsidRDefault="004E70C7">
            <w:pPr>
              <w:jc w:val="both"/>
              <w:rPr>
                <w:color w:val="000000"/>
                <w:sz w:val="16"/>
                <w:szCs w:val="16"/>
              </w:rPr>
            </w:pPr>
            <w:r>
              <w:rPr>
                <w:color w:val="000000"/>
                <w:sz w:val="16"/>
                <w:szCs w:val="16"/>
              </w:rPr>
              <w:t>二、营业利润（亏损以</w:t>
            </w:r>
            <w:r>
              <w:rPr>
                <w:color w:val="000000"/>
                <w:sz w:val="16"/>
                <w:szCs w:val="16"/>
              </w:rPr>
              <w:t>“-”</w:t>
            </w:r>
            <w:r>
              <w:rPr>
                <w:color w:val="000000"/>
                <w:sz w:val="16"/>
                <w:szCs w:val="16"/>
              </w:rPr>
              <w:t>号填列）</w:t>
            </w:r>
          </w:p>
        </w:tc>
        <w:tc>
          <w:tcPr>
            <w:tcW w:w="1417" w:type="dxa"/>
            <w:shd w:val="clear" w:color="auto" w:fill="auto"/>
            <w:vAlign w:val="center"/>
          </w:tcPr>
          <w:p w14:paraId="14FF7B2C" w14:textId="77777777" w:rsidR="006B4107" w:rsidRDefault="004E70C7">
            <w:pPr>
              <w:jc w:val="right"/>
              <w:rPr>
                <w:color w:val="000000"/>
                <w:sz w:val="16"/>
                <w:szCs w:val="16"/>
                <w:lang w:bidi="ar"/>
              </w:rPr>
            </w:pPr>
            <w:r>
              <w:rPr>
                <w:color w:val="000000"/>
                <w:sz w:val="16"/>
                <w:szCs w:val="16"/>
                <w:lang w:bidi="ar"/>
              </w:rPr>
              <w:t xml:space="preserve">0.00 </w:t>
            </w:r>
          </w:p>
        </w:tc>
        <w:tc>
          <w:tcPr>
            <w:tcW w:w="1418" w:type="dxa"/>
            <w:shd w:val="clear" w:color="auto" w:fill="auto"/>
            <w:vAlign w:val="center"/>
          </w:tcPr>
          <w:p w14:paraId="2824F0DF" w14:textId="77777777" w:rsidR="006B4107" w:rsidRDefault="004E70C7">
            <w:pPr>
              <w:jc w:val="right"/>
              <w:rPr>
                <w:color w:val="000000"/>
                <w:sz w:val="16"/>
                <w:szCs w:val="16"/>
                <w:lang w:bidi="ar"/>
              </w:rPr>
            </w:pPr>
            <w:r>
              <w:rPr>
                <w:rFonts w:hint="eastAsia"/>
                <w:color w:val="000000"/>
                <w:sz w:val="16"/>
                <w:szCs w:val="16"/>
              </w:rPr>
              <w:t>0.00</w:t>
            </w:r>
            <w:r>
              <w:rPr>
                <w:color w:val="000000"/>
                <w:sz w:val="16"/>
                <w:szCs w:val="16"/>
                <w:lang w:bidi="ar"/>
              </w:rPr>
              <w:t xml:space="preserve"> </w:t>
            </w:r>
          </w:p>
        </w:tc>
        <w:tc>
          <w:tcPr>
            <w:tcW w:w="1275" w:type="dxa"/>
            <w:shd w:val="clear" w:color="auto" w:fill="auto"/>
            <w:vAlign w:val="center"/>
          </w:tcPr>
          <w:p w14:paraId="2C396318" w14:textId="77777777" w:rsidR="006B4107" w:rsidRDefault="004E70C7">
            <w:pPr>
              <w:jc w:val="right"/>
              <w:rPr>
                <w:color w:val="000000"/>
                <w:sz w:val="16"/>
                <w:szCs w:val="16"/>
                <w:lang w:bidi="ar"/>
              </w:rPr>
            </w:pPr>
            <w:r>
              <w:rPr>
                <w:color w:val="000000"/>
                <w:sz w:val="16"/>
                <w:szCs w:val="16"/>
                <w:lang w:bidi="ar"/>
              </w:rPr>
              <w:t xml:space="preserve">1,782,512.01 </w:t>
            </w:r>
          </w:p>
        </w:tc>
        <w:tc>
          <w:tcPr>
            <w:tcW w:w="1418" w:type="dxa"/>
            <w:shd w:val="clear" w:color="auto" w:fill="auto"/>
            <w:vAlign w:val="center"/>
          </w:tcPr>
          <w:p w14:paraId="309B5F85" w14:textId="77777777" w:rsidR="006B4107" w:rsidRDefault="004E70C7">
            <w:pPr>
              <w:jc w:val="right"/>
              <w:rPr>
                <w:color w:val="000000"/>
                <w:sz w:val="16"/>
                <w:szCs w:val="16"/>
                <w:lang w:bidi="ar"/>
              </w:rPr>
            </w:pPr>
            <w:r>
              <w:rPr>
                <w:color w:val="000000"/>
                <w:sz w:val="16"/>
                <w:szCs w:val="16"/>
                <w:lang w:bidi="ar"/>
              </w:rPr>
              <w:t xml:space="preserve">26,919.51 </w:t>
            </w:r>
          </w:p>
        </w:tc>
        <w:tc>
          <w:tcPr>
            <w:tcW w:w="1559" w:type="dxa"/>
            <w:shd w:val="clear" w:color="auto" w:fill="auto"/>
            <w:vAlign w:val="center"/>
          </w:tcPr>
          <w:p w14:paraId="53AC35F3" w14:textId="77777777" w:rsidR="006B4107" w:rsidRDefault="004E70C7">
            <w:pPr>
              <w:jc w:val="right"/>
              <w:rPr>
                <w:color w:val="000000"/>
                <w:sz w:val="16"/>
                <w:szCs w:val="16"/>
                <w:lang w:bidi="ar"/>
              </w:rPr>
            </w:pPr>
            <w:r>
              <w:rPr>
                <w:color w:val="000000"/>
                <w:sz w:val="16"/>
                <w:szCs w:val="16"/>
                <w:lang w:bidi="ar"/>
              </w:rPr>
              <w:t xml:space="preserve">1,809,431.52 </w:t>
            </w:r>
          </w:p>
        </w:tc>
      </w:tr>
      <w:tr w:rsidR="006B4107" w14:paraId="7705BFCB" w14:textId="77777777">
        <w:trPr>
          <w:trHeight w:hRule="exact" w:val="454"/>
          <w:jc w:val="center"/>
        </w:trPr>
        <w:tc>
          <w:tcPr>
            <w:tcW w:w="2117" w:type="dxa"/>
            <w:shd w:val="clear" w:color="auto" w:fill="auto"/>
            <w:vAlign w:val="center"/>
          </w:tcPr>
          <w:p w14:paraId="2E990839" w14:textId="77777777" w:rsidR="006B4107" w:rsidRDefault="004E70C7">
            <w:pPr>
              <w:ind w:firstLineChars="100" w:firstLine="160"/>
              <w:jc w:val="both"/>
              <w:rPr>
                <w:color w:val="000000"/>
                <w:sz w:val="16"/>
                <w:szCs w:val="16"/>
              </w:rPr>
            </w:pPr>
            <w:r>
              <w:rPr>
                <w:rFonts w:hint="eastAsia"/>
                <w:color w:val="000000"/>
                <w:sz w:val="16"/>
                <w:szCs w:val="16"/>
              </w:rPr>
              <w:t>加：营业外收入</w:t>
            </w:r>
          </w:p>
        </w:tc>
        <w:tc>
          <w:tcPr>
            <w:tcW w:w="1417" w:type="dxa"/>
            <w:shd w:val="clear" w:color="auto" w:fill="auto"/>
            <w:vAlign w:val="center"/>
          </w:tcPr>
          <w:p w14:paraId="3FDD4A00" w14:textId="77777777" w:rsidR="006B4107" w:rsidRDefault="004E70C7">
            <w:pPr>
              <w:jc w:val="right"/>
              <w:rPr>
                <w:color w:val="000000"/>
                <w:sz w:val="16"/>
                <w:szCs w:val="16"/>
              </w:rPr>
            </w:pPr>
            <w:r>
              <w:rPr>
                <w:color w:val="000000"/>
                <w:sz w:val="16"/>
                <w:szCs w:val="16"/>
                <w:lang w:bidi="ar"/>
              </w:rPr>
              <w:t>0.00</w:t>
            </w:r>
            <w:r>
              <w:rPr>
                <w:rFonts w:hint="eastAsia"/>
                <w:color w:val="000000"/>
                <w:sz w:val="16"/>
                <w:szCs w:val="16"/>
              </w:rPr>
              <w:t xml:space="preserve">  </w:t>
            </w:r>
          </w:p>
        </w:tc>
        <w:tc>
          <w:tcPr>
            <w:tcW w:w="1418" w:type="dxa"/>
            <w:shd w:val="clear" w:color="auto" w:fill="auto"/>
            <w:vAlign w:val="center"/>
          </w:tcPr>
          <w:p w14:paraId="276CACEE" w14:textId="77777777" w:rsidR="006B4107" w:rsidRDefault="004E70C7">
            <w:pPr>
              <w:jc w:val="right"/>
              <w:rPr>
                <w:color w:val="000000"/>
                <w:sz w:val="16"/>
                <w:szCs w:val="16"/>
              </w:rPr>
            </w:pPr>
            <w:r>
              <w:rPr>
                <w:color w:val="000000"/>
                <w:sz w:val="16"/>
                <w:szCs w:val="16"/>
                <w:lang w:bidi="ar"/>
              </w:rPr>
              <w:t>0.00</w:t>
            </w:r>
            <w:r>
              <w:rPr>
                <w:rFonts w:hint="eastAsia"/>
                <w:color w:val="000000"/>
                <w:sz w:val="16"/>
                <w:szCs w:val="16"/>
              </w:rPr>
              <w:t xml:space="preserve"> </w:t>
            </w:r>
          </w:p>
        </w:tc>
        <w:tc>
          <w:tcPr>
            <w:tcW w:w="1275" w:type="dxa"/>
            <w:shd w:val="clear" w:color="auto" w:fill="auto"/>
            <w:vAlign w:val="center"/>
          </w:tcPr>
          <w:p w14:paraId="0F32F284" w14:textId="77777777" w:rsidR="006B4107" w:rsidRDefault="004E70C7">
            <w:pPr>
              <w:jc w:val="right"/>
              <w:rPr>
                <w:color w:val="000000"/>
                <w:sz w:val="16"/>
                <w:szCs w:val="16"/>
              </w:rPr>
            </w:pPr>
            <w:r>
              <w:rPr>
                <w:color w:val="000000"/>
                <w:sz w:val="16"/>
                <w:szCs w:val="16"/>
                <w:lang w:bidi="ar"/>
              </w:rPr>
              <w:t>103,440.54</w:t>
            </w:r>
            <w:r>
              <w:rPr>
                <w:rFonts w:hint="eastAsia"/>
                <w:color w:val="000000"/>
                <w:sz w:val="16"/>
                <w:szCs w:val="16"/>
              </w:rPr>
              <w:t xml:space="preserve">  </w:t>
            </w:r>
          </w:p>
        </w:tc>
        <w:tc>
          <w:tcPr>
            <w:tcW w:w="1418" w:type="dxa"/>
            <w:shd w:val="clear" w:color="auto" w:fill="auto"/>
            <w:vAlign w:val="center"/>
          </w:tcPr>
          <w:p w14:paraId="308E7371" w14:textId="77777777" w:rsidR="006B4107" w:rsidRDefault="004E70C7">
            <w:pPr>
              <w:jc w:val="right"/>
              <w:rPr>
                <w:color w:val="000000"/>
                <w:sz w:val="16"/>
                <w:szCs w:val="16"/>
              </w:rPr>
            </w:pPr>
            <w:r>
              <w:rPr>
                <w:color w:val="000000"/>
                <w:sz w:val="16"/>
                <w:szCs w:val="16"/>
              </w:rPr>
              <w:t>1,562.16</w:t>
            </w:r>
            <w:r>
              <w:rPr>
                <w:rFonts w:hint="eastAsia"/>
                <w:color w:val="000000"/>
                <w:sz w:val="16"/>
                <w:szCs w:val="16"/>
              </w:rPr>
              <w:t xml:space="preserve"> </w:t>
            </w:r>
          </w:p>
        </w:tc>
        <w:tc>
          <w:tcPr>
            <w:tcW w:w="1559" w:type="dxa"/>
            <w:shd w:val="clear" w:color="auto" w:fill="auto"/>
            <w:vAlign w:val="center"/>
          </w:tcPr>
          <w:p w14:paraId="63EF8672" w14:textId="77777777" w:rsidR="006B4107" w:rsidRDefault="004E70C7">
            <w:pPr>
              <w:jc w:val="right"/>
              <w:rPr>
                <w:color w:val="000000"/>
                <w:sz w:val="16"/>
                <w:szCs w:val="16"/>
              </w:rPr>
            </w:pPr>
            <w:r>
              <w:rPr>
                <w:color w:val="000000"/>
                <w:sz w:val="16"/>
                <w:szCs w:val="16"/>
              </w:rPr>
              <w:t>105,002.70</w:t>
            </w:r>
            <w:r>
              <w:rPr>
                <w:rFonts w:hint="eastAsia"/>
                <w:color w:val="000000"/>
                <w:sz w:val="16"/>
                <w:szCs w:val="16"/>
              </w:rPr>
              <w:t xml:space="preserve"> </w:t>
            </w:r>
          </w:p>
        </w:tc>
      </w:tr>
      <w:tr w:rsidR="006B4107" w14:paraId="560DCB45" w14:textId="77777777">
        <w:trPr>
          <w:trHeight w:hRule="exact" w:val="454"/>
          <w:jc w:val="center"/>
        </w:trPr>
        <w:tc>
          <w:tcPr>
            <w:tcW w:w="2117" w:type="dxa"/>
            <w:shd w:val="clear" w:color="auto" w:fill="auto"/>
            <w:vAlign w:val="center"/>
          </w:tcPr>
          <w:p w14:paraId="329BBCAB" w14:textId="77777777" w:rsidR="006B4107" w:rsidRDefault="004E70C7">
            <w:pPr>
              <w:ind w:firstLineChars="100" w:firstLine="160"/>
              <w:jc w:val="both"/>
              <w:rPr>
                <w:color w:val="000000"/>
                <w:sz w:val="16"/>
                <w:szCs w:val="16"/>
              </w:rPr>
            </w:pPr>
            <w:r>
              <w:rPr>
                <w:rFonts w:hint="eastAsia"/>
                <w:color w:val="000000"/>
                <w:sz w:val="16"/>
                <w:szCs w:val="16"/>
              </w:rPr>
              <w:t>减：营业外支出</w:t>
            </w:r>
          </w:p>
        </w:tc>
        <w:tc>
          <w:tcPr>
            <w:tcW w:w="1417" w:type="dxa"/>
            <w:shd w:val="clear" w:color="auto" w:fill="auto"/>
            <w:vAlign w:val="center"/>
          </w:tcPr>
          <w:p w14:paraId="1BA1B195" w14:textId="77777777" w:rsidR="006B4107" w:rsidRDefault="004E70C7">
            <w:pPr>
              <w:jc w:val="right"/>
              <w:rPr>
                <w:color w:val="000000"/>
                <w:sz w:val="16"/>
                <w:szCs w:val="16"/>
              </w:rPr>
            </w:pPr>
            <w:r>
              <w:rPr>
                <w:color w:val="000000"/>
                <w:sz w:val="16"/>
                <w:szCs w:val="16"/>
                <w:lang w:bidi="ar"/>
              </w:rPr>
              <w:t>0.00</w:t>
            </w:r>
            <w:r>
              <w:rPr>
                <w:rFonts w:hint="eastAsia"/>
                <w:color w:val="000000"/>
                <w:sz w:val="16"/>
                <w:szCs w:val="16"/>
              </w:rPr>
              <w:t xml:space="preserve">  </w:t>
            </w:r>
          </w:p>
        </w:tc>
        <w:tc>
          <w:tcPr>
            <w:tcW w:w="1418" w:type="dxa"/>
            <w:shd w:val="clear" w:color="auto" w:fill="auto"/>
            <w:vAlign w:val="center"/>
          </w:tcPr>
          <w:p w14:paraId="25266338" w14:textId="77777777" w:rsidR="006B4107" w:rsidRDefault="004E70C7">
            <w:pPr>
              <w:jc w:val="right"/>
              <w:rPr>
                <w:color w:val="000000"/>
                <w:sz w:val="16"/>
                <w:szCs w:val="16"/>
              </w:rPr>
            </w:pPr>
            <w:r>
              <w:rPr>
                <w:color w:val="000000"/>
                <w:sz w:val="16"/>
                <w:szCs w:val="16"/>
                <w:lang w:bidi="ar"/>
              </w:rPr>
              <w:t>0.00</w:t>
            </w:r>
          </w:p>
        </w:tc>
        <w:tc>
          <w:tcPr>
            <w:tcW w:w="1275" w:type="dxa"/>
            <w:shd w:val="clear" w:color="auto" w:fill="auto"/>
            <w:vAlign w:val="center"/>
          </w:tcPr>
          <w:p w14:paraId="4CB916C3" w14:textId="77777777" w:rsidR="006B4107" w:rsidRDefault="004E70C7">
            <w:pPr>
              <w:jc w:val="right"/>
              <w:rPr>
                <w:color w:val="000000"/>
                <w:sz w:val="16"/>
                <w:szCs w:val="16"/>
              </w:rPr>
            </w:pPr>
            <w:r>
              <w:rPr>
                <w:color w:val="000000"/>
                <w:sz w:val="16"/>
                <w:szCs w:val="16"/>
                <w:lang w:bidi="ar"/>
              </w:rPr>
              <w:t>21,490.64</w:t>
            </w:r>
            <w:r>
              <w:rPr>
                <w:rFonts w:hint="eastAsia"/>
                <w:color w:val="000000"/>
                <w:sz w:val="16"/>
                <w:szCs w:val="16"/>
              </w:rPr>
              <w:t xml:space="preserve"> </w:t>
            </w:r>
          </w:p>
        </w:tc>
        <w:tc>
          <w:tcPr>
            <w:tcW w:w="1418" w:type="dxa"/>
            <w:shd w:val="clear" w:color="auto" w:fill="auto"/>
            <w:vAlign w:val="center"/>
          </w:tcPr>
          <w:p w14:paraId="73AB1240" w14:textId="77777777" w:rsidR="006B4107" w:rsidRDefault="004E70C7">
            <w:pPr>
              <w:jc w:val="right"/>
              <w:rPr>
                <w:color w:val="000000"/>
                <w:sz w:val="16"/>
                <w:szCs w:val="16"/>
              </w:rPr>
            </w:pPr>
            <w:r>
              <w:rPr>
                <w:color w:val="000000"/>
                <w:sz w:val="16"/>
                <w:szCs w:val="16"/>
              </w:rPr>
              <w:t>324.55</w:t>
            </w:r>
            <w:r>
              <w:rPr>
                <w:rFonts w:hint="eastAsia"/>
                <w:color w:val="000000"/>
                <w:sz w:val="16"/>
                <w:szCs w:val="16"/>
              </w:rPr>
              <w:t xml:space="preserve"> </w:t>
            </w:r>
          </w:p>
        </w:tc>
        <w:tc>
          <w:tcPr>
            <w:tcW w:w="1559" w:type="dxa"/>
            <w:shd w:val="clear" w:color="auto" w:fill="auto"/>
            <w:vAlign w:val="center"/>
          </w:tcPr>
          <w:p w14:paraId="04E8122C" w14:textId="77777777" w:rsidR="006B4107" w:rsidRDefault="004E70C7">
            <w:pPr>
              <w:jc w:val="right"/>
              <w:rPr>
                <w:color w:val="000000"/>
                <w:sz w:val="16"/>
                <w:szCs w:val="16"/>
              </w:rPr>
            </w:pPr>
            <w:r>
              <w:rPr>
                <w:color w:val="000000"/>
                <w:sz w:val="16"/>
                <w:szCs w:val="16"/>
              </w:rPr>
              <w:t>21,815.19</w:t>
            </w:r>
            <w:r>
              <w:rPr>
                <w:rFonts w:hint="eastAsia"/>
                <w:color w:val="000000"/>
                <w:sz w:val="16"/>
                <w:szCs w:val="16"/>
              </w:rPr>
              <w:t xml:space="preserve"> </w:t>
            </w:r>
          </w:p>
        </w:tc>
      </w:tr>
      <w:tr w:rsidR="006B4107" w14:paraId="6E9E3C8A" w14:textId="77777777">
        <w:trPr>
          <w:trHeight w:hRule="exact" w:val="454"/>
          <w:jc w:val="center"/>
        </w:trPr>
        <w:tc>
          <w:tcPr>
            <w:tcW w:w="2117" w:type="dxa"/>
            <w:shd w:val="clear" w:color="auto" w:fill="auto"/>
            <w:vAlign w:val="center"/>
          </w:tcPr>
          <w:p w14:paraId="6A3BF320" w14:textId="77777777" w:rsidR="006B4107" w:rsidRDefault="004E70C7">
            <w:pPr>
              <w:ind w:firstLineChars="100" w:firstLine="160"/>
              <w:jc w:val="both"/>
              <w:rPr>
                <w:color w:val="000000"/>
                <w:sz w:val="16"/>
                <w:szCs w:val="16"/>
              </w:rPr>
            </w:pPr>
            <w:r>
              <w:rPr>
                <w:rFonts w:hint="eastAsia"/>
                <w:color w:val="000000"/>
                <w:sz w:val="16"/>
                <w:szCs w:val="16"/>
              </w:rPr>
              <w:t>其中：非流动资产处置损失</w:t>
            </w:r>
          </w:p>
        </w:tc>
        <w:tc>
          <w:tcPr>
            <w:tcW w:w="1417" w:type="dxa"/>
            <w:shd w:val="clear" w:color="auto" w:fill="auto"/>
            <w:vAlign w:val="center"/>
          </w:tcPr>
          <w:p w14:paraId="18EB0365" w14:textId="77777777" w:rsidR="006B4107" w:rsidRDefault="004E70C7">
            <w:pPr>
              <w:jc w:val="right"/>
              <w:rPr>
                <w:color w:val="000000"/>
                <w:sz w:val="16"/>
                <w:szCs w:val="16"/>
              </w:rPr>
            </w:pPr>
            <w:r>
              <w:rPr>
                <w:color w:val="000000"/>
                <w:sz w:val="16"/>
                <w:szCs w:val="16"/>
                <w:lang w:bidi="ar"/>
              </w:rPr>
              <w:t>0.00</w:t>
            </w:r>
            <w:r>
              <w:rPr>
                <w:rFonts w:hint="eastAsia"/>
                <w:color w:val="000000"/>
                <w:sz w:val="16"/>
                <w:szCs w:val="16"/>
              </w:rPr>
              <w:t xml:space="preserve">   </w:t>
            </w:r>
          </w:p>
        </w:tc>
        <w:tc>
          <w:tcPr>
            <w:tcW w:w="1418" w:type="dxa"/>
            <w:shd w:val="clear" w:color="auto" w:fill="auto"/>
            <w:vAlign w:val="center"/>
          </w:tcPr>
          <w:p w14:paraId="0AEDFB55" w14:textId="77777777" w:rsidR="006B4107" w:rsidRDefault="004E70C7">
            <w:pPr>
              <w:jc w:val="right"/>
              <w:rPr>
                <w:color w:val="000000"/>
                <w:sz w:val="16"/>
                <w:szCs w:val="16"/>
              </w:rPr>
            </w:pPr>
            <w:r>
              <w:rPr>
                <w:color w:val="000000"/>
                <w:sz w:val="16"/>
                <w:szCs w:val="16"/>
                <w:lang w:bidi="ar"/>
              </w:rPr>
              <w:t>0.00</w:t>
            </w:r>
            <w:r>
              <w:rPr>
                <w:rFonts w:hint="eastAsia"/>
                <w:color w:val="000000"/>
                <w:sz w:val="16"/>
                <w:szCs w:val="16"/>
              </w:rPr>
              <w:t xml:space="preserve">  </w:t>
            </w:r>
          </w:p>
        </w:tc>
        <w:tc>
          <w:tcPr>
            <w:tcW w:w="1275" w:type="dxa"/>
            <w:shd w:val="clear" w:color="auto" w:fill="auto"/>
            <w:vAlign w:val="center"/>
          </w:tcPr>
          <w:p w14:paraId="66CFA3D9" w14:textId="77777777" w:rsidR="006B4107" w:rsidRDefault="004E70C7">
            <w:pPr>
              <w:jc w:val="right"/>
              <w:rPr>
                <w:color w:val="000000"/>
                <w:sz w:val="16"/>
                <w:szCs w:val="16"/>
              </w:rPr>
            </w:pPr>
            <w:r>
              <w:rPr>
                <w:color w:val="000000"/>
                <w:sz w:val="16"/>
                <w:szCs w:val="16"/>
                <w:lang w:bidi="ar"/>
              </w:rPr>
              <w:t>21,490.64</w:t>
            </w:r>
          </w:p>
        </w:tc>
        <w:tc>
          <w:tcPr>
            <w:tcW w:w="1418" w:type="dxa"/>
            <w:shd w:val="clear" w:color="auto" w:fill="auto"/>
            <w:vAlign w:val="center"/>
          </w:tcPr>
          <w:p w14:paraId="46CDAFF9" w14:textId="77777777" w:rsidR="006B4107" w:rsidRDefault="004E70C7">
            <w:pPr>
              <w:jc w:val="right"/>
              <w:rPr>
                <w:color w:val="000000"/>
                <w:sz w:val="16"/>
                <w:szCs w:val="16"/>
              </w:rPr>
            </w:pPr>
            <w:r>
              <w:rPr>
                <w:color w:val="000000"/>
                <w:sz w:val="16"/>
                <w:szCs w:val="16"/>
                <w:lang w:bidi="ar"/>
              </w:rPr>
              <w:t>324.55</w:t>
            </w:r>
            <w:r>
              <w:rPr>
                <w:rFonts w:hint="eastAsia"/>
                <w:color w:val="000000"/>
                <w:sz w:val="16"/>
                <w:szCs w:val="16"/>
              </w:rPr>
              <w:t xml:space="preserve"> </w:t>
            </w:r>
          </w:p>
        </w:tc>
        <w:tc>
          <w:tcPr>
            <w:tcW w:w="1559" w:type="dxa"/>
            <w:shd w:val="clear" w:color="auto" w:fill="auto"/>
            <w:vAlign w:val="center"/>
          </w:tcPr>
          <w:p w14:paraId="5BE4ABC3" w14:textId="77777777" w:rsidR="006B4107" w:rsidRDefault="004E70C7">
            <w:pPr>
              <w:jc w:val="right"/>
              <w:rPr>
                <w:color w:val="000000"/>
                <w:sz w:val="16"/>
                <w:szCs w:val="16"/>
              </w:rPr>
            </w:pPr>
            <w:r>
              <w:rPr>
                <w:color w:val="000000"/>
                <w:sz w:val="16"/>
                <w:szCs w:val="16"/>
                <w:lang w:bidi="ar"/>
              </w:rPr>
              <w:t>21,815.19</w:t>
            </w:r>
            <w:r>
              <w:rPr>
                <w:rFonts w:hint="eastAsia"/>
                <w:color w:val="000000"/>
                <w:sz w:val="16"/>
                <w:szCs w:val="16"/>
              </w:rPr>
              <w:t xml:space="preserve"> </w:t>
            </w:r>
          </w:p>
        </w:tc>
      </w:tr>
      <w:tr w:rsidR="006B4107" w14:paraId="3F862770" w14:textId="77777777">
        <w:trPr>
          <w:trHeight w:hRule="exact" w:val="454"/>
          <w:jc w:val="center"/>
        </w:trPr>
        <w:tc>
          <w:tcPr>
            <w:tcW w:w="2117" w:type="dxa"/>
            <w:shd w:val="clear" w:color="auto" w:fill="auto"/>
            <w:vAlign w:val="center"/>
          </w:tcPr>
          <w:p w14:paraId="47857F21" w14:textId="77777777" w:rsidR="006B4107" w:rsidRDefault="004E70C7">
            <w:pPr>
              <w:jc w:val="both"/>
              <w:rPr>
                <w:color w:val="000000"/>
                <w:sz w:val="16"/>
                <w:szCs w:val="16"/>
              </w:rPr>
            </w:pPr>
            <w:r>
              <w:rPr>
                <w:rFonts w:hint="eastAsia"/>
                <w:color w:val="000000"/>
                <w:sz w:val="16"/>
                <w:szCs w:val="16"/>
              </w:rPr>
              <w:t>三、利润总额（亏损总额以“</w:t>
            </w:r>
            <w:r>
              <w:rPr>
                <w:rFonts w:hint="eastAsia"/>
                <w:color w:val="000000"/>
                <w:sz w:val="16"/>
                <w:szCs w:val="16"/>
              </w:rPr>
              <w:t>-</w:t>
            </w:r>
            <w:r>
              <w:rPr>
                <w:rFonts w:hint="eastAsia"/>
                <w:color w:val="000000"/>
                <w:sz w:val="16"/>
                <w:szCs w:val="16"/>
              </w:rPr>
              <w:t>”号填列）</w:t>
            </w:r>
          </w:p>
        </w:tc>
        <w:tc>
          <w:tcPr>
            <w:tcW w:w="1417" w:type="dxa"/>
            <w:shd w:val="clear" w:color="auto" w:fill="auto"/>
            <w:vAlign w:val="center"/>
          </w:tcPr>
          <w:p w14:paraId="676AFEB6" w14:textId="77777777" w:rsidR="006B4107" w:rsidRDefault="004E70C7">
            <w:pPr>
              <w:jc w:val="right"/>
              <w:rPr>
                <w:color w:val="000000"/>
                <w:sz w:val="16"/>
                <w:szCs w:val="16"/>
              </w:rPr>
            </w:pPr>
            <w:r>
              <w:rPr>
                <w:color w:val="000000"/>
                <w:sz w:val="16"/>
                <w:szCs w:val="16"/>
                <w:lang w:bidi="ar"/>
              </w:rPr>
              <w:t>0.00</w:t>
            </w:r>
          </w:p>
        </w:tc>
        <w:tc>
          <w:tcPr>
            <w:tcW w:w="1418" w:type="dxa"/>
            <w:shd w:val="clear" w:color="auto" w:fill="auto"/>
            <w:vAlign w:val="center"/>
          </w:tcPr>
          <w:p w14:paraId="0EBA7146" w14:textId="77777777" w:rsidR="006B4107" w:rsidRDefault="004E70C7">
            <w:pPr>
              <w:jc w:val="right"/>
              <w:rPr>
                <w:color w:val="000000"/>
                <w:sz w:val="16"/>
                <w:szCs w:val="16"/>
              </w:rPr>
            </w:pPr>
            <w:r>
              <w:rPr>
                <w:rFonts w:hint="eastAsia"/>
                <w:color w:val="000000"/>
                <w:sz w:val="16"/>
                <w:szCs w:val="16"/>
              </w:rPr>
              <w:t xml:space="preserve">0.00 </w:t>
            </w:r>
          </w:p>
        </w:tc>
        <w:tc>
          <w:tcPr>
            <w:tcW w:w="1275" w:type="dxa"/>
            <w:shd w:val="clear" w:color="auto" w:fill="auto"/>
            <w:vAlign w:val="center"/>
          </w:tcPr>
          <w:p w14:paraId="21984626" w14:textId="77777777" w:rsidR="006B4107" w:rsidRDefault="004E70C7">
            <w:pPr>
              <w:jc w:val="right"/>
              <w:rPr>
                <w:color w:val="000000"/>
                <w:sz w:val="16"/>
                <w:szCs w:val="16"/>
              </w:rPr>
            </w:pPr>
            <w:r>
              <w:rPr>
                <w:color w:val="000000"/>
                <w:sz w:val="16"/>
                <w:szCs w:val="16"/>
              </w:rPr>
              <w:t>1,864,461.91</w:t>
            </w:r>
            <w:r>
              <w:rPr>
                <w:rFonts w:hint="eastAsia"/>
                <w:color w:val="000000"/>
                <w:sz w:val="16"/>
                <w:szCs w:val="16"/>
              </w:rPr>
              <w:t xml:space="preserve"> </w:t>
            </w:r>
          </w:p>
        </w:tc>
        <w:tc>
          <w:tcPr>
            <w:tcW w:w="1418" w:type="dxa"/>
            <w:shd w:val="clear" w:color="auto" w:fill="auto"/>
            <w:vAlign w:val="center"/>
          </w:tcPr>
          <w:p w14:paraId="69C7F0BA" w14:textId="77777777" w:rsidR="006B4107" w:rsidRDefault="004E70C7">
            <w:pPr>
              <w:jc w:val="right"/>
              <w:rPr>
                <w:color w:val="000000"/>
                <w:sz w:val="16"/>
                <w:szCs w:val="16"/>
              </w:rPr>
            </w:pPr>
            <w:r>
              <w:rPr>
                <w:color w:val="000000"/>
                <w:sz w:val="16"/>
                <w:szCs w:val="16"/>
              </w:rPr>
              <w:t>28,157.12</w:t>
            </w:r>
            <w:r>
              <w:rPr>
                <w:rFonts w:hint="eastAsia"/>
                <w:color w:val="000000"/>
                <w:sz w:val="16"/>
                <w:szCs w:val="16"/>
              </w:rPr>
              <w:t xml:space="preserve"> </w:t>
            </w:r>
          </w:p>
        </w:tc>
        <w:tc>
          <w:tcPr>
            <w:tcW w:w="1559" w:type="dxa"/>
            <w:shd w:val="clear" w:color="auto" w:fill="auto"/>
            <w:vAlign w:val="center"/>
          </w:tcPr>
          <w:p w14:paraId="366AF001" w14:textId="77777777" w:rsidR="006B4107" w:rsidRDefault="004E70C7">
            <w:pPr>
              <w:jc w:val="right"/>
              <w:rPr>
                <w:color w:val="000000"/>
                <w:sz w:val="16"/>
                <w:szCs w:val="16"/>
              </w:rPr>
            </w:pPr>
            <w:r>
              <w:rPr>
                <w:color w:val="000000"/>
                <w:sz w:val="16"/>
                <w:szCs w:val="16"/>
              </w:rPr>
              <w:t>1,892,619.03</w:t>
            </w:r>
            <w:r>
              <w:rPr>
                <w:rFonts w:hint="eastAsia"/>
                <w:color w:val="000000"/>
                <w:sz w:val="16"/>
                <w:szCs w:val="16"/>
              </w:rPr>
              <w:t xml:space="preserve"> </w:t>
            </w:r>
          </w:p>
        </w:tc>
      </w:tr>
    </w:tbl>
    <w:p w14:paraId="18A3BBB2" w14:textId="77777777" w:rsidR="006B4107" w:rsidRDefault="006B4107">
      <w:pPr>
        <w:spacing w:line="360" w:lineRule="auto"/>
        <w:jc w:val="both"/>
        <w:rPr>
          <w:rFonts w:cs="Arial Unicode MS"/>
        </w:rPr>
        <w:sectPr w:rsidR="006B4107">
          <w:pgSz w:w="11906" w:h="16838"/>
          <w:pgMar w:top="1440" w:right="1800" w:bottom="1440" w:left="1800" w:header="851" w:footer="992" w:gutter="0"/>
          <w:cols w:space="720"/>
          <w:docGrid w:type="lines" w:linePitch="326"/>
        </w:sectPr>
      </w:pPr>
    </w:p>
    <w:p w14:paraId="5C64647E" w14:textId="77777777" w:rsidR="006B4107" w:rsidRDefault="004E70C7">
      <w:pPr>
        <w:pStyle w:val="ListParagraph1"/>
        <w:snapToGrid w:val="0"/>
        <w:spacing w:before="100" w:beforeAutospacing="1" w:after="100" w:afterAutospacing="1"/>
        <w:ind w:left="0" w:right="0" w:firstLineChars="0" w:firstLine="0"/>
        <w:outlineLvl w:val="0"/>
        <w:rPr>
          <w:rFonts w:eastAsia="仿宋_GB2312" w:cs="Arial Unicode MS"/>
          <w:color w:val="486A00" w:themeColor="accent2" w:themeShade="80"/>
          <w:sz w:val="28"/>
          <w:szCs w:val="22"/>
        </w:rPr>
      </w:pPr>
      <w:bookmarkStart w:id="821" w:name="_Toc185598964"/>
      <w:bookmarkStart w:id="822" w:name="_Toc140761350"/>
      <w:bookmarkStart w:id="823" w:name="_Toc50477151"/>
      <w:r>
        <w:rPr>
          <w:rFonts w:eastAsia="仿宋_GB2312" w:cs="Arial Unicode MS" w:hint="cs"/>
          <w:color w:val="486A00" w:themeColor="accent2" w:themeShade="80"/>
          <w:sz w:val="28"/>
          <w:szCs w:val="22"/>
        </w:rPr>
        <w:lastRenderedPageBreak/>
        <w:t>附件</w:t>
      </w:r>
      <w:r>
        <w:rPr>
          <w:rFonts w:eastAsia="仿宋_GB2312" w:cs="Arial Unicode MS"/>
          <w:color w:val="486A00" w:themeColor="accent2" w:themeShade="80"/>
          <w:sz w:val="28"/>
          <w:szCs w:val="22"/>
        </w:rPr>
        <w:t xml:space="preserve">3 </w:t>
      </w:r>
      <w:r>
        <w:rPr>
          <w:rFonts w:eastAsia="仿宋_GB2312" w:cs="Arial Unicode MS" w:hint="cs"/>
          <w:color w:val="486A00" w:themeColor="accent2" w:themeShade="80"/>
          <w:sz w:val="28"/>
          <w:szCs w:val="22"/>
        </w:rPr>
        <w:t>被选可比公司的业务简介</w:t>
      </w:r>
      <w:bookmarkEnd w:id="821"/>
      <w:bookmarkEnd w:id="822"/>
      <w:bookmarkEnd w:id="823"/>
    </w:p>
    <w:bookmarkEnd w:id="816"/>
    <w:p w14:paraId="127024E5" w14:textId="77777777" w:rsidR="006B4107" w:rsidRDefault="004E70C7">
      <w:pPr>
        <w:jc w:val="both"/>
        <w:rPr>
          <w:rFonts w:cs="楷体"/>
          <w:b/>
          <w:bCs/>
          <w:i/>
          <w:color w:val="002060"/>
        </w:rPr>
      </w:pPr>
      <w:r>
        <w:rPr>
          <w:rFonts w:cs="楷体"/>
          <w:b/>
          <w:bCs/>
          <w:i/>
          <w:color w:val="002060"/>
        </w:rPr>
        <w:t>Yamato Holdings CO LTD</w:t>
      </w:r>
      <w:r>
        <w:rPr>
          <w:rFonts w:cs="楷体"/>
          <w:b/>
          <w:bCs/>
          <w:i/>
          <w:color w:val="002060"/>
        </w:rPr>
        <w:t>（日本）</w:t>
      </w:r>
    </w:p>
    <w:p w14:paraId="734426FA" w14:textId="77777777" w:rsidR="006B4107" w:rsidRDefault="004E70C7">
      <w:pPr>
        <w:spacing w:beforeLines="50" w:before="163" w:afterLines="50" w:after="163" w:line="360" w:lineRule="auto"/>
        <w:ind w:firstLineChars="200" w:firstLine="440"/>
        <w:jc w:val="both"/>
        <w:rPr>
          <w:rFonts w:cs="Arial Unicode MS"/>
        </w:rPr>
      </w:pPr>
      <w:r>
        <w:rPr>
          <w:rFonts w:cs="Arial Unicode MS" w:hint="eastAsia"/>
        </w:rPr>
        <w:t>该公司从事物流和运输服务，重点是其旗舰“</w:t>
      </w:r>
      <w:r>
        <w:rPr>
          <w:rFonts w:cs="Arial Unicode MS" w:hint="eastAsia"/>
        </w:rPr>
        <w:t>TA-Q-BIN</w:t>
      </w:r>
      <w:r>
        <w:rPr>
          <w:rFonts w:cs="Arial Unicode MS" w:hint="eastAsia"/>
        </w:rPr>
        <w:t>”包裹递送服务。公司专注于提供创新、高品质的物流解决方案。这包括</w:t>
      </w:r>
      <w:r>
        <w:rPr>
          <w:rFonts w:cs="Arial Unicode MS" w:hint="eastAsia"/>
        </w:rPr>
        <w:t>TA-Q-BIN</w:t>
      </w:r>
      <w:r>
        <w:rPr>
          <w:rFonts w:cs="Arial Unicode MS" w:hint="eastAsia"/>
        </w:rPr>
        <w:t>包裹递送服务，以及电子商务、</w:t>
      </w:r>
      <w:r>
        <w:rPr>
          <w:rFonts w:cs="Arial Unicode MS" w:hint="eastAsia"/>
        </w:rPr>
        <w:t>B2B</w:t>
      </w:r>
      <w:r>
        <w:rPr>
          <w:rFonts w:cs="Arial Unicode MS" w:hint="eastAsia"/>
        </w:rPr>
        <w:t>运输、仓储等服务。</w:t>
      </w:r>
    </w:p>
    <w:p w14:paraId="18983118" w14:textId="77777777" w:rsidR="006B4107" w:rsidRDefault="004E70C7">
      <w:pPr>
        <w:jc w:val="both"/>
        <w:rPr>
          <w:rFonts w:cs="楷体"/>
          <w:b/>
          <w:bCs/>
          <w:i/>
          <w:color w:val="002060"/>
        </w:rPr>
      </w:pPr>
      <w:r>
        <w:rPr>
          <w:rFonts w:cs="楷体"/>
          <w:b/>
          <w:bCs/>
          <w:i/>
          <w:color w:val="002060"/>
        </w:rPr>
        <w:t>Fukuyama Transporting CO LTD</w:t>
      </w:r>
      <w:r>
        <w:rPr>
          <w:rFonts w:cs="楷体"/>
          <w:b/>
          <w:bCs/>
          <w:i/>
          <w:color w:val="002060"/>
        </w:rPr>
        <w:t>（</w:t>
      </w:r>
      <w:r>
        <w:rPr>
          <w:rFonts w:cs="楷体" w:hint="eastAsia"/>
          <w:b/>
          <w:bCs/>
          <w:i/>
          <w:color w:val="002060"/>
        </w:rPr>
        <w:t>日本</w:t>
      </w:r>
      <w:r>
        <w:rPr>
          <w:rFonts w:cs="楷体"/>
          <w:b/>
          <w:bCs/>
          <w:i/>
          <w:color w:val="002060"/>
        </w:rPr>
        <w:t>）</w:t>
      </w:r>
    </w:p>
    <w:p w14:paraId="21A02B54" w14:textId="77777777" w:rsidR="006B4107" w:rsidRDefault="004E70C7">
      <w:pPr>
        <w:spacing w:beforeLines="50" w:before="163" w:afterLines="50" w:after="163" w:line="360" w:lineRule="auto"/>
        <w:ind w:firstLineChars="200" w:firstLine="440"/>
        <w:jc w:val="both"/>
        <w:rPr>
          <w:rFonts w:cs="Arial Unicode MS"/>
        </w:rPr>
      </w:pPr>
      <w:r>
        <w:rPr>
          <w:rFonts w:cs="Arial Unicode MS" w:hint="eastAsia"/>
        </w:rPr>
        <w:t>该公司从事运输服务。公司的运输业务提供卡车运输、航空货运和港口运输服务，以及与运输相关的非人寿保险代理服务。</w:t>
      </w:r>
    </w:p>
    <w:p w14:paraId="18AB058B" w14:textId="77777777" w:rsidR="006B4107" w:rsidRDefault="004E70C7">
      <w:pPr>
        <w:jc w:val="both"/>
        <w:rPr>
          <w:rFonts w:cs="楷体"/>
          <w:b/>
          <w:bCs/>
          <w:i/>
          <w:color w:val="002060"/>
        </w:rPr>
      </w:pPr>
      <w:proofErr w:type="spellStart"/>
      <w:r>
        <w:rPr>
          <w:rFonts w:cs="楷体"/>
          <w:b/>
          <w:bCs/>
          <w:i/>
          <w:color w:val="002060"/>
        </w:rPr>
        <w:t>Nikkon</w:t>
      </w:r>
      <w:proofErr w:type="spellEnd"/>
      <w:r>
        <w:rPr>
          <w:rFonts w:cs="楷体"/>
          <w:b/>
          <w:bCs/>
          <w:i/>
          <w:color w:val="002060"/>
        </w:rPr>
        <w:t xml:space="preserve"> Holdings CO LTD</w:t>
      </w:r>
      <w:r>
        <w:rPr>
          <w:rFonts w:cs="楷体"/>
          <w:b/>
          <w:bCs/>
          <w:i/>
          <w:color w:val="002060"/>
        </w:rPr>
        <w:t>（日本）</w:t>
      </w:r>
    </w:p>
    <w:p w14:paraId="740058AB" w14:textId="77777777" w:rsidR="006B4107" w:rsidRDefault="004E70C7">
      <w:pPr>
        <w:spacing w:beforeLines="50" w:before="163" w:afterLines="50" w:after="163" w:line="360" w:lineRule="auto"/>
        <w:ind w:firstLineChars="200" w:firstLine="440"/>
        <w:jc w:val="both"/>
        <w:rPr>
          <w:rFonts w:cs="Arial Unicode MS"/>
        </w:rPr>
      </w:pPr>
      <w:r>
        <w:rPr>
          <w:rFonts w:cs="Arial Unicode MS" w:hint="eastAsia"/>
        </w:rPr>
        <w:t>该公司主要作为物流公司在日本和国际上提供运输，仓储，包装和其他服务。它提供卡车运输；货运处理服务；并提供仓储服务，同时兼任航空货运代理。</w:t>
      </w:r>
    </w:p>
    <w:p w14:paraId="4C569AA5" w14:textId="77777777" w:rsidR="006B4107" w:rsidRDefault="004E70C7">
      <w:pPr>
        <w:jc w:val="both"/>
        <w:rPr>
          <w:rFonts w:cs="楷体"/>
          <w:b/>
          <w:bCs/>
          <w:i/>
          <w:color w:val="002060"/>
        </w:rPr>
      </w:pPr>
      <w:proofErr w:type="spellStart"/>
      <w:r>
        <w:rPr>
          <w:rFonts w:cs="楷体"/>
          <w:b/>
          <w:bCs/>
          <w:i/>
          <w:color w:val="002060"/>
        </w:rPr>
        <w:t>Okayamaken</w:t>
      </w:r>
      <w:proofErr w:type="spellEnd"/>
      <w:r>
        <w:rPr>
          <w:rFonts w:cs="楷体"/>
          <w:b/>
          <w:bCs/>
          <w:i/>
          <w:color w:val="002060"/>
        </w:rPr>
        <w:t xml:space="preserve"> Freight Transportation CO LTD</w:t>
      </w:r>
      <w:r>
        <w:rPr>
          <w:rFonts w:cs="楷体"/>
          <w:b/>
          <w:bCs/>
          <w:i/>
          <w:color w:val="002060"/>
        </w:rPr>
        <w:t>（</w:t>
      </w:r>
      <w:r>
        <w:rPr>
          <w:rFonts w:cs="楷体" w:hint="eastAsia"/>
          <w:b/>
          <w:bCs/>
          <w:i/>
          <w:color w:val="002060"/>
        </w:rPr>
        <w:t>日本</w:t>
      </w:r>
      <w:r>
        <w:rPr>
          <w:rFonts w:cs="楷体"/>
          <w:b/>
          <w:bCs/>
          <w:i/>
          <w:color w:val="002060"/>
        </w:rPr>
        <w:t>）</w:t>
      </w:r>
    </w:p>
    <w:p w14:paraId="317795F7" w14:textId="77777777" w:rsidR="006B4107" w:rsidRDefault="004E70C7">
      <w:pPr>
        <w:spacing w:beforeLines="50" w:before="163" w:afterLines="50" w:after="163" w:line="360" w:lineRule="auto"/>
        <w:ind w:firstLineChars="200" w:firstLine="440"/>
        <w:jc w:val="both"/>
        <w:rPr>
          <w:rFonts w:cs="Arial Unicode MS"/>
        </w:rPr>
      </w:pPr>
      <w:r>
        <w:rPr>
          <w:rFonts w:cs="Arial Unicode MS" w:hint="eastAsia"/>
        </w:rPr>
        <w:t>这家公司从事物流服务。该公司经营三个业务部门：货物运输，房地产和石油产品销售。货物运输部门专门提供汽车货运、货物交付和收集、货物包装、仓储、航空货运代理、海关入境和工业废物收集和运输服务。房地产部门活跃于房地产业</w:t>
      </w:r>
      <w:proofErr w:type="gramStart"/>
      <w:r>
        <w:rPr>
          <w:rFonts w:cs="Arial Unicode MS" w:hint="eastAsia"/>
        </w:rPr>
        <w:t>务</w:t>
      </w:r>
      <w:proofErr w:type="gramEnd"/>
      <w:r>
        <w:rPr>
          <w:rFonts w:cs="Arial Unicode MS" w:hint="eastAsia"/>
        </w:rPr>
        <w:t>。石油产品销售部门是石油产品和汽车零部件的经销商，建筑业务，提供保险服</w:t>
      </w:r>
      <w:r>
        <w:rPr>
          <w:rFonts w:cs="Arial Unicode MS" w:hint="eastAsia"/>
        </w:rPr>
        <w:t>务，销售叉车，以及提供人力派遣服务。</w:t>
      </w:r>
    </w:p>
    <w:p w14:paraId="53C0FF65" w14:textId="77777777" w:rsidR="006B4107" w:rsidRDefault="004E70C7">
      <w:pPr>
        <w:jc w:val="both"/>
        <w:rPr>
          <w:rFonts w:cs="楷体"/>
          <w:b/>
          <w:bCs/>
          <w:i/>
          <w:color w:val="002060"/>
        </w:rPr>
      </w:pPr>
      <w:proofErr w:type="spellStart"/>
      <w:r>
        <w:rPr>
          <w:rFonts w:cs="楷体"/>
          <w:b/>
          <w:bCs/>
          <w:i/>
          <w:color w:val="002060"/>
        </w:rPr>
        <w:t>Samil</w:t>
      </w:r>
      <w:proofErr w:type="spellEnd"/>
      <w:r>
        <w:rPr>
          <w:rFonts w:cs="楷体"/>
          <w:b/>
          <w:bCs/>
          <w:i/>
          <w:color w:val="002060"/>
        </w:rPr>
        <w:t xml:space="preserve"> </w:t>
      </w:r>
      <w:proofErr w:type="spellStart"/>
      <w:proofErr w:type="gramStart"/>
      <w:r>
        <w:rPr>
          <w:rFonts w:cs="楷体"/>
          <w:b/>
          <w:bCs/>
          <w:i/>
          <w:color w:val="002060"/>
        </w:rPr>
        <w:t>Co.,Ltd</w:t>
      </w:r>
      <w:proofErr w:type="spellEnd"/>
      <w:r>
        <w:rPr>
          <w:rFonts w:cs="楷体"/>
          <w:b/>
          <w:bCs/>
          <w:i/>
          <w:color w:val="002060"/>
        </w:rPr>
        <w:t>.</w:t>
      </w:r>
      <w:proofErr w:type="gramEnd"/>
      <w:r>
        <w:rPr>
          <w:rFonts w:cs="楷体"/>
          <w:b/>
          <w:bCs/>
          <w:i/>
          <w:color w:val="002060"/>
        </w:rPr>
        <w:t>（韩国）</w:t>
      </w:r>
    </w:p>
    <w:p w14:paraId="2E12974A" w14:textId="77777777" w:rsidR="006B4107" w:rsidRDefault="004E70C7">
      <w:pPr>
        <w:spacing w:beforeLines="50" w:before="163" w:afterLines="50" w:after="163" w:line="360" w:lineRule="auto"/>
        <w:ind w:firstLineChars="200" w:firstLine="440"/>
        <w:jc w:val="both"/>
        <w:rPr>
          <w:rFonts w:cs="Arial Unicode MS"/>
        </w:rPr>
      </w:pPr>
      <w:r>
        <w:rPr>
          <w:rFonts w:cs="Arial Unicode MS" w:hint="eastAsia"/>
        </w:rPr>
        <w:t>该公司总部位于韩国浦项市，从事钢铁产品的储存和运输。其业务范围包括运输、仓储、装运、卸载，并不断成长为一家经营终端业务的综合性物流公司。并为客户提供一般货物运输、特殊货物运输、特殊保税运输、仓储运输等全方位物流服务。</w:t>
      </w:r>
    </w:p>
    <w:p w14:paraId="1A42C44E" w14:textId="77777777" w:rsidR="006B4107" w:rsidRDefault="004E70C7">
      <w:pPr>
        <w:jc w:val="both"/>
        <w:rPr>
          <w:rFonts w:cs="楷体"/>
          <w:b/>
          <w:bCs/>
          <w:i/>
          <w:color w:val="002060"/>
        </w:rPr>
      </w:pPr>
      <w:r>
        <w:rPr>
          <w:rFonts w:cs="楷体"/>
          <w:b/>
          <w:bCs/>
          <w:i/>
          <w:color w:val="002060"/>
        </w:rPr>
        <w:t>SEA &amp; Land Integrated Corporation</w:t>
      </w:r>
      <w:r>
        <w:rPr>
          <w:rFonts w:cs="楷体" w:hint="eastAsia"/>
          <w:b/>
          <w:bCs/>
          <w:i/>
          <w:color w:val="002060"/>
        </w:rPr>
        <w:t>（中国台湾）</w:t>
      </w:r>
    </w:p>
    <w:p w14:paraId="0E71B6AF" w14:textId="77777777" w:rsidR="006B4107" w:rsidRDefault="004E70C7">
      <w:pPr>
        <w:spacing w:beforeLines="50" w:before="163" w:afterLines="50" w:after="163" w:line="360" w:lineRule="auto"/>
        <w:ind w:firstLineChars="200" w:firstLine="440"/>
        <w:jc w:val="both"/>
        <w:rPr>
          <w:rFonts w:cs="Arial Unicode MS"/>
        </w:rPr>
      </w:pPr>
      <w:r>
        <w:rPr>
          <w:rFonts w:cs="Arial Unicode MS" w:hint="eastAsia"/>
        </w:rPr>
        <w:t>该公司从事集装箱运输服务、仓储服务、工程起重运输服务。它成立于</w:t>
      </w:r>
      <w:r>
        <w:rPr>
          <w:rFonts w:cs="Arial Unicode MS" w:hint="eastAsia"/>
        </w:rPr>
        <w:t>1973</w:t>
      </w:r>
      <w:r>
        <w:rPr>
          <w:rFonts w:cs="Arial Unicode MS" w:hint="eastAsia"/>
        </w:rPr>
        <w:t>年。公司注册办事处位于中国台湾，在基隆港、杨梅港、台中港、高雄港等周</w:t>
      </w:r>
      <w:r>
        <w:rPr>
          <w:rFonts w:cs="Arial Unicode MS" w:hint="eastAsia"/>
        </w:rPr>
        <w:t>边地区设有办事处。在集装箱运输方面，除了与国际知名船公司的集装箱运输合同比同行多且稳定外，公司还拥有重型机械零部件。该公司在基隆港、台中港、高雄港和</w:t>
      </w:r>
      <w:proofErr w:type="gramStart"/>
      <w:r>
        <w:rPr>
          <w:rFonts w:cs="Arial Unicode MS" w:hint="eastAsia"/>
        </w:rPr>
        <w:t>杨梅港</w:t>
      </w:r>
      <w:proofErr w:type="gramEnd"/>
      <w:r>
        <w:rPr>
          <w:rFonts w:cs="Arial Unicode MS" w:hint="eastAsia"/>
        </w:rPr>
        <w:t>拥有</w:t>
      </w:r>
      <w:r>
        <w:rPr>
          <w:rFonts w:cs="Arial Unicode MS" w:hint="eastAsia"/>
        </w:rPr>
        <w:lastRenderedPageBreak/>
        <w:t>3400</w:t>
      </w:r>
      <w:r>
        <w:rPr>
          <w:rFonts w:cs="Arial Unicode MS" w:hint="eastAsia"/>
        </w:rPr>
        <w:t>平方英尺的集装箱专用停车场，用于停车和维修。它建立了一个全省运输系统，也有重型机械，仓储，起重，安装等服务。</w:t>
      </w:r>
    </w:p>
    <w:p w14:paraId="3B7A22F4" w14:textId="77777777" w:rsidR="006B4107" w:rsidRDefault="004E70C7">
      <w:pPr>
        <w:jc w:val="both"/>
        <w:rPr>
          <w:rFonts w:cs="楷体"/>
          <w:b/>
          <w:bCs/>
          <w:i/>
          <w:color w:val="002060"/>
        </w:rPr>
      </w:pPr>
      <w:proofErr w:type="spellStart"/>
      <w:r>
        <w:rPr>
          <w:rFonts w:cs="楷体"/>
          <w:b/>
          <w:bCs/>
          <w:i/>
          <w:color w:val="002060"/>
        </w:rPr>
        <w:t>Vinalink</w:t>
      </w:r>
      <w:proofErr w:type="spellEnd"/>
      <w:r>
        <w:rPr>
          <w:rFonts w:cs="楷体"/>
          <w:b/>
          <w:bCs/>
          <w:i/>
          <w:color w:val="002060"/>
        </w:rPr>
        <w:t xml:space="preserve"> Logistics Joint Stock Company</w:t>
      </w:r>
      <w:r>
        <w:rPr>
          <w:rFonts w:cs="楷体"/>
          <w:b/>
          <w:bCs/>
          <w:i/>
          <w:color w:val="002060"/>
        </w:rPr>
        <w:t>（</w:t>
      </w:r>
      <w:r>
        <w:rPr>
          <w:rFonts w:cs="楷体" w:hint="eastAsia"/>
          <w:b/>
          <w:bCs/>
          <w:i/>
          <w:color w:val="002060"/>
        </w:rPr>
        <w:t>越南</w:t>
      </w:r>
      <w:r>
        <w:rPr>
          <w:rFonts w:cs="楷体"/>
          <w:b/>
          <w:bCs/>
          <w:i/>
          <w:color w:val="002060"/>
        </w:rPr>
        <w:t>）</w:t>
      </w:r>
    </w:p>
    <w:p w14:paraId="579BBA23" w14:textId="77777777" w:rsidR="006B4107" w:rsidRDefault="004E70C7">
      <w:pPr>
        <w:spacing w:beforeLines="50" w:before="163" w:afterLines="50" w:after="163" w:line="360" w:lineRule="auto"/>
        <w:ind w:firstLineChars="200" w:firstLine="440"/>
        <w:jc w:val="both"/>
        <w:rPr>
          <w:rFonts w:cs="楷体"/>
          <w:b/>
          <w:bCs/>
          <w:i/>
          <w:color w:val="009CDE"/>
        </w:rPr>
      </w:pPr>
      <w:r>
        <w:rPr>
          <w:rFonts w:cs="Arial Unicode MS" w:hint="eastAsia"/>
        </w:rPr>
        <w:t>该公司在越南从事运输和物流服务。公司成立于</w:t>
      </w:r>
      <w:r>
        <w:rPr>
          <w:rFonts w:cs="Arial Unicode MS" w:hint="eastAsia"/>
        </w:rPr>
        <w:t>1999</w:t>
      </w:r>
      <w:r>
        <w:rPr>
          <w:rFonts w:cs="Arial Unicode MS" w:hint="eastAsia"/>
        </w:rPr>
        <w:t>年</w:t>
      </w:r>
      <w:r>
        <w:rPr>
          <w:rFonts w:cs="Arial Unicode MS" w:hint="eastAsia"/>
        </w:rPr>
        <w:t>7</w:t>
      </w:r>
      <w:r>
        <w:rPr>
          <w:rFonts w:cs="Arial Unicode MS" w:hint="eastAsia"/>
        </w:rPr>
        <w:t>月，注册总部位于越南胡志明市。公司的活动范围包括送货和包装；仓储和经纪服务；运输及快递服务。它处</w:t>
      </w:r>
      <w:r>
        <w:rPr>
          <w:rFonts w:cs="Arial Unicode MS" w:hint="eastAsia"/>
        </w:rPr>
        <w:t>理各种各样的商品，包括汽车产品、加油站油泵的燃料和自动售货机用品等。其使命是通过提供送货、包装、仓储和快递服务，在越南提供运输和物流解决方案。</w:t>
      </w:r>
    </w:p>
    <w:p w14:paraId="0C40C635" w14:textId="77777777" w:rsidR="006B4107" w:rsidRDefault="004E70C7">
      <w:pPr>
        <w:jc w:val="both"/>
        <w:rPr>
          <w:rFonts w:cs="楷体"/>
          <w:b/>
          <w:bCs/>
          <w:i/>
          <w:color w:val="002060"/>
        </w:rPr>
      </w:pPr>
      <w:r>
        <w:rPr>
          <w:rFonts w:cs="楷体"/>
          <w:b/>
          <w:bCs/>
          <w:i/>
          <w:color w:val="002060"/>
        </w:rPr>
        <w:t>Inter State OIL Carrier LTD</w:t>
      </w:r>
      <w:r>
        <w:rPr>
          <w:rFonts w:cs="楷体"/>
          <w:b/>
          <w:bCs/>
          <w:i/>
          <w:color w:val="002060"/>
        </w:rPr>
        <w:t>（</w:t>
      </w:r>
      <w:r>
        <w:rPr>
          <w:rFonts w:cs="楷体" w:hint="eastAsia"/>
          <w:b/>
          <w:bCs/>
          <w:i/>
          <w:color w:val="002060"/>
        </w:rPr>
        <w:t>印度</w:t>
      </w:r>
      <w:r>
        <w:rPr>
          <w:rFonts w:cs="楷体"/>
          <w:b/>
          <w:bCs/>
          <w:i/>
          <w:color w:val="002060"/>
        </w:rPr>
        <w:t>）</w:t>
      </w:r>
    </w:p>
    <w:p w14:paraId="2C008B8A" w14:textId="77777777" w:rsidR="006B4107" w:rsidRDefault="004E70C7">
      <w:pPr>
        <w:spacing w:beforeLines="50" w:before="163" w:afterLines="50" w:after="163" w:line="360" w:lineRule="auto"/>
        <w:ind w:firstLineChars="200" w:firstLine="440"/>
        <w:jc w:val="both"/>
        <w:rPr>
          <w:rFonts w:cs="楷体"/>
          <w:b/>
          <w:bCs/>
          <w:i/>
          <w:color w:val="009CDE"/>
        </w:rPr>
      </w:pPr>
      <w:r>
        <w:rPr>
          <w:rFonts w:cs="Arial Unicode MS" w:hint="eastAsia"/>
        </w:rPr>
        <w:t>该公司从事化学品和气体的运输。公司专注于化学品、气体和其他产品的安全可靠运输，同时还提供以先进技术和高度关注安全为基础的综合物流解决方案。其使命是成为印度可靠、安全、技术先进的运输和物流服务的领先供应商，专注于提供卓越的客户服务，并不断提高其能力，以满足不同客户群不断变化的需求。</w:t>
      </w:r>
    </w:p>
    <w:p w14:paraId="2BF5EE06" w14:textId="77777777" w:rsidR="006B4107" w:rsidRDefault="004E70C7">
      <w:pPr>
        <w:jc w:val="both"/>
        <w:rPr>
          <w:rFonts w:cs="楷体"/>
          <w:b/>
          <w:bCs/>
          <w:i/>
          <w:color w:val="002060"/>
        </w:rPr>
      </w:pPr>
      <w:r>
        <w:rPr>
          <w:rFonts w:cs="楷体"/>
          <w:b/>
          <w:bCs/>
          <w:i/>
          <w:color w:val="002060"/>
        </w:rPr>
        <w:t>PT MPX Logi</w:t>
      </w:r>
      <w:r>
        <w:rPr>
          <w:rFonts w:cs="楷体"/>
          <w:b/>
          <w:bCs/>
          <w:i/>
          <w:color w:val="002060"/>
        </w:rPr>
        <w:t>stics International TBK</w:t>
      </w:r>
      <w:r>
        <w:rPr>
          <w:rFonts w:cs="楷体"/>
          <w:b/>
          <w:bCs/>
          <w:i/>
          <w:color w:val="002060"/>
        </w:rPr>
        <w:t>（</w:t>
      </w:r>
      <w:r>
        <w:rPr>
          <w:rFonts w:cs="楷体" w:hint="eastAsia"/>
          <w:b/>
          <w:bCs/>
          <w:i/>
          <w:color w:val="002060"/>
        </w:rPr>
        <w:t>印度尼西亚</w:t>
      </w:r>
      <w:r>
        <w:rPr>
          <w:rFonts w:cs="楷体"/>
          <w:b/>
          <w:bCs/>
          <w:i/>
          <w:color w:val="002060"/>
        </w:rPr>
        <w:t>）</w:t>
      </w:r>
    </w:p>
    <w:p w14:paraId="14B91B33" w14:textId="77777777" w:rsidR="006B4107" w:rsidRDefault="004E70C7">
      <w:pPr>
        <w:spacing w:beforeLines="50" w:before="163" w:afterLines="50" w:after="163" w:line="360" w:lineRule="auto"/>
        <w:ind w:firstLineChars="200" w:firstLine="440"/>
        <w:jc w:val="both"/>
        <w:rPr>
          <w:rFonts w:cs="Arial Unicode MS"/>
        </w:rPr>
      </w:pPr>
      <w:r>
        <w:rPr>
          <w:rFonts w:cs="Arial Unicode MS" w:hint="eastAsia"/>
        </w:rPr>
        <w:t>该公司总部设在印度尼西亚，从事货运和货物运输安排以及提供物流服务。公司主要从事国内外货物、货物及相关商品的运输。它提供诸如货运和仓储的合并或转发等服务。它还提供分销管理、包装和标签服务、供应商整合、货物保险、采购订单管理和定制物流信息服务。此外，公司还为全国各地的客户提供沿大部分主要贸易路线的货运服务。该公司与全国首屈一指的人力资源供应商建立了战略联盟，以更好地为客户服务。</w:t>
      </w:r>
    </w:p>
    <w:p w14:paraId="1C551DCA" w14:textId="77777777" w:rsidR="006B4107" w:rsidRDefault="004E70C7">
      <w:pPr>
        <w:jc w:val="both"/>
        <w:rPr>
          <w:rFonts w:cs="楷体"/>
          <w:b/>
          <w:bCs/>
          <w:i/>
          <w:color w:val="002060"/>
        </w:rPr>
      </w:pPr>
      <w:proofErr w:type="spellStart"/>
      <w:r>
        <w:rPr>
          <w:rFonts w:cs="楷体"/>
          <w:b/>
          <w:bCs/>
          <w:i/>
          <w:color w:val="002060"/>
        </w:rPr>
        <w:t>Balurghat</w:t>
      </w:r>
      <w:proofErr w:type="spellEnd"/>
      <w:r>
        <w:rPr>
          <w:rFonts w:cs="楷体"/>
          <w:b/>
          <w:bCs/>
          <w:i/>
          <w:color w:val="002060"/>
        </w:rPr>
        <w:t xml:space="preserve"> Technologies Limited</w:t>
      </w:r>
      <w:r>
        <w:rPr>
          <w:rFonts w:cs="楷体"/>
          <w:b/>
          <w:bCs/>
          <w:i/>
          <w:color w:val="002060"/>
        </w:rPr>
        <w:t>（</w:t>
      </w:r>
      <w:r>
        <w:rPr>
          <w:rFonts w:cs="楷体" w:hint="eastAsia"/>
          <w:b/>
          <w:bCs/>
          <w:i/>
          <w:color w:val="002060"/>
        </w:rPr>
        <w:t>印度</w:t>
      </w:r>
      <w:r>
        <w:rPr>
          <w:rFonts w:cs="楷体"/>
          <w:b/>
          <w:bCs/>
          <w:i/>
          <w:color w:val="002060"/>
        </w:rPr>
        <w:t>）</w:t>
      </w:r>
    </w:p>
    <w:p w14:paraId="086492F2" w14:textId="77777777" w:rsidR="006B4107" w:rsidRDefault="004E70C7">
      <w:pPr>
        <w:spacing w:beforeLines="50" w:before="163" w:afterLines="50" w:after="163" w:line="360" w:lineRule="auto"/>
        <w:ind w:firstLineChars="200" w:firstLine="440"/>
        <w:jc w:val="both"/>
        <w:rPr>
          <w:rFonts w:cs="Arial Unicode MS"/>
        </w:rPr>
      </w:pPr>
      <w:r>
        <w:rPr>
          <w:rFonts w:cs="Arial Unicode MS" w:hint="eastAsia"/>
        </w:rPr>
        <w:t>该</w:t>
      </w:r>
      <w:r>
        <w:rPr>
          <w:rFonts w:cs="Arial Unicode MS" w:hint="eastAsia"/>
        </w:rPr>
        <w:t>公司从事物流和供应</w:t>
      </w:r>
      <w:proofErr w:type="gramStart"/>
      <w:r>
        <w:rPr>
          <w:rFonts w:cs="Arial Unicode MS" w:hint="eastAsia"/>
        </w:rPr>
        <w:t>链解决</w:t>
      </w:r>
      <w:proofErr w:type="gramEnd"/>
      <w:r>
        <w:rPr>
          <w:rFonts w:cs="Arial Unicode MS" w:hint="eastAsia"/>
        </w:rPr>
        <w:t>方案。该公司的部门包括运输业务，旅游部门和贸易。其产品和服务包括分配燃料和货运运输服务的其他泵。该公司为各个行业提供服务，如汽车、快速消费品（</w:t>
      </w:r>
      <w:r>
        <w:rPr>
          <w:rFonts w:cs="Arial Unicode MS" w:hint="eastAsia"/>
        </w:rPr>
        <w:t>FMCG</w:t>
      </w:r>
      <w:r>
        <w:rPr>
          <w:rFonts w:cs="Arial Unicode MS" w:hint="eastAsia"/>
        </w:rPr>
        <w:t>）、工业、制药、医疗保健、零售、房地产开发商和政府机构。</w:t>
      </w:r>
    </w:p>
    <w:p w14:paraId="1566091C" w14:textId="77777777" w:rsidR="006B4107" w:rsidRDefault="004E70C7">
      <w:pPr>
        <w:jc w:val="both"/>
        <w:rPr>
          <w:rFonts w:cs="楷体"/>
          <w:b/>
          <w:bCs/>
          <w:i/>
          <w:color w:val="002060"/>
        </w:rPr>
      </w:pPr>
      <w:r>
        <w:rPr>
          <w:rFonts w:cs="楷体"/>
          <w:b/>
          <w:bCs/>
          <w:i/>
          <w:color w:val="002060"/>
        </w:rPr>
        <w:t>Guangdong Smart Fortune Logistics Inc.</w:t>
      </w:r>
      <w:r>
        <w:rPr>
          <w:rFonts w:cs="楷体"/>
          <w:b/>
          <w:bCs/>
          <w:i/>
          <w:color w:val="002060"/>
        </w:rPr>
        <w:t>（中国）</w:t>
      </w:r>
    </w:p>
    <w:p w14:paraId="06783DAF" w14:textId="77777777" w:rsidR="006B4107" w:rsidRDefault="004E70C7">
      <w:pPr>
        <w:spacing w:beforeLines="50" w:before="163" w:afterLines="50" w:after="163" w:line="360" w:lineRule="auto"/>
        <w:ind w:firstLineChars="200" w:firstLine="440"/>
        <w:jc w:val="both"/>
        <w:rPr>
          <w:rFonts w:cs="Arial Unicode MS"/>
        </w:rPr>
      </w:pPr>
      <w:r>
        <w:rPr>
          <w:rFonts w:cs="Arial Unicode MS" w:hint="eastAsia"/>
        </w:rPr>
        <w:t>该公司总部设在中国，从事货物运输安排以及提供物流服务。该公司从事货运、货物及相关商品的运输。它提供全方位的物流服务，包括合同仓储、公共仓储和运输</w:t>
      </w:r>
      <w:r>
        <w:rPr>
          <w:rFonts w:cs="Arial Unicode MS" w:hint="eastAsia"/>
        </w:rPr>
        <w:lastRenderedPageBreak/>
        <w:t>服务。它还提供分销管理、供应商整合、货物保险、采购</w:t>
      </w:r>
      <w:r>
        <w:rPr>
          <w:rFonts w:cs="Arial Unicode MS" w:hint="eastAsia"/>
        </w:rPr>
        <w:t>订单管理和定制物流信息服务。公司为全国各地的客户提供沿大部分主要贸易路线的货运服务。</w:t>
      </w:r>
    </w:p>
    <w:p w14:paraId="4DE31321" w14:textId="77777777" w:rsidR="006B4107" w:rsidRDefault="006B4107">
      <w:pPr>
        <w:spacing w:beforeLines="50" w:before="163" w:afterLines="50" w:after="163" w:line="360" w:lineRule="auto"/>
        <w:ind w:firstLineChars="200" w:firstLine="440"/>
        <w:jc w:val="both"/>
        <w:rPr>
          <w:rFonts w:cs="Arial Unicode MS"/>
        </w:rPr>
        <w:sectPr w:rsidR="006B4107">
          <w:pgSz w:w="11906" w:h="16838"/>
          <w:pgMar w:top="1440" w:right="1800" w:bottom="1440" w:left="1800" w:header="851" w:footer="992" w:gutter="0"/>
          <w:cols w:space="720"/>
          <w:docGrid w:type="lines" w:linePitch="326"/>
        </w:sectPr>
      </w:pPr>
    </w:p>
    <w:p w14:paraId="1B61A771" w14:textId="77777777" w:rsidR="006B4107" w:rsidRDefault="004E70C7">
      <w:pPr>
        <w:pStyle w:val="ListParagraph1"/>
        <w:snapToGrid w:val="0"/>
        <w:spacing w:before="100" w:beforeAutospacing="1" w:after="100" w:afterAutospacing="1"/>
        <w:ind w:left="0" w:right="0" w:firstLineChars="0" w:firstLine="0"/>
        <w:outlineLvl w:val="0"/>
        <w:rPr>
          <w:rFonts w:eastAsia="仿宋_GB2312" w:cs="Arial Unicode MS"/>
          <w:color w:val="486A00" w:themeColor="accent2" w:themeShade="80"/>
          <w:sz w:val="28"/>
          <w:szCs w:val="22"/>
        </w:rPr>
      </w:pPr>
      <w:bookmarkStart w:id="824" w:name="_Toc50477152"/>
      <w:bookmarkStart w:id="825" w:name="_Toc140761351"/>
      <w:bookmarkStart w:id="826" w:name="_Toc185598965"/>
      <w:bookmarkStart w:id="827" w:name="_Hlk418937229"/>
      <w:bookmarkStart w:id="828" w:name="_Hlk418599089"/>
      <w:bookmarkStart w:id="829" w:name="_Hlk417985670"/>
      <w:bookmarkStart w:id="830" w:name="_Toc522015265"/>
      <w:r>
        <w:rPr>
          <w:rFonts w:eastAsia="仿宋_GB2312" w:cs="Arial Unicode MS" w:hint="cs"/>
          <w:color w:val="486A00" w:themeColor="accent2" w:themeShade="80"/>
          <w:sz w:val="28"/>
          <w:szCs w:val="22"/>
        </w:rPr>
        <w:lastRenderedPageBreak/>
        <w:t>附件</w:t>
      </w:r>
      <w:r>
        <w:rPr>
          <w:rFonts w:eastAsia="仿宋_GB2312" w:cs="Arial Unicode MS"/>
          <w:color w:val="486A00" w:themeColor="accent2" w:themeShade="80"/>
          <w:sz w:val="28"/>
          <w:szCs w:val="22"/>
        </w:rPr>
        <w:t xml:space="preserve">4 </w:t>
      </w:r>
      <w:r>
        <w:rPr>
          <w:rFonts w:eastAsia="仿宋_GB2312" w:cs="Arial Unicode MS" w:hint="cs"/>
          <w:color w:val="486A00" w:themeColor="accent2" w:themeShade="80"/>
          <w:sz w:val="28"/>
          <w:szCs w:val="22"/>
        </w:rPr>
        <w:t>被选可比公司完全成本加成率的计算</w:t>
      </w:r>
      <w:bookmarkEnd w:id="824"/>
      <w:bookmarkEnd w:id="825"/>
      <w:bookmarkEnd w:id="826"/>
    </w:p>
    <w:p w14:paraId="0C615459" w14:textId="77777777" w:rsidR="006B4107" w:rsidRDefault="004E70C7">
      <w:pPr>
        <w:jc w:val="both"/>
        <w:rPr>
          <w:rFonts w:cs="楷体"/>
          <w:b/>
          <w:bCs/>
          <w:i/>
          <w:color w:val="002060"/>
        </w:rPr>
      </w:pPr>
      <w:r>
        <w:rPr>
          <w:rFonts w:cs="楷体"/>
          <w:b/>
          <w:bCs/>
          <w:i/>
          <w:color w:val="002060"/>
        </w:rPr>
        <w:t>可比公司</w:t>
      </w:r>
      <w:r>
        <w:rPr>
          <w:rFonts w:cs="楷体"/>
          <w:b/>
          <w:bCs/>
          <w:i/>
          <w:color w:val="002060"/>
        </w:rPr>
        <w:t>2020-2022</w:t>
      </w:r>
      <w:r>
        <w:rPr>
          <w:rFonts w:cs="楷体"/>
          <w:b/>
          <w:bCs/>
          <w:i/>
          <w:color w:val="002060"/>
        </w:rPr>
        <w:t>年度加权平均财务数据完全成本加成率计算表</w:t>
      </w:r>
    </w:p>
    <w:p w14:paraId="0CED99F3" w14:textId="77777777" w:rsidR="006B4107" w:rsidRDefault="004E70C7">
      <w:pPr>
        <w:tabs>
          <w:tab w:val="right" w:pos="13959"/>
        </w:tabs>
        <w:jc w:val="right"/>
        <w:rPr>
          <w:rFonts w:cs="楷体"/>
          <w:iCs/>
          <w:kern w:val="0"/>
        </w:rPr>
      </w:pPr>
      <w:r>
        <w:rPr>
          <w:rFonts w:ascii="仿宋_GB2312" w:cs="楷体" w:hint="eastAsia"/>
          <w:iCs/>
          <w:sz w:val="20"/>
          <w:szCs w:val="20"/>
        </w:rPr>
        <w:t>货币单位：所属地本位币˙千元</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5"/>
        <w:gridCol w:w="3356"/>
        <w:gridCol w:w="1278"/>
        <w:gridCol w:w="873"/>
        <w:gridCol w:w="1398"/>
        <w:gridCol w:w="1417"/>
        <w:gridCol w:w="1384"/>
        <w:gridCol w:w="1258"/>
        <w:gridCol w:w="1161"/>
        <w:gridCol w:w="1219"/>
      </w:tblGrid>
      <w:tr w:rsidR="006B4107" w14:paraId="25899454" w14:textId="77777777">
        <w:trPr>
          <w:trHeight w:hRule="exact" w:val="529"/>
          <w:jc w:val="center"/>
        </w:trPr>
        <w:tc>
          <w:tcPr>
            <w:tcW w:w="217" w:type="pct"/>
            <w:shd w:val="clear" w:color="auto" w:fill="002060"/>
            <w:vAlign w:val="center"/>
          </w:tcPr>
          <w:p w14:paraId="1237BAEC" w14:textId="77777777" w:rsidR="006B4107" w:rsidRDefault="004E70C7">
            <w:pPr>
              <w:jc w:val="center"/>
              <w:rPr>
                <w:rFonts w:cs="楷体"/>
                <w:b/>
                <w:bCs/>
                <w:color w:val="FFFFFF" w:themeColor="background1"/>
                <w:sz w:val="18"/>
                <w:szCs w:val="18"/>
              </w:rPr>
            </w:pPr>
            <w:r>
              <w:rPr>
                <w:rFonts w:cs="楷体"/>
                <w:b/>
                <w:bCs/>
                <w:color w:val="FFFFFF" w:themeColor="background1"/>
                <w:sz w:val="18"/>
                <w:szCs w:val="18"/>
              </w:rPr>
              <w:t>序号</w:t>
            </w:r>
          </w:p>
        </w:tc>
        <w:tc>
          <w:tcPr>
            <w:tcW w:w="1203" w:type="pct"/>
            <w:shd w:val="clear" w:color="auto" w:fill="002060"/>
            <w:vAlign w:val="center"/>
          </w:tcPr>
          <w:p w14:paraId="7F0AB9AF" w14:textId="77777777" w:rsidR="006B4107" w:rsidRDefault="004E70C7">
            <w:pPr>
              <w:jc w:val="center"/>
              <w:rPr>
                <w:rFonts w:cs="楷体"/>
                <w:b/>
                <w:bCs/>
                <w:color w:val="FFFFFF" w:themeColor="background1"/>
                <w:sz w:val="18"/>
                <w:szCs w:val="18"/>
              </w:rPr>
            </w:pPr>
            <w:r>
              <w:rPr>
                <w:rFonts w:cs="楷体"/>
                <w:b/>
                <w:bCs/>
                <w:color w:val="FFFFFF" w:themeColor="background1"/>
                <w:sz w:val="18"/>
                <w:szCs w:val="18"/>
              </w:rPr>
              <w:t>名称</w:t>
            </w:r>
          </w:p>
        </w:tc>
        <w:tc>
          <w:tcPr>
            <w:tcW w:w="458" w:type="pct"/>
            <w:shd w:val="clear" w:color="auto" w:fill="002060"/>
            <w:vAlign w:val="center"/>
          </w:tcPr>
          <w:p w14:paraId="5982797D" w14:textId="77777777" w:rsidR="006B4107" w:rsidRDefault="004E70C7">
            <w:pPr>
              <w:jc w:val="center"/>
              <w:rPr>
                <w:rFonts w:cs="楷体"/>
                <w:b/>
                <w:bCs/>
                <w:color w:val="FFFFFF" w:themeColor="background1"/>
                <w:sz w:val="18"/>
                <w:szCs w:val="18"/>
              </w:rPr>
            </w:pPr>
            <w:r>
              <w:rPr>
                <w:rFonts w:cs="楷体"/>
                <w:b/>
                <w:bCs/>
                <w:color w:val="FFFFFF" w:themeColor="background1"/>
                <w:sz w:val="18"/>
                <w:szCs w:val="18"/>
              </w:rPr>
              <w:t>所属地</w:t>
            </w:r>
          </w:p>
        </w:tc>
        <w:tc>
          <w:tcPr>
            <w:tcW w:w="313" w:type="pct"/>
            <w:shd w:val="clear" w:color="auto" w:fill="002060"/>
            <w:vAlign w:val="center"/>
          </w:tcPr>
          <w:p w14:paraId="7D7BA79E" w14:textId="77777777" w:rsidR="006B4107" w:rsidRDefault="004E70C7">
            <w:pPr>
              <w:jc w:val="center"/>
              <w:rPr>
                <w:rFonts w:cs="楷体"/>
                <w:b/>
                <w:bCs/>
                <w:color w:val="FFFFFF" w:themeColor="background1"/>
                <w:sz w:val="18"/>
                <w:szCs w:val="18"/>
              </w:rPr>
            </w:pPr>
            <w:r>
              <w:rPr>
                <w:rFonts w:cs="楷体"/>
                <w:b/>
                <w:bCs/>
                <w:color w:val="FFFFFF" w:themeColor="background1"/>
                <w:sz w:val="18"/>
                <w:szCs w:val="18"/>
              </w:rPr>
              <w:t>SIC</w:t>
            </w:r>
            <w:r>
              <w:rPr>
                <w:rFonts w:cs="楷体"/>
                <w:b/>
                <w:bCs/>
                <w:color w:val="FFFFFF" w:themeColor="background1"/>
                <w:sz w:val="18"/>
                <w:szCs w:val="18"/>
              </w:rPr>
              <w:t>代码</w:t>
            </w:r>
          </w:p>
        </w:tc>
        <w:tc>
          <w:tcPr>
            <w:tcW w:w="501" w:type="pct"/>
            <w:shd w:val="clear" w:color="auto" w:fill="002060"/>
            <w:vAlign w:val="center"/>
          </w:tcPr>
          <w:p w14:paraId="0BDA583B" w14:textId="77777777" w:rsidR="006B4107" w:rsidRDefault="004E70C7">
            <w:pPr>
              <w:jc w:val="center"/>
              <w:rPr>
                <w:rFonts w:cs="楷体"/>
                <w:b/>
                <w:bCs/>
                <w:color w:val="FFFFFF" w:themeColor="background1"/>
                <w:sz w:val="18"/>
                <w:szCs w:val="18"/>
              </w:rPr>
            </w:pPr>
            <w:r>
              <w:rPr>
                <w:rFonts w:cs="楷体"/>
                <w:b/>
                <w:bCs/>
                <w:color w:val="FFFFFF" w:themeColor="background1"/>
                <w:sz w:val="18"/>
                <w:szCs w:val="18"/>
              </w:rPr>
              <w:t>销售收入</w:t>
            </w:r>
          </w:p>
        </w:tc>
        <w:tc>
          <w:tcPr>
            <w:tcW w:w="508" w:type="pct"/>
            <w:shd w:val="clear" w:color="auto" w:fill="002060"/>
            <w:vAlign w:val="center"/>
          </w:tcPr>
          <w:p w14:paraId="52777E6A" w14:textId="77777777" w:rsidR="006B4107" w:rsidRDefault="004E70C7">
            <w:pPr>
              <w:jc w:val="center"/>
              <w:rPr>
                <w:rFonts w:cs="楷体"/>
                <w:b/>
                <w:bCs/>
                <w:color w:val="FFFFFF" w:themeColor="background1"/>
                <w:sz w:val="18"/>
                <w:szCs w:val="18"/>
              </w:rPr>
            </w:pPr>
            <w:r>
              <w:rPr>
                <w:rFonts w:cs="楷体"/>
                <w:b/>
                <w:bCs/>
                <w:color w:val="FFFFFF" w:themeColor="background1"/>
                <w:sz w:val="18"/>
                <w:szCs w:val="18"/>
              </w:rPr>
              <w:t>销售成本</w:t>
            </w:r>
          </w:p>
        </w:tc>
        <w:tc>
          <w:tcPr>
            <w:tcW w:w="496" w:type="pct"/>
            <w:shd w:val="clear" w:color="auto" w:fill="002060"/>
            <w:vAlign w:val="center"/>
          </w:tcPr>
          <w:p w14:paraId="4D397E13" w14:textId="77777777" w:rsidR="006B4107" w:rsidRDefault="004E70C7">
            <w:pPr>
              <w:jc w:val="center"/>
              <w:rPr>
                <w:rFonts w:cs="楷体"/>
                <w:b/>
                <w:bCs/>
                <w:color w:val="FFFFFF" w:themeColor="background1"/>
                <w:sz w:val="18"/>
                <w:szCs w:val="18"/>
              </w:rPr>
            </w:pPr>
            <w:r>
              <w:rPr>
                <w:rFonts w:cs="楷体"/>
                <w:b/>
                <w:bCs/>
                <w:color w:val="FFFFFF" w:themeColor="background1"/>
                <w:sz w:val="18"/>
                <w:szCs w:val="18"/>
              </w:rPr>
              <w:t>销售费用和管理费用</w:t>
            </w:r>
          </w:p>
        </w:tc>
        <w:tc>
          <w:tcPr>
            <w:tcW w:w="451" w:type="pct"/>
            <w:shd w:val="clear" w:color="auto" w:fill="002060"/>
            <w:vAlign w:val="center"/>
          </w:tcPr>
          <w:p w14:paraId="31A68960" w14:textId="77777777" w:rsidR="006B4107" w:rsidRDefault="004E70C7">
            <w:pPr>
              <w:jc w:val="center"/>
              <w:rPr>
                <w:rFonts w:cs="楷体"/>
                <w:b/>
                <w:bCs/>
                <w:color w:val="FFFFFF" w:themeColor="background1"/>
                <w:sz w:val="18"/>
                <w:szCs w:val="18"/>
              </w:rPr>
            </w:pPr>
            <w:r>
              <w:rPr>
                <w:rFonts w:cs="楷体"/>
                <w:b/>
                <w:bCs/>
                <w:color w:val="FFFFFF" w:themeColor="background1"/>
                <w:sz w:val="18"/>
                <w:szCs w:val="18"/>
              </w:rPr>
              <w:t>折旧和摊销</w:t>
            </w:r>
          </w:p>
        </w:tc>
        <w:tc>
          <w:tcPr>
            <w:tcW w:w="416" w:type="pct"/>
            <w:shd w:val="clear" w:color="auto" w:fill="002060"/>
            <w:vAlign w:val="center"/>
          </w:tcPr>
          <w:p w14:paraId="5CF105FC" w14:textId="77777777" w:rsidR="006B4107" w:rsidRDefault="004E70C7">
            <w:pPr>
              <w:jc w:val="center"/>
              <w:rPr>
                <w:rFonts w:cs="楷体"/>
                <w:b/>
                <w:bCs/>
                <w:color w:val="FFFFFF" w:themeColor="background1"/>
                <w:sz w:val="18"/>
                <w:szCs w:val="18"/>
              </w:rPr>
            </w:pPr>
            <w:r>
              <w:rPr>
                <w:rFonts w:cs="楷体"/>
                <w:b/>
                <w:bCs/>
                <w:color w:val="FFFFFF" w:themeColor="background1"/>
                <w:sz w:val="18"/>
                <w:szCs w:val="18"/>
              </w:rPr>
              <w:t>营业利润</w:t>
            </w:r>
          </w:p>
        </w:tc>
        <w:tc>
          <w:tcPr>
            <w:tcW w:w="437" w:type="pct"/>
            <w:shd w:val="clear" w:color="auto" w:fill="002060"/>
            <w:vAlign w:val="center"/>
          </w:tcPr>
          <w:p w14:paraId="257F73C8" w14:textId="77777777" w:rsidR="006B4107" w:rsidRDefault="004E70C7">
            <w:pPr>
              <w:jc w:val="center"/>
              <w:rPr>
                <w:rFonts w:cs="楷体"/>
                <w:b/>
                <w:bCs/>
                <w:color w:val="FFFFFF" w:themeColor="background1"/>
                <w:sz w:val="18"/>
                <w:szCs w:val="18"/>
              </w:rPr>
            </w:pPr>
            <w:r>
              <w:rPr>
                <w:rFonts w:cs="楷体"/>
                <w:b/>
                <w:bCs/>
                <w:color w:val="FFFFFF" w:themeColor="background1"/>
                <w:sz w:val="18"/>
                <w:szCs w:val="18"/>
              </w:rPr>
              <w:t>完全成本加成率</w:t>
            </w:r>
          </w:p>
        </w:tc>
      </w:tr>
      <w:tr w:rsidR="006B4107" w14:paraId="55C054D0" w14:textId="77777777">
        <w:trPr>
          <w:trHeight w:val="340"/>
          <w:jc w:val="center"/>
        </w:trPr>
        <w:tc>
          <w:tcPr>
            <w:tcW w:w="217" w:type="pct"/>
            <w:shd w:val="clear" w:color="000000" w:fill="FFFFFF"/>
            <w:vAlign w:val="center"/>
          </w:tcPr>
          <w:p w14:paraId="2A0C17BC" w14:textId="77777777" w:rsidR="006B4107" w:rsidRDefault="004E70C7">
            <w:pPr>
              <w:jc w:val="center"/>
              <w:rPr>
                <w:rFonts w:cs="微软雅黑"/>
                <w:sz w:val="18"/>
                <w:szCs w:val="18"/>
              </w:rPr>
            </w:pPr>
            <w:r>
              <w:rPr>
                <w:rFonts w:cs="微软雅黑"/>
                <w:sz w:val="18"/>
                <w:szCs w:val="18"/>
              </w:rPr>
              <w:t>1</w:t>
            </w:r>
          </w:p>
        </w:tc>
        <w:tc>
          <w:tcPr>
            <w:tcW w:w="1203" w:type="pct"/>
            <w:shd w:val="clear" w:color="000000" w:fill="FFFFFF"/>
            <w:vAlign w:val="center"/>
          </w:tcPr>
          <w:p w14:paraId="2CF74A22" w14:textId="77777777" w:rsidR="006B4107" w:rsidRDefault="004E70C7">
            <w:pPr>
              <w:jc w:val="both"/>
              <w:rPr>
                <w:rFonts w:cs="微软雅黑"/>
                <w:sz w:val="18"/>
                <w:szCs w:val="18"/>
              </w:rPr>
            </w:pPr>
            <w:r>
              <w:rPr>
                <w:rFonts w:cs="微软雅黑"/>
                <w:sz w:val="18"/>
                <w:szCs w:val="18"/>
              </w:rPr>
              <w:t>Yamato Holdings CO LTD</w:t>
            </w:r>
          </w:p>
        </w:tc>
        <w:tc>
          <w:tcPr>
            <w:tcW w:w="458" w:type="pct"/>
            <w:shd w:val="clear" w:color="000000" w:fill="FFFFFF"/>
            <w:vAlign w:val="center"/>
          </w:tcPr>
          <w:p w14:paraId="25E3D517" w14:textId="77777777" w:rsidR="006B4107" w:rsidRDefault="004E70C7">
            <w:pPr>
              <w:jc w:val="center"/>
              <w:rPr>
                <w:rFonts w:cs="微软雅黑"/>
                <w:sz w:val="18"/>
                <w:szCs w:val="18"/>
              </w:rPr>
            </w:pPr>
            <w:r>
              <w:rPr>
                <w:rFonts w:cs="微软雅黑"/>
                <w:sz w:val="18"/>
                <w:szCs w:val="18"/>
              </w:rPr>
              <w:t>日本</w:t>
            </w:r>
          </w:p>
        </w:tc>
        <w:tc>
          <w:tcPr>
            <w:tcW w:w="313" w:type="pct"/>
            <w:shd w:val="clear" w:color="000000" w:fill="FFFFFF"/>
            <w:vAlign w:val="center"/>
          </w:tcPr>
          <w:p w14:paraId="3072ABEC" w14:textId="77777777" w:rsidR="006B4107" w:rsidRDefault="004E70C7">
            <w:pPr>
              <w:jc w:val="center"/>
              <w:rPr>
                <w:rFonts w:cs="微软雅黑"/>
                <w:sz w:val="18"/>
                <w:szCs w:val="18"/>
              </w:rPr>
            </w:pPr>
            <w:r>
              <w:rPr>
                <w:rFonts w:cs="微软雅黑"/>
                <w:sz w:val="18"/>
                <w:szCs w:val="18"/>
              </w:rPr>
              <w:t>4214</w:t>
            </w:r>
          </w:p>
        </w:tc>
        <w:tc>
          <w:tcPr>
            <w:tcW w:w="501" w:type="pct"/>
            <w:shd w:val="clear" w:color="auto" w:fill="auto"/>
            <w:vAlign w:val="center"/>
          </w:tcPr>
          <w:p w14:paraId="3A3A4B09" w14:textId="77777777" w:rsidR="006B4107" w:rsidRDefault="004E70C7">
            <w:pPr>
              <w:jc w:val="right"/>
              <w:rPr>
                <w:rFonts w:cs="微软雅黑"/>
                <w:sz w:val="18"/>
                <w:szCs w:val="18"/>
              </w:rPr>
            </w:pPr>
            <w:r>
              <w:rPr>
                <w:rFonts w:cs="微软雅黑"/>
                <w:sz w:val="18"/>
                <w:szCs w:val="18"/>
              </w:rPr>
              <w:t xml:space="preserve">1,763,384,333.33 </w:t>
            </w:r>
          </w:p>
        </w:tc>
        <w:tc>
          <w:tcPr>
            <w:tcW w:w="508" w:type="pct"/>
            <w:vAlign w:val="center"/>
          </w:tcPr>
          <w:p w14:paraId="695D6AFD" w14:textId="77777777" w:rsidR="006B4107" w:rsidRDefault="004E70C7">
            <w:pPr>
              <w:jc w:val="right"/>
              <w:rPr>
                <w:rFonts w:cs="微软雅黑"/>
                <w:sz w:val="18"/>
                <w:szCs w:val="18"/>
              </w:rPr>
            </w:pPr>
            <w:r>
              <w:rPr>
                <w:rFonts w:cs="微软雅黑"/>
                <w:sz w:val="18"/>
                <w:szCs w:val="18"/>
              </w:rPr>
              <w:t xml:space="preserve">-1,587,265,000.00 </w:t>
            </w:r>
          </w:p>
        </w:tc>
        <w:tc>
          <w:tcPr>
            <w:tcW w:w="496" w:type="pct"/>
            <w:shd w:val="clear" w:color="auto" w:fill="auto"/>
            <w:vAlign w:val="center"/>
          </w:tcPr>
          <w:p w14:paraId="3FDE5A21" w14:textId="77777777" w:rsidR="006B4107" w:rsidRDefault="004E70C7">
            <w:pPr>
              <w:jc w:val="right"/>
              <w:rPr>
                <w:rFonts w:cs="微软雅黑"/>
                <w:sz w:val="18"/>
                <w:szCs w:val="18"/>
              </w:rPr>
            </w:pPr>
            <w:r>
              <w:rPr>
                <w:rFonts w:cs="微软雅黑"/>
                <w:sz w:val="18"/>
                <w:szCs w:val="18"/>
              </w:rPr>
              <w:t xml:space="preserve"> -51,060,000.00 </w:t>
            </w:r>
          </w:p>
        </w:tc>
        <w:tc>
          <w:tcPr>
            <w:tcW w:w="451" w:type="pct"/>
            <w:shd w:val="clear" w:color="auto" w:fill="auto"/>
            <w:vAlign w:val="center"/>
          </w:tcPr>
          <w:p w14:paraId="5034853F" w14:textId="77777777" w:rsidR="006B4107" w:rsidRDefault="004E70C7">
            <w:pPr>
              <w:jc w:val="right"/>
              <w:rPr>
                <w:rFonts w:cs="微软雅黑"/>
                <w:sz w:val="18"/>
                <w:szCs w:val="18"/>
              </w:rPr>
            </w:pPr>
            <w:r>
              <w:rPr>
                <w:rFonts w:cs="微软雅黑"/>
                <w:sz w:val="18"/>
                <w:szCs w:val="18"/>
              </w:rPr>
              <w:t xml:space="preserve"> -43,794,333.33 </w:t>
            </w:r>
          </w:p>
        </w:tc>
        <w:tc>
          <w:tcPr>
            <w:tcW w:w="416" w:type="pct"/>
            <w:shd w:val="clear" w:color="auto" w:fill="auto"/>
            <w:vAlign w:val="center"/>
          </w:tcPr>
          <w:p w14:paraId="09E892E3" w14:textId="77777777" w:rsidR="006B4107" w:rsidRDefault="004E70C7">
            <w:pPr>
              <w:jc w:val="right"/>
              <w:rPr>
                <w:rFonts w:cs="微软雅黑"/>
                <w:sz w:val="18"/>
                <w:szCs w:val="18"/>
              </w:rPr>
            </w:pPr>
            <w:r>
              <w:rPr>
                <w:rFonts w:cs="微软雅黑"/>
                <w:sz w:val="18"/>
                <w:szCs w:val="18"/>
              </w:rPr>
              <w:t xml:space="preserve">81,265,000.00 </w:t>
            </w:r>
          </w:p>
        </w:tc>
        <w:tc>
          <w:tcPr>
            <w:tcW w:w="437" w:type="pct"/>
            <w:shd w:val="clear" w:color="auto" w:fill="auto"/>
            <w:vAlign w:val="center"/>
          </w:tcPr>
          <w:p w14:paraId="3A57CF81" w14:textId="77777777" w:rsidR="006B4107" w:rsidRDefault="004E70C7">
            <w:pPr>
              <w:jc w:val="right"/>
              <w:rPr>
                <w:rFonts w:cs="微软雅黑"/>
                <w:sz w:val="18"/>
                <w:szCs w:val="18"/>
              </w:rPr>
            </w:pPr>
            <w:r>
              <w:rPr>
                <w:rFonts w:cs="微软雅黑"/>
                <w:sz w:val="18"/>
                <w:szCs w:val="18"/>
              </w:rPr>
              <w:t>4.83%</w:t>
            </w:r>
          </w:p>
        </w:tc>
      </w:tr>
      <w:tr w:rsidR="006B4107" w14:paraId="70807262" w14:textId="77777777">
        <w:trPr>
          <w:trHeight w:val="340"/>
          <w:jc w:val="center"/>
        </w:trPr>
        <w:tc>
          <w:tcPr>
            <w:tcW w:w="217" w:type="pct"/>
            <w:shd w:val="clear" w:color="000000" w:fill="FFFFFF"/>
            <w:vAlign w:val="center"/>
          </w:tcPr>
          <w:p w14:paraId="4E829E4E" w14:textId="77777777" w:rsidR="006B4107" w:rsidRDefault="004E70C7">
            <w:pPr>
              <w:jc w:val="center"/>
              <w:rPr>
                <w:rFonts w:cs="微软雅黑"/>
                <w:sz w:val="18"/>
                <w:szCs w:val="18"/>
              </w:rPr>
            </w:pPr>
            <w:r>
              <w:rPr>
                <w:rFonts w:cs="微软雅黑"/>
                <w:sz w:val="18"/>
                <w:szCs w:val="18"/>
              </w:rPr>
              <w:t>2</w:t>
            </w:r>
          </w:p>
        </w:tc>
        <w:tc>
          <w:tcPr>
            <w:tcW w:w="1203" w:type="pct"/>
            <w:shd w:val="clear" w:color="000000" w:fill="FFFFFF"/>
            <w:vAlign w:val="center"/>
          </w:tcPr>
          <w:p w14:paraId="04000203" w14:textId="77777777" w:rsidR="006B4107" w:rsidRDefault="004E70C7">
            <w:pPr>
              <w:jc w:val="both"/>
              <w:rPr>
                <w:rFonts w:cs="微软雅黑"/>
                <w:sz w:val="18"/>
                <w:szCs w:val="18"/>
              </w:rPr>
            </w:pPr>
            <w:r>
              <w:rPr>
                <w:rFonts w:cs="微软雅黑"/>
                <w:sz w:val="18"/>
                <w:szCs w:val="18"/>
              </w:rPr>
              <w:t>Fukuyama Transporting CO LTD</w:t>
            </w:r>
          </w:p>
        </w:tc>
        <w:tc>
          <w:tcPr>
            <w:tcW w:w="458" w:type="pct"/>
            <w:shd w:val="clear" w:color="000000" w:fill="FFFFFF"/>
            <w:vAlign w:val="center"/>
          </w:tcPr>
          <w:p w14:paraId="0F59E13E" w14:textId="77777777" w:rsidR="006B4107" w:rsidRDefault="004E70C7">
            <w:pPr>
              <w:jc w:val="center"/>
              <w:rPr>
                <w:rFonts w:cs="微软雅黑"/>
                <w:sz w:val="18"/>
                <w:szCs w:val="18"/>
              </w:rPr>
            </w:pPr>
            <w:r>
              <w:rPr>
                <w:rFonts w:cs="微软雅黑"/>
                <w:sz w:val="18"/>
                <w:szCs w:val="18"/>
              </w:rPr>
              <w:t>日本</w:t>
            </w:r>
          </w:p>
        </w:tc>
        <w:tc>
          <w:tcPr>
            <w:tcW w:w="313" w:type="pct"/>
            <w:shd w:val="clear" w:color="000000" w:fill="FFFFFF"/>
            <w:vAlign w:val="center"/>
          </w:tcPr>
          <w:p w14:paraId="0622CB30" w14:textId="77777777" w:rsidR="006B4107" w:rsidRDefault="004E70C7">
            <w:pPr>
              <w:jc w:val="center"/>
              <w:rPr>
                <w:rFonts w:cs="微软雅黑"/>
                <w:sz w:val="18"/>
                <w:szCs w:val="18"/>
              </w:rPr>
            </w:pPr>
            <w:r>
              <w:rPr>
                <w:rFonts w:cs="微软雅黑"/>
                <w:sz w:val="18"/>
                <w:szCs w:val="18"/>
              </w:rPr>
              <w:t>4214</w:t>
            </w:r>
          </w:p>
        </w:tc>
        <w:tc>
          <w:tcPr>
            <w:tcW w:w="501" w:type="pct"/>
            <w:shd w:val="clear" w:color="auto" w:fill="auto"/>
            <w:vAlign w:val="center"/>
          </w:tcPr>
          <w:p w14:paraId="7FD9A4BC" w14:textId="77777777" w:rsidR="006B4107" w:rsidRDefault="004E70C7">
            <w:pPr>
              <w:jc w:val="right"/>
              <w:rPr>
                <w:rFonts w:cs="微软雅黑"/>
                <w:sz w:val="18"/>
                <w:szCs w:val="18"/>
              </w:rPr>
            </w:pPr>
            <w:r>
              <w:rPr>
                <w:rFonts w:cs="微软雅黑"/>
                <w:sz w:val="18"/>
                <w:szCs w:val="18"/>
              </w:rPr>
              <w:t xml:space="preserve"> 290,047,333.33 </w:t>
            </w:r>
          </w:p>
        </w:tc>
        <w:tc>
          <w:tcPr>
            <w:tcW w:w="508" w:type="pct"/>
            <w:vAlign w:val="center"/>
          </w:tcPr>
          <w:p w14:paraId="5B91B841" w14:textId="77777777" w:rsidR="006B4107" w:rsidRDefault="004E70C7">
            <w:pPr>
              <w:jc w:val="right"/>
              <w:rPr>
                <w:rFonts w:cs="微软雅黑"/>
                <w:sz w:val="18"/>
                <w:szCs w:val="18"/>
              </w:rPr>
            </w:pPr>
            <w:r>
              <w:rPr>
                <w:rFonts w:cs="微软雅黑"/>
                <w:sz w:val="18"/>
                <w:szCs w:val="18"/>
              </w:rPr>
              <w:t xml:space="preserve"> -244,530,333.33 </w:t>
            </w:r>
          </w:p>
        </w:tc>
        <w:tc>
          <w:tcPr>
            <w:tcW w:w="496" w:type="pct"/>
            <w:shd w:val="clear" w:color="auto" w:fill="auto"/>
            <w:vAlign w:val="center"/>
          </w:tcPr>
          <w:p w14:paraId="00568E7A" w14:textId="77777777" w:rsidR="006B4107" w:rsidRDefault="004E70C7">
            <w:pPr>
              <w:jc w:val="right"/>
              <w:rPr>
                <w:rFonts w:cs="微软雅黑"/>
                <w:sz w:val="18"/>
                <w:szCs w:val="18"/>
              </w:rPr>
            </w:pPr>
            <w:r>
              <w:rPr>
                <w:rFonts w:cs="微软雅黑"/>
                <w:sz w:val="18"/>
                <w:szCs w:val="18"/>
              </w:rPr>
              <w:t xml:space="preserve"> -7,608,666.67 </w:t>
            </w:r>
          </w:p>
        </w:tc>
        <w:tc>
          <w:tcPr>
            <w:tcW w:w="451" w:type="pct"/>
            <w:shd w:val="clear" w:color="auto" w:fill="auto"/>
            <w:vAlign w:val="center"/>
          </w:tcPr>
          <w:p w14:paraId="13A49146" w14:textId="77777777" w:rsidR="006B4107" w:rsidRDefault="004E70C7">
            <w:pPr>
              <w:jc w:val="right"/>
              <w:rPr>
                <w:rFonts w:cs="微软雅黑"/>
                <w:sz w:val="18"/>
                <w:szCs w:val="18"/>
              </w:rPr>
            </w:pPr>
            <w:r>
              <w:rPr>
                <w:rFonts w:cs="微软雅黑"/>
                <w:sz w:val="18"/>
                <w:szCs w:val="18"/>
              </w:rPr>
              <w:t xml:space="preserve"> -16,370,666.67 </w:t>
            </w:r>
          </w:p>
        </w:tc>
        <w:tc>
          <w:tcPr>
            <w:tcW w:w="416" w:type="pct"/>
            <w:shd w:val="clear" w:color="auto" w:fill="auto"/>
            <w:vAlign w:val="center"/>
          </w:tcPr>
          <w:p w14:paraId="2B65F1B1" w14:textId="77777777" w:rsidR="006B4107" w:rsidRDefault="004E70C7">
            <w:pPr>
              <w:jc w:val="right"/>
              <w:rPr>
                <w:rFonts w:cs="微软雅黑"/>
                <w:sz w:val="18"/>
                <w:szCs w:val="18"/>
              </w:rPr>
            </w:pPr>
            <w:r>
              <w:rPr>
                <w:rFonts w:cs="微软雅黑"/>
                <w:sz w:val="18"/>
                <w:szCs w:val="18"/>
              </w:rPr>
              <w:t xml:space="preserve">21,537,666.67 </w:t>
            </w:r>
          </w:p>
        </w:tc>
        <w:tc>
          <w:tcPr>
            <w:tcW w:w="437" w:type="pct"/>
            <w:shd w:val="clear" w:color="auto" w:fill="auto"/>
            <w:vAlign w:val="center"/>
          </w:tcPr>
          <w:p w14:paraId="00F5CB2F" w14:textId="77777777" w:rsidR="006B4107" w:rsidRDefault="004E70C7">
            <w:pPr>
              <w:jc w:val="right"/>
              <w:rPr>
                <w:rFonts w:cs="微软雅黑"/>
                <w:sz w:val="18"/>
                <w:szCs w:val="18"/>
              </w:rPr>
            </w:pPr>
            <w:r>
              <w:rPr>
                <w:rFonts w:cs="微软雅黑"/>
                <w:sz w:val="18"/>
                <w:szCs w:val="18"/>
              </w:rPr>
              <w:t>8.02%</w:t>
            </w:r>
          </w:p>
        </w:tc>
      </w:tr>
      <w:tr w:rsidR="006B4107" w14:paraId="66AED938" w14:textId="77777777">
        <w:trPr>
          <w:trHeight w:val="340"/>
          <w:jc w:val="center"/>
        </w:trPr>
        <w:tc>
          <w:tcPr>
            <w:tcW w:w="217" w:type="pct"/>
            <w:shd w:val="clear" w:color="000000" w:fill="FFFFFF"/>
            <w:vAlign w:val="center"/>
          </w:tcPr>
          <w:p w14:paraId="0AB10F2B" w14:textId="77777777" w:rsidR="006B4107" w:rsidRDefault="004E70C7">
            <w:pPr>
              <w:jc w:val="center"/>
              <w:rPr>
                <w:rFonts w:cs="微软雅黑"/>
                <w:sz w:val="18"/>
                <w:szCs w:val="18"/>
              </w:rPr>
            </w:pPr>
            <w:r>
              <w:rPr>
                <w:rFonts w:cs="微软雅黑"/>
                <w:sz w:val="18"/>
                <w:szCs w:val="18"/>
              </w:rPr>
              <w:t>3</w:t>
            </w:r>
          </w:p>
        </w:tc>
        <w:tc>
          <w:tcPr>
            <w:tcW w:w="1203" w:type="pct"/>
            <w:shd w:val="clear" w:color="000000" w:fill="FFFFFF"/>
            <w:vAlign w:val="center"/>
          </w:tcPr>
          <w:p w14:paraId="459FA37C" w14:textId="77777777" w:rsidR="006B4107" w:rsidRDefault="004E70C7">
            <w:pPr>
              <w:jc w:val="both"/>
              <w:rPr>
                <w:rFonts w:cs="微软雅黑"/>
                <w:sz w:val="18"/>
                <w:szCs w:val="18"/>
              </w:rPr>
            </w:pPr>
            <w:proofErr w:type="spellStart"/>
            <w:r>
              <w:rPr>
                <w:rFonts w:cs="微软雅黑"/>
                <w:sz w:val="18"/>
                <w:szCs w:val="18"/>
              </w:rPr>
              <w:t>Nikkon</w:t>
            </w:r>
            <w:proofErr w:type="spellEnd"/>
            <w:r>
              <w:rPr>
                <w:rFonts w:cs="微软雅黑"/>
                <w:sz w:val="18"/>
                <w:szCs w:val="18"/>
              </w:rPr>
              <w:t xml:space="preserve"> Holdings CO LTD</w:t>
            </w:r>
          </w:p>
        </w:tc>
        <w:tc>
          <w:tcPr>
            <w:tcW w:w="458" w:type="pct"/>
            <w:shd w:val="clear" w:color="000000" w:fill="FFFFFF"/>
            <w:vAlign w:val="center"/>
          </w:tcPr>
          <w:p w14:paraId="184FB519" w14:textId="77777777" w:rsidR="006B4107" w:rsidRDefault="004E70C7">
            <w:pPr>
              <w:jc w:val="center"/>
              <w:rPr>
                <w:rFonts w:cs="微软雅黑"/>
                <w:sz w:val="18"/>
                <w:szCs w:val="18"/>
              </w:rPr>
            </w:pPr>
            <w:r>
              <w:rPr>
                <w:rFonts w:cs="微软雅黑"/>
                <w:sz w:val="18"/>
                <w:szCs w:val="18"/>
              </w:rPr>
              <w:t>日本</w:t>
            </w:r>
          </w:p>
        </w:tc>
        <w:tc>
          <w:tcPr>
            <w:tcW w:w="313" w:type="pct"/>
            <w:shd w:val="clear" w:color="000000" w:fill="FFFFFF"/>
            <w:vAlign w:val="center"/>
          </w:tcPr>
          <w:p w14:paraId="44E34CE2" w14:textId="77777777" w:rsidR="006B4107" w:rsidRDefault="004E70C7">
            <w:pPr>
              <w:jc w:val="center"/>
              <w:rPr>
                <w:rFonts w:cs="微软雅黑"/>
                <w:sz w:val="18"/>
                <w:szCs w:val="18"/>
              </w:rPr>
            </w:pPr>
            <w:r>
              <w:rPr>
                <w:rFonts w:cs="微软雅黑"/>
                <w:sz w:val="18"/>
                <w:szCs w:val="18"/>
              </w:rPr>
              <w:t>4213</w:t>
            </w:r>
          </w:p>
        </w:tc>
        <w:tc>
          <w:tcPr>
            <w:tcW w:w="501" w:type="pct"/>
            <w:shd w:val="clear" w:color="auto" w:fill="auto"/>
            <w:vAlign w:val="center"/>
          </w:tcPr>
          <w:p w14:paraId="5F095AE8" w14:textId="77777777" w:rsidR="006B4107" w:rsidRDefault="004E70C7">
            <w:pPr>
              <w:jc w:val="right"/>
              <w:rPr>
                <w:rFonts w:cs="微软雅黑"/>
                <w:sz w:val="18"/>
                <w:szCs w:val="18"/>
              </w:rPr>
            </w:pPr>
            <w:r>
              <w:rPr>
                <w:rFonts w:cs="微软雅黑"/>
                <w:sz w:val="18"/>
                <w:szCs w:val="18"/>
              </w:rPr>
              <w:t xml:space="preserve"> 197,588,666.67 </w:t>
            </w:r>
          </w:p>
        </w:tc>
        <w:tc>
          <w:tcPr>
            <w:tcW w:w="508" w:type="pct"/>
            <w:vAlign w:val="center"/>
          </w:tcPr>
          <w:p w14:paraId="04F16A33" w14:textId="77777777" w:rsidR="006B4107" w:rsidRDefault="004E70C7">
            <w:pPr>
              <w:jc w:val="right"/>
              <w:rPr>
                <w:rFonts w:cs="微软雅黑"/>
                <w:sz w:val="18"/>
                <w:szCs w:val="18"/>
              </w:rPr>
            </w:pPr>
            <w:r>
              <w:rPr>
                <w:rFonts w:cs="微软雅黑"/>
                <w:sz w:val="18"/>
                <w:szCs w:val="18"/>
              </w:rPr>
              <w:t xml:space="preserve"> -157,529,000.00 </w:t>
            </w:r>
          </w:p>
        </w:tc>
        <w:tc>
          <w:tcPr>
            <w:tcW w:w="496" w:type="pct"/>
            <w:shd w:val="clear" w:color="auto" w:fill="auto"/>
            <w:vAlign w:val="center"/>
          </w:tcPr>
          <w:p w14:paraId="3C83D9EE" w14:textId="77777777" w:rsidR="006B4107" w:rsidRDefault="004E70C7">
            <w:pPr>
              <w:jc w:val="right"/>
              <w:rPr>
                <w:rFonts w:cs="微软雅黑"/>
                <w:sz w:val="18"/>
                <w:szCs w:val="18"/>
              </w:rPr>
            </w:pPr>
            <w:r>
              <w:rPr>
                <w:rFonts w:cs="微软雅黑"/>
                <w:sz w:val="18"/>
                <w:szCs w:val="18"/>
              </w:rPr>
              <w:t xml:space="preserve"> -9,571,666.67 </w:t>
            </w:r>
          </w:p>
        </w:tc>
        <w:tc>
          <w:tcPr>
            <w:tcW w:w="451" w:type="pct"/>
            <w:shd w:val="clear" w:color="auto" w:fill="auto"/>
            <w:vAlign w:val="center"/>
          </w:tcPr>
          <w:p w14:paraId="294C4A2B" w14:textId="77777777" w:rsidR="006B4107" w:rsidRDefault="004E70C7">
            <w:pPr>
              <w:jc w:val="right"/>
              <w:rPr>
                <w:rFonts w:cs="微软雅黑"/>
                <w:sz w:val="18"/>
                <w:szCs w:val="18"/>
              </w:rPr>
            </w:pPr>
            <w:r>
              <w:rPr>
                <w:rFonts w:cs="微软雅黑"/>
                <w:sz w:val="18"/>
                <w:szCs w:val="18"/>
              </w:rPr>
              <w:t xml:space="preserve"> -11,391,333.33 </w:t>
            </w:r>
          </w:p>
        </w:tc>
        <w:tc>
          <w:tcPr>
            <w:tcW w:w="416" w:type="pct"/>
            <w:shd w:val="clear" w:color="auto" w:fill="auto"/>
            <w:vAlign w:val="center"/>
          </w:tcPr>
          <w:p w14:paraId="6EC60AC4" w14:textId="77777777" w:rsidR="006B4107" w:rsidRDefault="004E70C7">
            <w:pPr>
              <w:jc w:val="right"/>
              <w:rPr>
                <w:rFonts w:cs="微软雅黑"/>
                <w:sz w:val="18"/>
                <w:szCs w:val="18"/>
              </w:rPr>
            </w:pPr>
            <w:r>
              <w:rPr>
                <w:rFonts w:cs="微软雅黑"/>
                <w:sz w:val="18"/>
                <w:szCs w:val="18"/>
              </w:rPr>
              <w:t xml:space="preserve">19,096,666.67 </w:t>
            </w:r>
          </w:p>
        </w:tc>
        <w:tc>
          <w:tcPr>
            <w:tcW w:w="437" w:type="pct"/>
            <w:shd w:val="clear" w:color="auto" w:fill="auto"/>
            <w:vAlign w:val="center"/>
          </w:tcPr>
          <w:p w14:paraId="3E97F56B" w14:textId="77777777" w:rsidR="006B4107" w:rsidRDefault="004E70C7">
            <w:pPr>
              <w:jc w:val="right"/>
              <w:rPr>
                <w:rFonts w:cs="微软雅黑"/>
                <w:sz w:val="18"/>
                <w:szCs w:val="18"/>
              </w:rPr>
            </w:pPr>
            <w:r>
              <w:rPr>
                <w:rFonts w:cs="微软雅黑"/>
                <w:sz w:val="18"/>
                <w:szCs w:val="18"/>
              </w:rPr>
              <w:t>10.70%</w:t>
            </w:r>
          </w:p>
        </w:tc>
      </w:tr>
      <w:tr w:rsidR="006B4107" w14:paraId="72D325FA" w14:textId="77777777">
        <w:trPr>
          <w:trHeight w:val="340"/>
          <w:jc w:val="center"/>
        </w:trPr>
        <w:tc>
          <w:tcPr>
            <w:tcW w:w="217" w:type="pct"/>
            <w:shd w:val="clear" w:color="000000" w:fill="FFFFFF"/>
            <w:vAlign w:val="center"/>
          </w:tcPr>
          <w:p w14:paraId="5CD020E5" w14:textId="77777777" w:rsidR="006B4107" w:rsidRDefault="004E70C7">
            <w:pPr>
              <w:jc w:val="center"/>
              <w:rPr>
                <w:rFonts w:cs="微软雅黑"/>
                <w:sz w:val="18"/>
                <w:szCs w:val="18"/>
              </w:rPr>
            </w:pPr>
            <w:r>
              <w:rPr>
                <w:rFonts w:cs="微软雅黑"/>
                <w:sz w:val="18"/>
                <w:szCs w:val="18"/>
              </w:rPr>
              <w:t>4</w:t>
            </w:r>
          </w:p>
        </w:tc>
        <w:tc>
          <w:tcPr>
            <w:tcW w:w="1203" w:type="pct"/>
            <w:shd w:val="clear" w:color="000000" w:fill="FFFFFF"/>
            <w:vAlign w:val="center"/>
          </w:tcPr>
          <w:p w14:paraId="378ACC15" w14:textId="77777777" w:rsidR="006B4107" w:rsidRDefault="004E70C7">
            <w:pPr>
              <w:jc w:val="both"/>
              <w:rPr>
                <w:rFonts w:cs="微软雅黑"/>
                <w:sz w:val="18"/>
                <w:szCs w:val="18"/>
              </w:rPr>
            </w:pPr>
            <w:proofErr w:type="spellStart"/>
            <w:r>
              <w:rPr>
                <w:rFonts w:cs="微软雅黑"/>
                <w:sz w:val="18"/>
                <w:szCs w:val="18"/>
              </w:rPr>
              <w:t>Okayamaken</w:t>
            </w:r>
            <w:proofErr w:type="spellEnd"/>
            <w:r>
              <w:rPr>
                <w:rFonts w:cs="微软雅黑"/>
                <w:sz w:val="18"/>
                <w:szCs w:val="18"/>
              </w:rPr>
              <w:t xml:space="preserve"> Freight Transportation CO LTD</w:t>
            </w:r>
          </w:p>
        </w:tc>
        <w:tc>
          <w:tcPr>
            <w:tcW w:w="458" w:type="pct"/>
            <w:shd w:val="clear" w:color="000000" w:fill="FFFFFF"/>
            <w:vAlign w:val="center"/>
          </w:tcPr>
          <w:p w14:paraId="62C401C4" w14:textId="77777777" w:rsidR="006B4107" w:rsidRDefault="004E70C7">
            <w:pPr>
              <w:jc w:val="center"/>
              <w:rPr>
                <w:rFonts w:cs="微软雅黑"/>
                <w:sz w:val="18"/>
                <w:szCs w:val="18"/>
              </w:rPr>
            </w:pPr>
            <w:r>
              <w:rPr>
                <w:rFonts w:cs="微软雅黑"/>
                <w:sz w:val="18"/>
                <w:szCs w:val="18"/>
              </w:rPr>
              <w:t>日本</w:t>
            </w:r>
          </w:p>
        </w:tc>
        <w:tc>
          <w:tcPr>
            <w:tcW w:w="313" w:type="pct"/>
            <w:shd w:val="clear" w:color="000000" w:fill="FFFFFF"/>
            <w:vAlign w:val="center"/>
          </w:tcPr>
          <w:p w14:paraId="1484A8A1" w14:textId="77777777" w:rsidR="006B4107" w:rsidRDefault="004E70C7">
            <w:pPr>
              <w:jc w:val="center"/>
              <w:rPr>
                <w:rFonts w:cs="微软雅黑"/>
                <w:sz w:val="18"/>
                <w:szCs w:val="18"/>
              </w:rPr>
            </w:pPr>
            <w:r>
              <w:rPr>
                <w:rFonts w:cs="微软雅黑"/>
                <w:sz w:val="18"/>
                <w:szCs w:val="18"/>
              </w:rPr>
              <w:t>4213</w:t>
            </w:r>
          </w:p>
        </w:tc>
        <w:tc>
          <w:tcPr>
            <w:tcW w:w="501" w:type="pct"/>
            <w:shd w:val="clear" w:color="auto" w:fill="auto"/>
            <w:vAlign w:val="center"/>
          </w:tcPr>
          <w:p w14:paraId="4045D598" w14:textId="77777777" w:rsidR="006B4107" w:rsidRDefault="004E70C7">
            <w:pPr>
              <w:jc w:val="right"/>
              <w:rPr>
                <w:rFonts w:cs="微软雅黑"/>
                <w:sz w:val="18"/>
                <w:szCs w:val="18"/>
              </w:rPr>
            </w:pPr>
            <w:r>
              <w:rPr>
                <w:rFonts w:cs="微软雅黑"/>
                <w:sz w:val="18"/>
                <w:szCs w:val="18"/>
              </w:rPr>
              <w:t xml:space="preserve"> 39,083,729.33 </w:t>
            </w:r>
          </w:p>
        </w:tc>
        <w:tc>
          <w:tcPr>
            <w:tcW w:w="508" w:type="pct"/>
            <w:vAlign w:val="center"/>
          </w:tcPr>
          <w:p w14:paraId="52200F65" w14:textId="77777777" w:rsidR="006B4107" w:rsidRDefault="004E70C7">
            <w:pPr>
              <w:jc w:val="right"/>
              <w:rPr>
                <w:rFonts w:cs="微软雅黑"/>
                <w:sz w:val="18"/>
                <w:szCs w:val="18"/>
              </w:rPr>
            </w:pPr>
            <w:r>
              <w:rPr>
                <w:rFonts w:cs="微软雅黑"/>
                <w:sz w:val="18"/>
                <w:szCs w:val="18"/>
              </w:rPr>
              <w:t xml:space="preserve"> -34,417,030.00 </w:t>
            </w:r>
          </w:p>
        </w:tc>
        <w:tc>
          <w:tcPr>
            <w:tcW w:w="496" w:type="pct"/>
            <w:shd w:val="clear" w:color="auto" w:fill="auto"/>
            <w:vAlign w:val="center"/>
          </w:tcPr>
          <w:p w14:paraId="32FB741A" w14:textId="77777777" w:rsidR="006B4107" w:rsidRDefault="004E70C7">
            <w:pPr>
              <w:jc w:val="right"/>
              <w:rPr>
                <w:rFonts w:cs="微软雅黑"/>
                <w:sz w:val="18"/>
                <w:szCs w:val="18"/>
              </w:rPr>
            </w:pPr>
            <w:r>
              <w:rPr>
                <w:rFonts w:cs="微软雅黑"/>
                <w:sz w:val="18"/>
                <w:szCs w:val="18"/>
              </w:rPr>
              <w:t xml:space="preserve"> -1,763,919.67 </w:t>
            </w:r>
          </w:p>
        </w:tc>
        <w:tc>
          <w:tcPr>
            <w:tcW w:w="451" w:type="pct"/>
            <w:shd w:val="clear" w:color="auto" w:fill="auto"/>
            <w:vAlign w:val="center"/>
          </w:tcPr>
          <w:p w14:paraId="73A1DE30" w14:textId="77777777" w:rsidR="006B4107" w:rsidRDefault="004E70C7">
            <w:pPr>
              <w:jc w:val="right"/>
              <w:rPr>
                <w:rFonts w:cs="微软雅黑"/>
                <w:sz w:val="18"/>
                <w:szCs w:val="18"/>
              </w:rPr>
            </w:pPr>
            <w:r>
              <w:rPr>
                <w:rFonts w:cs="微软雅黑"/>
                <w:sz w:val="18"/>
                <w:szCs w:val="18"/>
              </w:rPr>
              <w:t xml:space="preserve"> -1,689,690.67 </w:t>
            </w:r>
          </w:p>
        </w:tc>
        <w:tc>
          <w:tcPr>
            <w:tcW w:w="416" w:type="pct"/>
            <w:shd w:val="clear" w:color="auto" w:fill="auto"/>
            <w:vAlign w:val="center"/>
          </w:tcPr>
          <w:p w14:paraId="23D5C1FD" w14:textId="77777777" w:rsidR="006B4107" w:rsidRDefault="004E70C7">
            <w:pPr>
              <w:jc w:val="right"/>
              <w:rPr>
                <w:rFonts w:cs="微软雅黑"/>
                <w:sz w:val="18"/>
                <w:szCs w:val="18"/>
              </w:rPr>
            </w:pPr>
            <w:r>
              <w:rPr>
                <w:rFonts w:cs="微软雅黑"/>
                <w:sz w:val="18"/>
                <w:szCs w:val="18"/>
              </w:rPr>
              <w:t xml:space="preserve"> 1,213,089.00 </w:t>
            </w:r>
          </w:p>
        </w:tc>
        <w:tc>
          <w:tcPr>
            <w:tcW w:w="437" w:type="pct"/>
            <w:shd w:val="clear" w:color="auto" w:fill="auto"/>
            <w:vAlign w:val="center"/>
          </w:tcPr>
          <w:p w14:paraId="5A7FC5C6" w14:textId="77777777" w:rsidR="006B4107" w:rsidRDefault="004E70C7">
            <w:pPr>
              <w:jc w:val="right"/>
              <w:rPr>
                <w:rFonts w:cs="微软雅黑"/>
                <w:sz w:val="18"/>
                <w:szCs w:val="18"/>
              </w:rPr>
            </w:pPr>
            <w:r>
              <w:rPr>
                <w:rFonts w:cs="微软雅黑"/>
                <w:sz w:val="18"/>
                <w:szCs w:val="18"/>
              </w:rPr>
              <w:t>3.20%</w:t>
            </w:r>
          </w:p>
        </w:tc>
      </w:tr>
      <w:tr w:rsidR="006B4107" w14:paraId="2BC974B5" w14:textId="77777777">
        <w:trPr>
          <w:trHeight w:val="340"/>
          <w:jc w:val="center"/>
        </w:trPr>
        <w:tc>
          <w:tcPr>
            <w:tcW w:w="217" w:type="pct"/>
            <w:shd w:val="clear" w:color="000000" w:fill="FFFFFF"/>
            <w:vAlign w:val="center"/>
          </w:tcPr>
          <w:p w14:paraId="2964DAFD" w14:textId="77777777" w:rsidR="006B4107" w:rsidRDefault="004E70C7">
            <w:pPr>
              <w:jc w:val="center"/>
              <w:rPr>
                <w:rFonts w:cs="微软雅黑"/>
                <w:sz w:val="18"/>
                <w:szCs w:val="18"/>
              </w:rPr>
            </w:pPr>
            <w:r>
              <w:rPr>
                <w:rFonts w:cs="微软雅黑"/>
                <w:sz w:val="18"/>
                <w:szCs w:val="18"/>
              </w:rPr>
              <w:t>5</w:t>
            </w:r>
          </w:p>
        </w:tc>
        <w:tc>
          <w:tcPr>
            <w:tcW w:w="1203" w:type="pct"/>
            <w:shd w:val="clear" w:color="000000" w:fill="FFFFFF"/>
            <w:vAlign w:val="center"/>
          </w:tcPr>
          <w:p w14:paraId="1D31D66E" w14:textId="77777777" w:rsidR="006B4107" w:rsidRDefault="004E70C7">
            <w:pPr>
              <w:jc w:val="both"/>
              <w:rPr>
                <w:rFonts w:cs="微软雅黑"/>
                <w:sz w:val="18"/>
                <w:szCs w:val="18"/>
              </w:rPr>
            </w:pPr>
            <w:proofErr w:type="spellStart"/>
            <w:r>
              <w:rPr>
                <w:rFonts w:cs="微软雅黑"/>
                <w:sz w:val="18"/>
                <w:szCs w:val="18"/>
              </w:rPr>
              <w:t>Samil</w:t>
            </w:r>
            <w:proofErr w:type="spellEnd"/>
            <w:r>
              <w:rPr>
                <w:rFonts w:cs="微软雅黑"/>
                <w:sz w:val="18"/>
                <w:szCs w:val="18"/>
              </w:rPr>
              <w:t xml:space="preserve"> </w:t>
            </w:r>
            <w:proofErr w:type="spellStart"/>
            <w:proofErr w:type="gramStart"/>
            <w:r>
              <w:rPr>
                <w:rFonts w:cs="微软雅黑"/>
                <w:sz w:val="18"/>
                <w:szCs w:val="18"/>
              </w:rPr>
              <w:t>Co.,Ltd</w:t>
            </w:r>
            <w:proofErr w:type="spellEnd"/>
            <w:r>
              <w:rPr>
                <w:rFonts w:cs="微软雅黑"/>
                <w:sz w:val="18"/>
                <w:szCs w:val="18"/>
              </w:rPr>
              <w:t>.</w:t>
            </w:r>
            <w:proofErr w:type="gramEnd"/>
          </w:p>
        </w:tc>
        <w:tc>
          <w:tcPr>
            <w:tcW w:w="458" w:type="pct"/>
            <w:shd w:val="clear" w:color="000000" w:fill="FFFFFF"/>
            <w:vAlign w:val="center"/>
          </w:tcPr>
          <w:p w14:paraId="1BFC0E7C" w14:textId="77777777" w:rsidR="006B4107" w:rsidRDefault="004E70C7">
            <w:pPr>
              <w:jc w:val="center"/>
              <w:rPr>
                <w:rFonts w:cs="微软雅黑"/>
                <w:sz w:val="18"/>
                <w:szCs w:val="18"/>
              </w:rPr>
            </w:pPr>
            <w:r>
              <w:rPr>
                <w:rFonts w:cs="微软雅黑"/>
                <w:sz w:val="18"/>
                <w:szCs w:val="18"/>
              </w:rPr>
              <w:t>韩国</w:t>
            </w:r>
          </w:p>
        </w:tc>
        <w:tc>
          <w:tcPr>
            <w:tcW w:w="313" w:type="pct"/>
            <w:shd w:val="clear" w:color="000000" w:fill="FFFFFF"/>
            <w:vAlign w:val="center"/>
          </w:tcPr>
          <w:p w14:paraId="2FC45A54" w14:textId="77777777" w:rsidR="006B4107" w:rsidRDefault="004E70C7">
            <w:pPr>
              <w:jc w:val="center"/>
              <w:rPr>
                <w:rFonts w:cs="微软雅黑"/>
                <w:sz w:val="18"/>
                <w:szCs w:val="18"/>
              </w:rPr>
            </w:pPr>
            <w:r>
              <w:rPr>
                <w:rFonts w:cs="微软雅黑"/>
                <w:sz w:val="18"/>
                <w:szCs w:val="18"/>
              </w:rPr>
              <w:t>4212</w:t>
            </w:r>
          </w:p>
        </w:tc>
        <w:tc>
          <w:tcPr>
            <w:tcW w:w="501" w:type="pct"/>
            <w:shd w:val="clear" w:color="auto" w:fill="auto"/>
            <w:vAlign w:val="center"/>
          </w:tcPr>
          <w:p w14:paraId="1ACA1399" w14:textId="77777777" w:rsidR="006B4107" w:rsidRDefault="004E70C7">
            <w:pPr>
              <w:jc w:val="right"/>
              <w:rPr>
                <w:rFonts w:cs="微软雅黑"/>
                <w:sz w:val="18"/>
                <w:szCs w:val="18"/>
              </w:rPr>
            </w:pPr>
            <w:r>
              <w:rPr>
                <w:rFonts w:cs="微软雅黑"/>
                <w:sz w:val="18"/>
                <w:szCs w:val="18"/>
              </w:rPr>
              <w:t xml:space="preserve"> 86,932,465.67 </w:t>
            </w:r>
          </w:p>
        </w:tc>
        <w:tc>
          <w:tcPr>
            <w:tcW w:w="508" w:type="pct"/>
            <w:vAlign w:val="center"/>
          </w:tcPr>
          <w:p w14:paraId="555E8835" w14:textId="77777777" w:rsidR="006B4107" w:rsidRDefault="004E70C7">
            <w:pPr>
              <w:jc w:val="right"/>
              <w:rPr>
                <w:rFonts w:cs="微软雅黑"/>
                <w:sz w:val="18"/>
                <w:szCs w:val="18"/>
              </w:rPr>
            </w:pPr>
            <w:r>
              <w:rPr>
                <w:rFonts w:cs="微软雅黑"/>
                <w:sz w:val="18"/>
                <w:szCs w:val="18"/>
              </w:rPr>
              <w:t xml:space="preserve"> -81,401,910.67 </w:t>
            </w:r>
          </w:p>
        </w:tc>
        <w:tc>
          <w:tcPr>
            <w:tcW w:w="496" w:type="pct"/>
            <w:shd w:val="clear" w:color="auto" w:fill="auto"/>
            <w:vAlign w:val="center"/>
          </w:tcPr>
          <w:p w14:paraId="269C38DD" w14:textId="77777777" w:rsidR="006B4107" w:rsidRDefault="004E70C7">
            <w:pPr>
              <w:jc w:val="right"/>
              <w:rPr>
                <w:rFonts w:cs="微软雅黑"/>
                <w:sz w:val="18"/>
                <w:szCs w:val="18"/>
              </w:rPr>
            </w:pPr>
            <w:r>
              <w:rPr>
                <w:rFonts w:cs="微软雅黑"/>
                <w:sz w:val="18"/>
                <w:szCs w:val="18"/>
              </w:rPr>
              <w:t xml:space="preserve"> -5,750,113.33 </w:t>
            </w:r>
          </w:p>
        </w:tc>
        <w:tc>
          <w:tcPr>
            <w:tcW w:w="451" w:type="pct"/>
            <w:shd w:val="clear" w:color="auto" w:fill="auto"/>
            <w:vAlign w:val="center"/>
          </w:tcPr>
          <w:p w14:paraId="523E476F" w14:textId="77777777" w:rsidR="006B4107" w:rsidRDefault="004E70C7">
            <w:pPr>
              <w:jc w:val="right"/>
              <w:rPr>
                <w:rFonts w:cs="微软雅黑"/>
                <w:sz w:val="18"/>
                <w:szCs w:val="18"/>
              </w:rPr>
            </w:pPr>
            <w:r>
              <w:rPr>
                <w:rFonts w:cs="微软雅黑"/>
                <w:sz w:val="18"/>
                <w:szCs w:val="18"/>
              </w:rPr>
              <w:t xml:space="preserve"> -584,391.67 </w:t>
            </w:r>
          </w:p>
        </w:tc>
        <w:tc>
          <w:tcPr>
            <w:tcW w:w="416" w:type="pct"/>
            <w:shd w:val="clear" w:color="auto" w:fill="auto"/>
            <w:vAlign w:val="center"/>
          </w:tcPr>
          <w:p w14:paraId="3A473C4D" w14:textId="77777777" w:rsidR="006B4107" w:rsidRDefault="004E70C7">
            <w:pPr>
              <w:jc w:val="right"/>
              <w:rPr>
                <w:rFonts w:cs="微软雅黑"/>
                <w:sz w:val="18"/>
                <w:szCs w:val="18"/>
              </w:rPr>
            </w:pPr>
            <w:r>
              <w:rPr>
                <w:rFonts w:cs="微软雅黑"/>
                <w:sz w:val="18"/>
                <w:szCs w:val="18"/>
              </w:rPr>
              <w:t xml:space="preserve"> -803,950.00 </w:t>
            </w:r>
          </w:p>
        </w:tc>
        <w:tc>
          <w:tcPr>
            <w:tcW w:w="437" w:type="pct"/>
            <w:shd w:val="clear" w:color="auto" w:fill="auto"/>
            <w:vAlign w:val="center"/>
          </w:tcPr>
          <w:p w14:paraId="59E11AAE" w14:textId="77777777" w:rsidR="006B4107" w:rsidRDefault="004E70C7">
            <w:pPr>
              <w:jc w:val="right"/>
              <w:rPr>
                <w:rFonts w:cs="微软雅黑"/>
                <w:sz w:val="18"/>
                <w:szCs w:val="18"/>
              </w:rPr>
            </w:pPr>
            <w:r>
              <w:rPr>
                <w:rFonts w:cs="微软雅黑"/>
                <w:sz w:val="18"/>
                <w:szCs w:val="18"/>
              </w:rPr>
              <w:t>-0.92%</w:t>
            </w:r>
          </w:p>
        </w:tc>
      </w:tr>
      <w:tr w:rsidR="006B4107" w14:paraId="242C31FE" w14:textId="77777777">
        <w:trPr>
          <w:trHeight w:val="340"/>
          <w:jc w:val="center"/>
        </w:trPr>
        <w:tc>
          <w:tcPr>
            <w:tcW w:w="217" w:type="pct"/>
            <w:shd w:val="clear" w:color="000000" w:fill="FFFFFF"/>
            <w:vAlign w:val="center"/>
          </w:tcPr>
          <w:p w14:paraId="6A8F0204" w14:textId="77777777" w:rsidR="006B4107" w:rsidRDefault="004E70C7">
            <w:pPr>
              <w:jc w:val="center"/>
              <w:rPr>
                <w:rFonts w:cs="微软雅黑"/>
                <w:sz w:val="18"/>
                <w:szCs w:val="18"/>
              </w:rPr>
            </w:pPr>
            <w:r>
              <w:rPr>
                <w:rFonts w:cs="微软雅黑" w:hint="eastAsia"/>
                <w:sz w:val="18"/>
                <w:szCs w:val="18"/>
              </w:rPr>
              <w:t>6</w:t>
            </w:r>
          </w:p>
        </w:tc>
        <w:tc>
          <w:tcPr>
            <w:tcW w:w="1203" w:type="pct"/>
            <w:shd w:val="clear" w:color="000000" w:fill="FFFFFF"/>
            <w:vAlign w:val="center"/>
          </w:tcPr>
          <w:p w14:paraId="0B4D517C" w14:textId="77777777" w:rsidR="006B4107" w:rsidRDefault="004E70C7">
            <w:pPr>
              <w:jc w:val="both"/>
              <w:rPr>
                <w:rFonts w:cs="微软雅黑"/>
                <w:sz w:val="18"/>
                <w:szCs w:val="18"/>
              </w:rPr>
            </w:pPr>
            <w:r>
              <w:rPr>
                <w:rFonts w:cs="微软雅黑"/>
                <w:sz w:val="18"/>
                <w:szCs w:val="18"/>
              </w:rPr>
              <w:t>SEA &amp; Land Integrated Corporation</w:t>
            </w:r>
          </w:p>
        </w:tc>
        <w:tc>
          <w:tcPr>
            <w:tcW w:w="458" w:type="pct"/>
            <w:shd w:val="clear" w:color="000000" w:fill="FFFFFF"/>
            <w:vAlign w:val="center"/>
          </w:tcPr>
          <w:p w14:paraId="303BC974" w14:textId="77777777" w:rsidR="006B4107" w:rsidRDefault="004E70C7">
            <w:pPr>
              <w:jc w:val="center"/>
              <w:rPr>
                <w:rFonts w:cs="微软雅黑"/>
                <w:sz w:val="18"/>
                <w:szCs w:val="18"/>
              </w:rPr>
            </w:pPr>
            <w:r>
              <w:rPr>
                <w:rFonts w:cs="微软雅黑" w:hint="eastAsia"/>
                <w:sz w:val="18"/>
                <w:szCs w:val="18"/>
              </w:rPr>
              <w:t>中国台湾</w:t>
            </w:r>
          </w:p>
        </w:tc>
        <w:tc>
          <w:tcPr>
            <w:tcW w:w="313" w:type="pct"/>
            <w:shd w:val="clear" w:color="000000" w:fill="FFFFFF"/>
            <w:vAlign w:val="center"/>
          </w:tcPr>
          <w:p w14:paraId="00AC44F4" w14:textId="77777777" w:rsidR="006B4107" w:rsidRDefault="004E70C7">
            <w:pPr>
              <w:jc w:val="center"/>
              <w:rPr>
                <w:rFonts w:cs="微软雅黑"/>
                <w:sz w:val="18"/>
                <w:szCs w:val="18"/>
              </w:rPr>
            </w:pPr>
            <w:r>
              <w:rPr>
                <w:rFonts w:cs="微软雅黑"/>
                <w:sz w:val="18"/>
                <w:szCs w:val="18"/>
              </w:rPr>
              <w:t>4213</w:t>
            </w:r>
          </w:p>
        </w:tc>
        <w:tc>
          <w:tcPr>
            <w:tcW w:w="501" w:type="pct"/>
            <w:shd w:val="clear" w:color="auto" w:fill="auto"/>
            <w:vAlign w:val="center"/>
          </w:tcPr>
          <w:p w14:paraId="6BDE0800" w14:textId="77777777" w:rsidR="006B4107" w:rsidRDefault="004E70C7">
            <w:pPr>
              <w:jc w:val="right"/>
              <w:rPr>
                <w:rFonts w:cs="微软雅黑"/>
                <w:sz w:val="18"/>
                <w:szCs w:val="18"/>
              </w:rPr>
            </w:pPr>
            <w:r>
              <w:rPr>
                <w:rFonts w:cs="微软雅黑"/>
                <w:sz w:val="18"/>
                <w:szCs w:val="18"/>
              </w:rPr>
              <w:t xml:space="preserve"> 1,897,572.33 </w:t>
            </w:r>
          </w:p>
        </w:tc>
        <w:tc>
          <w:tcPr>
            <w:tcW w:w="508" w:type="pct"/>
            <w:vAlign w:val="center"/>
          </w:tcPr>
          <w:p w14:paraId="3FE5CD28" w14:textId="77777777" w:rsidR="006B4107" w:rsidRDefault="004E70C7">
            <w:pPr>
              <w:jc w:val="right"/>
              <w:rPr>
                <w:rFonts w:cs="微软雅黑"/>
                <w:sz w:val="18"/>
                <w:szCs w:val="18"/>
              </w:rPr>
            </w:pPr>
            <w:r>
              <w:rPr>
                <w:rFonts w:cs="微软雅黑"/>
                <w:sz w:val="18"/>
                <w:szCs w:val="18"/>
              </w:rPr>
              <w:t xml:space="preserve"> -1,528,806.00 </w:t>
            </w:r>
          </w:p>
        </w:tc>
        <w:tc>
          <w:tcPr>
            <w:tcW w:w="496" w:type="pct"/>
            <w:shd w:val="clear" w:color="auto" w:fill="auto"/>
            <w:vAlign w:val="center"/>
          </w:tcPr>
          <w:p w14:paraId="6DFC3EC9" w14:textId="77777777" w:rsidR="006B4107" w:rsidRDefault="004E70C7">
            <w:pPr>
              <w:jc w:val="right"/>
              <w:rPr>
                <w:rFonts w:cs="微软雅黑"/>
                <w:sz w:val="18"/>
                <w:szCs w:val="18"/>
              </w:rPr>
            </w:pPr>
            <w:r>
              <w:rPr>
                <w:rFonts w:cs="微软雅黑"/>
                <w:sz w:val="18"/>
                <w:szCs w:val="18"/>
              </w:rPr>
              <w:t xml:space="preserve"> -170,722.67 </w:t>
            </w:r>
          </w:p>
        </w:tc>
        <w:tc>
          <w:tcPr>
            <w:tcW w:w="451" w:type="pct"/>
            <w:shd w:val="clear" w:color="auto" w:fill="auto"/>
            <w:vAlign w:val="center"/>
          </w:tcPr>
          <w:p w14:paraId="01019B43" w14:textId="77777777" w:rsidR="006B4107" w:rsidRDefault="004E70C7">
            <w:pPr>
              <w:jc w:val="right"/>
              <w:rPr>
                <w:rFonts w:cs="微软雅黑"/>
                <w:sz w:val="18"/>
                <w:szCs w:val="18"/>
              </w:rPr>
            </w:pPr>
            <w:r>
              <w:rPr>
                <w:rFonts w:cs="微软雅黑"/>
                <w:sz w:val="18"/>
                <w:szCs w:val="18"/>
              </w:rPr>
              <w:t xml:space="preserve"> -103,336.00 </w:t>
            </w:r>
          </w:p>
        </w:tc>
        <w:tc>
          <w:tcPr>
            <w:tcW w:w="416" w:type="pct"/>
            <w:shd w:val="clear" w:color="auto" w:fill="auto"/>
            <w:vAlign w:val="center"/>
          </w:tcPr>
          <w:p w14:paraId="35ADFEBB" w14:textId="77777777" w:rsidR="006B4107" w:rsidRDefault="004E70C7">
            <w:pPr>
              <w:jc w:val="right"/>
              <w:rPr>
                <w:rFonts w:cs="微软雅黑"/>
                <w:sz w:val="18"/>
                <w:szCs w:val="18"/>
              </w:rPr>
            </w:pPr>
            <w:r>
              <w:rPr>
                <w:rFonts w:cs="微软雅黑"/>
                <w:sz w:val="18"/>
                <w:szCs w:val="18"/>
              </w:rPr>
              <w:t xml:space="preserve"> 94,707.67 </w:t>
            </w:r>
          </w:p>
        </w:tc>
        <w:tc>
          <w:tcPr>
            <w:tcW w:w="437" w:type="pct"/>
            <w:shd w:val="clear" w:color="auto" w:fill="auto"/>
            <w:vAlign w:val="center"/>
          </w:tcPr>
          <w:p w14:paraId="6F1217E9" w14:textId="77777777" w:rsidR="006B4107" w:rsidRDefault="004E70C7">
            <w:pPr>
              <w:jc w:val="right"/>
              <w:rPr>
                <w:rFonts w:cs="微软雅黑"/>
                <w:sz w:val="18"/>
                <w:szCs w:val="18"/>
              </w:rPr>
            </w:pPr>
            <w:r>
              <w:rPr>
                <w:rFonts w:cs="微软雅黑"/>
                <w:sz w:val="18"/>
                <w:szCs w:val="18"/>
              </w:rPr>
              <w:t>5.25%</w:t>
            </w:r>
          </w:p>
        </w:tc>
      </w:tr>
      <w:tr w:rsidR="006B4107" w14:paraId="72A29B85" w14:textId="77777777">
        <w:trPr>
          <w:trHeight w:val="340"/>
          <w:jc w:val="center"/>
        </w:trPr>
        <w:tc>
          <w:tcPr>
            <w:tcW w:w="217" w:type="pct"/>
            <w:shd w:val="clear" w:color="000000" w:fill="FFFFFF"/>
            <w:vAlign w:val="center"/>
          </w:tcPr>
          <w:p w14:paraId="4E86A9ED" w14:textId="77777777" w:rsidR="006B4107" w:rsidRDefault="004E70C7">
            <w:pPr>
              <w:jc w:val="center"/>
              <w:rPr>
                <w:rFonts w:cs="微软雅黑"/>
                <w:sz w:val="18"/>
                <w:szCs w:val="18"/>
              </w:rPr>
            </w:pPr>
            <w:r>
              <w:rPr>
                <w:rFonts w:cs="微软雅黑"/>
                <w:sz w:val="18"/>
                <w:szCs w:val="18"/>
              </w:rPr>
              <w:t>7</w:t>
            </w:r>
          </w:p>
        </w:tc>
        <w:tc>
          <w:tcPr>
            <w:tcW w:w="1203" w:type="pct"/>
            <w:shd w:val="clear" w:color="000000" w:fill="FFFFFF"/>
            <w:vAlign w:val="center"/>
          </w:tcPr>
          <w:p w14:paraId="1F31BBF8" w14:textId="77777777" w:rsidR="006B4107" w:rsidRDefault="004E70C7">
            <w:pPr>
              <w:jc w:val="both"/>
              <w:rPr>
                <w:rFonts w:cs="微软雅黑"/>
                <w:sz w:val="18"/>
                <w:szCs w:val="18"/>
              </w:rPr>
            </w:pPr>
            <w:proofErr w:type="spellStart"/>
            <w:r>
              <w:rPr>
                <w:rFonts w:cs="微软雅黑"/>
                <w:sz w:val="18"/>
                <w:szCs w:val="18"/>
              </w:rPr>
              <w:t>Vinalink</w:t>
            </w:r>
            <w:proofErr w:type="spellEnd"/>
            <w:r>
              <w:rPr>
                <w:rFonts w:cs="微软雅黑"/>
                <w:sz w:val="18"/>
                <w:szCs w:val="18"/>
              </w:rPr>
              <w:t xml:space="preserve"> Logistics Joint Stock </w:t>
            </w:r>
            <w:r>
              <w:rPr>
                <w:rFonts w:cs="微软雅黑"/>
                <w:sz w:val="18"/>
                <w:szCs w:val="18"/>
              </w:rPr>
              <w:t>Company</w:t>
            </w:r>
          </w:p>
        </w:tc>
        <w:tc>
          <w:tcPr>
            <w:tcW w:w="458" w:type="pct"/>
            <w:shd w:val="clear" w:color="000000" w:fill="FFFFFF"/>
            <w:vAlign w:val="center"/>
          </w:tcPr>
          <w:p w14:paraId="5204EEE3" w14:textId="77777777" w:rsidR="006B4107" w:rsidRDefault="004E70C7">
            <w:pPr>
              <w:jc w:val="center"/>
              <w:rPr>
                <w:rFonts w:cs="微软雅黑"/>
                <w:sz w:val="18"/>
                <w:szCs w:val="18"/>
              </w:rPr>
            </w:pPr>
            <w:r>
              <w:rPr>
                <w:rFonts w:cs="微软雅黑" w:hint="eastAsia"/>
                <w:sz w:val="18"/>
                <w:szCs w:val="18"/>
              </w:rPr>
              <w:t>越南</w:t>
            </w:r>
          </w:p>
        </w:tc>
        <w:tc>
          <w:tcPr>
            <w:tcW w:w="313" w:type="pct"/>
            <w:shd w:val="clear" w:color="000000" w:fill="FFFFFF"/>
            <w:vAlign w:val="center"/>
          </w:tcPr>
          <w:p w14:paraId="224D537B" w14:textId="77777777" w:rsidR="006B4107" w:rsidRDefault="004E70C7">
            <w:pPr>
              <w:jc w:val="center"/>
              <w:rPr>
                <w:rFonts w:cs="微软雅黑"/>
                <w:sz w:val="18"/>
                <w:szCs w:val="18"/>
              </w:rPr>
            </w:pPr>
            <w:r>
              <w:rPr>
                <w:rFonts w:cs="微软雅黑"/>
                <w:sz w:val="18"/>
                <w:szCs w:val="18"/>
              </w:rPr>
              <w:t>4731</w:t>
            </w:r>
          </w:p>
        </w:tc>
        <w:tc>
          <w:tcPr>
            <w:tcW w:w="501" w:type="pct"/>
            <w:shd w:val="clear" w:color="auto" w:fill="auto"/>
            <w:vAlign w:val="center"/>
          </w:tcPr>
          <w:p w14:paraId="0B88676F" w14:textId="77777777" w:rsidR="006B4107" w:rsidRDefault="004E70C7">
            <w:pPr>
              <w:jc w:val="right"/>
              <w:rPr>
                <w:rFonts w:cs="微软雅黑"/>
                <w:sz w:val="18"/>
                <w:szCs w:val="18"/>
              </w:rPr>
            </w:pPr>
            <w:r>
              <w:rPr>
                <w:rFonts w:cs="微软雅黑"/>
                <w:sz w:val="18"/>
                <w:szCs w:val="18"/>
              </w:rPr>
              <w:t xml:space="preserve">1,254,324,194.00 </w:t>
            </w:r>
          </w:p>
        </w:tc>
        <w:tc>
          <w:tcPr>
            <w:tcW w:w="508" w:type="pct"/>
            <w:vAlign w:val="center"/>
          </w:tcPr>
          <w:p w14:paraId="0AF4C753" w14:textId="77777777" w:rsidR="006B4107" w:rsidRDefault="004E70C7">
            <w:pPr>
              <w:jc w:val="right"/>
              <w:rPr>
                <w:rFonts w:cs="微软雅黑"/>
                <w:sz w:val="18"/>
                <w:szCs w:val="18"/>
              </w:rPr>
            </w:pPr>
            <w:r>
              <w:rPr>
                <w:rFonts w:cs="微软雅黑"/>
                <w:sz w:val="18"/>
                <w:szCs w:val="18"/>
              </w:rPr>
              <w:t xml:space="preserve">-1,200,600,170.00 </w:t>
            </w:r>
          </w:p>
        </w:tc>
        <w:tc>
          <w:tcPr>
            <w:tcW w:w="496" w:type="pct"/>
            <w:shd w:val="clear" w:color="auto" w:fill="auto"/>
            <w:vAlign w:val="center"/>
          </w:tcPr>
          <w:p w14:paraId="6B8F5EE4" w14:textId="77777777" w:rsidR="006B4107" w:rsidRDefault="004E70C7">
            <w:pPr>
              <w:jc w:val="right"/>
              <w:rPr>
                <w:rFonts w:cs="微软雅黑"/>
                <w:sz w:val="18"/>
                <w:szCs w:val="18"/>
              </w:rPr>
            </w:pPr>
            <w:r>
              <w:rPr>
                <w:rFonts w:cs="微软雅黑"/>
                <w:sz w:val="18"/>
                <w:szCs w:val="18"/>
              </w:rPr>
              <w:t xml:space="preserve"> -18,388,025.33 </w:t>
            </w:r>
          </w:p>
        </w:tc>
        <w:tc>
          <w:tcPr>
            <w:tcW w:w="451" w:type="pct"/>
            <w:shd w:val="clear" w:color="auto" w:fill="auto"/>
            <w:vAlign w:val="center"/>
          </w:tcPr>
          <w:p w14:paraId="76384351" w14:textId="77777777" w:rsidR="006B4107" w:rsidRDefault="004E70C7">
            <w:pPr>
              <w:jc w:val="right"/>
              <w:rPr>
                <w:rFonts w:cs="微软雅黑"/>
                <w:sz w:val="18"/>
                <w:szCs w:val="18"/>
              </w:rPr>
            </w:pPr>
            <w:r>
              <w:rPr>
                <w:rFonts w:cs="微软雅黑"/>
                <w:sz w:val="18"/>
                <w:szCs w:val="18"/>
              </w:rPr>
              <w:t xml:space="preserve"> -2,494,627.33 </w:t>
            </w:r>
          </w:p>
        </w:tc>
        <w:tc>
          <w:tcPr>
            <w:tcW w:w="416" w:type="pct"/>
            <w:shd w:val="clear" w:color="auto" w:fill="auto"/>
            <w:vAlign w:val="center"/>
          </w:tcPr>
          <w:p w14:paraId="677B693E" w14:textId="77777777" w:rsidR="006B4107" w:rsidRDefault="004E70C7">
            <w:pPr>
              <w:jc w:val="right"/>
              <w:rPr>
                <w:rFonts w:cs="微软雅黑"/>
                <w:sz w:val="18"/>
                <w:szCs w:val="18"/>
              </w:rPr>
            </w:pPr>
            <w:r>
              <w:rPr>
                <w:rFonts w:cs="微软雅黑"/>
                <w:sz w:val="18"/>
                <w:szCs w:val="18"/>
              </w:rPr>
              <w:t xml:space="preserve">32,841,371.33 </w:t>
            </w:r>
          </w:p>
        </w:tc>
        <w:tc>
          <w:tcPr>
            <w:tcW w:w="437" w:type="pct"/>
            <w:shd w:val="clear" w:color="auto" w:fill="auto"/>
            <w:vAlign w:val="center"/>
          </w:tcPr>
          <w:p w14:paraId="0481623E" w14:textId="77777777" w:rsidR="006B4107" w:rsidRDefault="004E70C7">
            <w:pPr>
              <w:jc w:val="right"/>
              <w:rPr>
                <w:rFonts w:cs="微软雅黑"/>
                <w:sz w:val="18"/>
                <w:szCs w:val="18"/>
              </w:rPr>
            </w:pPr>
            <w:r>
              <w:rPr>
                <w:rFonts w:cs="微软雅黑"/>
                <w:sz w:val="18"/>
                <w:szCs w:val="18"/>
              </w:rPr>
              <w:t>2.69%</w:t>
            </w:r>
          </w:p>
        </w:tc>
      </w:tr>
      <w:tr w:rsidR="006B4107" w14:paraId="546105E4" w14:textId="77777777">
        <w:trPr>
          <w:trHeight w:val="340"/>
          <w:jc w:val="center"/>
        </w:trPr>
        <w:tc>
          <w:tcPr>
            <w:tcW w:w="217" w:type="pct"/>
            <w:shd w:val="clear" w:color="000000" w:fill="FFFFFF"/>
            <w:vAlign w:val="center"/>
          </w:tcPr>
          <w:p w14:paraId="63352397" w14:textId="77777777" w:rsidR="006B4107" w:rsidRDefault="004E70C7">
            <w:pPr>
              <w:jc w:val="center"/>
              <w:rPr>
                <w:rFonts w:cs="微软雅黑"/>
                <w:sz w:val="18"/>
                <w:szCs w:val="18"/>
              </w:rPr>
            </w:pPr>
            <w:r>
              <w:rPr>
                <w:rFonts w:cs="微软雅黑"/>
                <w:sz w:val="18"/>
                <w:szCs w:val="18"/>
              </w:rPr>
              <w:t>8</w:t>
            </w:r>
          </w:p>
        </w:tc>
        <w:tc>
          <w:tcPr>
            <w:tcW w:w="1203" w:type="pct"/>
            <w:shd w:val="clear" w:color="000000" w:fill="FFFFFF"/>
            <w:vAlign w:val="center"/>
          </w:tcPr>
          <w:p w14:paraId="08A355D0" w14:textId="77777777" w:rsidR="006B4107" w:rsidRDefault="004E70C7">
            <w:pPr>
              <w:jc w:val="both"/>
              <w:rPr>
                <w:rFonts w:cs="微软雅黑"/>
                <w:sz w:val="18"/>
                <w:szCs w:val="18"/>
              </w:rPr>
            </w:pPr>
            <w:r>
              <w:rPr>
                <w:rFonts w:cs="微软雅黑"/>
                <w:sz w:val="18"/>
                <w:szCs w:val="18"/>
              </w:rPr>
              <w:t>Inter State OIL Carrier LTD</w:t>
            </w:r>
          </w:p>
        </w:tc>
        <w:tc>
          <w:tcPr>
            <w:tcW w:w="458" w:type="pct"/>
            <w:shd w:val="clear" w:color="000000" w:fill="FFFFFF"/>
            <w:vAlign w:val="center"/>
          </w:tcPr>
          <w:p w14:paraId="7D1FCCFF" w14:textId="77777777" w:rsidR="006B4107" w:rsidRDefault="004E70C7">
            <w:pPr>
              <w:jc w:val="center"/>
              <w:rPr>
                <w:rFonts w:cs="微软雅黑"/>
                <w:sz w:val="18"/>
                <w:szCs w:val="18"/>
              </w:rPr>
            </w:pPr>
            <w:r>
              <w:rPr>
                <w:rFonts w:cs="微软雅黑" w:hint="eastAsia"/>
                <w:sz w:val="18"/>
                <w:szCs w:val="18"/>
              </w:rPr>
              <w:t>印度</w:t>
            </w:r>
          </w:p>
        </w:tc>
        <w:tc>
          <w:tcPr>
            <w:tcW w:w="313" w:type="pct"/>
            <w:shd w:val="clear" w:color="000000" w:fill="FFFFFF"/>
            <w:vAlign w:val="center"/>
          </w:tcPr>
          <w:p w14:paraId="48085AEE" w14:textId="77777777" w:rsidR="006B4107" w:rsidRDefault="004E70C7">
            <w:pPr>
              <w:jc w:val="center"/>
              <w:rPr>
                <w:rFonts w:cs="微软雅黑"/>
                <w:sz w:val="18"/>
                <w:szCs w:val="18"/>
              </w:rPr>
            </w:pPr>
            <w:r>
              <w:rPr>
                <w:rFonts w:cs="微软雅黑"/>
                <w:sz w:val="18"/>
                <w:szCs w:val="18"/>
              </w:rPr>
              <w:t>4789</w:t>
            </w:r>
          </w:p>
        </w:tc>
        <w:tc>
          <w:tcPr>
            <w:tcW w:w="501" w:type="pct"/>
            <w:shd w:val="clear" w:color="auto" w:fill="auto"/>
            <w:vAlign w:val="center"/>
          </w:tcPr>
          <w:p w14:paraId="039545E4" w14:textId="77777777" w:rsidR="006B4107" w:rsidRDefault="004E70C7">
            <w:pPr>
              <w:jc w:val="right"/>
              <w:rPr>
                <w:rFonts w:cs="微软雅黑"/>
                <w:sz w:val="18"/>
                <w:szCs w:val="18"/>
              </w:rPr>
            </w:pPr>
            <w:r>
              <w:rPr>
                <w:rFonts w:cs="微软雅黑"/>
                <w:sz w:val="18"/>
                <w:szCs w:val="18"/>
              </w:rPr>
              <w:t xml:space="preserve"> 444,185.00 </w:t>
            </w:r>
          </w:p>
        </w:tc>
        <w:tc>
          <w:tcPr>
            <w:tcW w:w="508" w:type="pct"/>
            <w:vAlign w:val="center"/>
          </w:tcPr>
          <w:p w14:paraId="10A6DEBF" w14:textId="77777777" w:rsidR="006B4107" w:rsidRDefault="004E70C7">
            <w:pPr>
              <w:jc w:val="right"/>
              <w:rPr>
                <w:rFonts w:cs="微软雅黑"/>
                <w:sz w:val="18"/>
                <w:szCs w:val="18"/>
              </w:rPr>
            </w:pPr>
            <w:r>
              <w:rPr>
                <w:rFonts w:cs="微软雅黑"/>
                <w:sz w:val="18"/>
                <w:szCs w:val="18"/>
              </w:rPr>
              <w:t xml:space="preserve"> -   </w:t>
            </w:r>
          </w:p>
        </w:tc>
        <w:tc>
          <w:tcPr>
            <w:tcW w:w="496" w:type="pct"/>
            <w:shd w:val="clear" w:color="auto" w:fill="auto"/>
            <w:vAlign w:val="center"/>
          </w:tcPr>
          <w:p w14:paraId="6CBC1196" w14:textId="77777777" w:rsidR="006B4107" w:rsidRDefault="004E70C7">
            <w:pPr>
              <w:jc w:val="right"/>
              <w:rPr>
                <w:rFonts w:cs="微软雅黑"/>
                <w:sz w:val="18"/>
                <w:szCs w:val="18"/>
              </w:rPr>
            </w:pPr>
            <w:r>
              <w:rPr>
                <w:rFonts w:cs="微软雅黑"/>
                <w:sz w:val="18"/>
                <w:szCs w:val="18"/>
              </w:rPr>
              <w:t xml:space="preserve"> -405,781.33 </w:t>
            </w:r>
          </w:p>
        </w:tc>
        <w:tc>
          <w:tcPr>
            <w:tcW w:w="451" w:type="pct"/>
            <w:shd w:val="clear" w:color="auto" w:fill="auto"/>
            <w:vAlign w:val="center"/>
          </w:tcPr>
          <w:p w14:paraId="05FB9D49" w14:textId="77777777" w:rsidR="006B4107" w:rsidRDefault="004E70C7">
            <w:pPr>
              <w:jc w:val="right"/>
              <w:rPr>
                <w:rFonts w:cs="微软雅黑"/>
                <w:sz w:val="18"/>
                <w:szCs w:val="18"/>
              </w:rPr>
            </w:pPr>
            <w:r>
              <w:rPr>
                <w:rFonts w:cs="微软雅黑"/>
                <w:sz w:val="18"/>
                <w:szCs w:val="18"/>
              </w:rPr>
              <w:t xml:space="preserve"> -27,175.67 </w:t>
            </w:r>
          </w:p>
        </w:tc>
        <w:tc>
          <w:tcPr>
            <w:tcW w:w="416" w:type="pct"/>
            <w:shd w:val="clear" w:color="auto" w:fill="auto"/>
            <w:vAlign w:val="center"/>
          </w:tcPr>
          <w:p w14:paraId="20CD9B50" w14:textId="77777777" w:rsidR="006B4107" w:rsidRDefault="004E70C7">
            <w:pPr>
              <w:jc w:val="right"/>
              <w:rPr>
                <w:rFonts w:cs="微软雅黑"/>
                <w:sz w:val="18"/>
                <w:szCs w:val="18"/>
              </w:rPr>
            </w:pPr>
            <w:r>
              <w:rPr>
                <w:rFonts w:cs="微软雅黑"/>
                <w:sz w:val="18"/>
                <w:szCs w:val="18"/>
              </w:rPr>
              <w:t xml:space="preserve"> 11,228.00 </w:t>
            </w:r>
          </w:p>
        </w:tc>
        <w:tc>
          <w:tcPr>
            <w:tcW w:w="437" w:type="pct"/>
            <w:shd w:val="clear" w:color="auto" w:fill="auto"/>
            <w:vAlign w:val="center"/>
          </w:tcPr>
          <w:p w14:paraId="0ACC22D5" w14:textId="77777777" w:rsidR="006B4107" w:rsidRDefault="004E70C7">
            <w:pPr>
              <w:jc w:val="right"/>
              <w:rPr>
                <w:rFonts w:cs="微软雅黑"/>
                <w:sz w:val="18"/>
                <w:szCs w:val="18"/>
              </w:rPr>
            </w:pPr>
            <w:r>
              <w:rPr>
                <w:rFonts w:cs="微软雅黑"/>
                <w:sz w:val="18"/>
                <w:szCs w:val="18"/>
              </w:rPr>
              <w:t>2.59%</w:t>
            </w:r>
          </w:p>
        </w:tc>
      </w:tr>
      <w:tr w:rsidR="006B4107" w14:paraId="3D482148" w14:textId="77777777">
        <w:trPr>
          <w:trHeight w:val="340"/>
          <w:jc w:val="center"/>
        </w:trPr>
        <w:tc>
          <w:tcPr>
            <w:tcW w:w="217" w:type="pct"/>
            <w:shd w:val="clear" w:color="000000" w:fill="FFFFFF"/>
            <w:vAlign w:val="center"/>
          </w:tcPr>
          <w:p w14:paraId="292BE4BB" w14:textId="77777777" w:rsidR="006B4107" w:rsidRDefault="004E70C7">
            <w:pPr>
              <w:jc w:val="center"/>
              <w:rPr>
                <w:rFonts w:cs="微软雅黑"/>
                <w:sz w:val="18"/>
                <w:szCs w:val="18"/>
              </w:rPr>
            </w:pPr>
            <w:r>
              <w:rPr>
                <w:rFonts w:cs="微软雅黑"/>
                <w:sz w:val="18"/>
                <w:szCs w:val="18"/>
              </w:rPr>
              <w:t>9</w:t>
            </w:r>
          </w:p>
        </w:tc>
        <w:tc>
          <w:tcPr>
            <w:tcW w:w="1203" w:type="pct"/>
            <w:shd w:val="clear" w:color="000000" w:fill="FFFFFF"/>
            <w:vAlign w:val="center"/>
          </w:tcPr>
          <w:p w14:paraId="13F298CD" w14:textId="77777777" w:rsidR="006B4107" w:rsidRDefault="004E70C7">
            <w:pPr>
              <w:jc w:val="both"/>
              <w:rPr>
                <w:rFonts w:cs="微软雅黑"/>
                <w:sz w:val="18"/>
                <w:szCs w:val="18"/>
              </w:rPr>
            </w:pPr>
            <w:r>
              <w:rPr>
                <w:rFonts w:cs="微软雅黑"/>
                <w:sz w:val="18"/>
                <w:szCs w:val="18"/>
              </w:rPr>
              <w:t>PT MPX Logistics International TBK</w:t>
            </w:r>
          </w:p>
        </w:tc>
        <w:tc>
          <w:tcPr>
            <w:tcW w:w="458" w:type="pct"/>
            <w:shd w:val="clear" w:color="000000" w:fill="FFFFFF"/>
            <w:vAlign w:val="center"/>
          </w:tcPr>
          <w:p w14:paraId="5CDCB328" w14:textId="77777777" w:rsidR="006B4107" w:rsidRDefault="004E70C7">
            <w:pPr>
              <w:jc w:val="center"/>
              <w:rPr>
                <w:rFonts w:cs="微软雅黑"/>
                <w:sz w:val="18"/>
                <w:szCs w:val="18"/>
              </w:rPr>
            </w:pPr>
            <w:r>
              <w:rPr>
                <w:rFonts w:cs="微软雅黑" w:hint="eastAsia"/>
                <w:sz w:val="18"/>
                <w:szCs w:val="18"/>
              </w:rPr>
              <w:t>印度尼西亚</w:t>
            </w:r>
          </w:p>
        </w:tc>
        <w:tc>
          <w:tcPr>
            <w:tcW w:w="313" w:type="pct"/>
            <w:shd w:val="clear" w:color="000000" w:fill="FFFFFF"/>
            <w:vAlign w:val="center"/>
          </w:tcPr>
          <w:p w14:paraId="19D1F8B3" w14:textId="77777777" w:rsidR="006B4107" w:rsidRDefault="004E70C7">
            <w:pPr>
              <w:jc w:val="center"/>
              <w:rPr>
                <w:rFonts w:cs="微软雅黑"/>
                <w:sz w:val="18"/>
                <w:szCs w:val="18"/>
              </w:rPr>
            </w:pPr>
            <w:r>
              <w:rPr>
                <w:rFonts w:cs="微软雅黑"/>
                <w:sz w:val="18"/>
                <w:szCs w:val="18"/>
              </w:rPr>
              <w:t>4214</w:t>
            </w:r>
          </w:p>
        </w:tc>
        <w:tc>
          <w:tcPr>
            <w:tcW w:w="501" w:type="pct"/>
            <w:shd w:val="clear" w:color="auto" w:fill="auto"/>
            <w:vAlign w:val="center"/>
          </w:tcPr>
          <w:p w14:paraId="273EA579" w14:textId="77777777" w:rsidR="006B4107" w:rsidRDefault="004E70C7">
            <w:pPr>
              <w:jc w:val="right"/>
              <w:rPr>
                <w:rFonts w:cs="微软雅黑"/>
                <w:sz w:val="18"/>
                <w:szCs w:val="18"/>
              </w:rPr>
            </w:pPr>
            <w:r>
              <w:rPr>
                <w:rFonts w:cs="微软雅黑"/>
                <w:sz w:val="18"/>
                <w:szCs w:val="18"/>
              </w:rPr>
              <w:t xml:space="preserve"> 111,011,070.67 </w:t>
            </w:r>
          </w:p>
        </w:tc>
        <w:tc>
          <w:tcPr>
            <w:tcW w:w="508" w:type="pct"/>
            <w:vAlign w:val="center"/>
          </w:tcPr>
          <w:p w14:paraId="295EE082" w14:textId="77777777" w:rsidR="006B4107" w:rsidRDefault="004E70C7">
            <w:pPr>
              <w:jc w:val="right"/>
              <w:rPr>
                <w:rFonts w:cs="微软雅黑"/>
                <w:sz w:val="18"/>
                <w:szCs w:val="18"/>
              </w:rPr>
            </w:pPr>
            <w:r>
              <w:rPr>
                <w:rFonts w:cs="微软雅黑"/>
                <w:sz w:val="18"/>
                <w:szCs w:val="18"/>
              </w:rPr>
              <w:t xml:space="preserve"> -86,988,193.00 </w:t>
            </w:r>
          </w:p>
        </w:tc>
        <w:tc>
          <w:tcPr>
            <w:tcW w:w="496" w:type="pct"/>
            <w:shd w:val="clear" w:color="auto" w:fill="auto"/>
            <w:vAlign w:val="center"/>
          </w:tcPr>
          <w:p w14:paraId="37D7B4FE" w14:textId="77777777" w:rsidR="006B4107" w:rsidRDefault="004E70C7">
            <w:pPr>
              <w:jc w:val="right"/>
              <w:rPr>
                <w:rFonts w:cs="微软雅黑"/>
                <w:sz w:val="18"/>
                <w:szCs w:val="18"/>
              </w:rPr>
            </w:pPr>
            <w:r>
              <w:rPr>
                <w:rFonts w:cs="微软雅黑"/>
                <w:sz w:val="18"/>
                <w:szCs w:val="18"/>
              </w:rPr>
              <w:t xml:space="preserve"> -7,107,901.00 </w:t>
            </w:r>
          </w:p>
        </w:tc>
        <w:tc>
          <w:tcPr>
            <w:tcW w:w="451" w:type="pct"/>
            <w:shd w:val="clear" w:color="auto" w:fill="auto"/>
            <w:vAlign w:val="center"/>
          </w:tcPr>
          <w:p w14:paraId="69473EFA" w14:textId="77777777" w:rsidR="006B4107" w:rsidRDefault="004E70C7">
            <w:pPr>
              <w:jc w:val="right"/>
              <w:rPr>
                <w:rFonts w:cs="微软雅黑"/>
                <w:sz w:val="18"/>
                <w:szCs w:val="18"/>
              </w:rPr>
            </w:pPr>
            <w:r>
              <w:rPr>
                <w:rFonts w:cs="微软雅黑"/>
                <w:sz w:val="18"/>
                <w:szCs w:val="18"/>
              </w:rPr>
              <w:t xml:space="preserve"> -5,170,469.00 </w:t>
            </w:r>
          </w:p>
        </w:tc>
        <w:tc>
          <w:tcPr>
            <w:tcW w:w="416" w:type="pct"/>
            <w:shd w:val="clear" w:color="auto" w:fill="auto"/>
            <w:vAlign w:val="center"/>
          </w:tcPr>
          <w:p w14:paraId="6D47DA54" w14:textId="77777777" w:rsidR="006B4107" w:rsidRDefault="004E70C7">
            <w:pPr>
              <w:jc w:val="right"/>
              <w:rPr>
                <w:rFonts w:cs="微软雅黑"/>
                <w:sz w:val="18"/>
                <w:szCs w:val="18"/>
              </w:rPr>
            </w:pPr>
            <w:r>
              <w:rPr>
                <w:rFonts w:cs="微软雅黑"/>
                <w:sz w:val="18"/>
                <w:szCs w:val="18"/>
              </w:rPr>
              <w:t xml:space="preserve">11,744,507.67 </w:t>
            </w:r>
          </w:p>
        </w:tc>
        <w:tc>
          <w:tcPr>
            <w:tcW w:w="437" w:type="pct"/>
            <w:shd w:val="clear" w:color="auto" w:fill="auto"/>
            <w:vAlign w:val="center"/>
          </w:tcPr>
          <w:p w14:paraId="788FBCBA" w14:textId="77777777" w:rsidR="006B4107" w:rsidRDefault="004E70C7">
            <w:pPr>
              <w:jc w:val="right"/>
              <w:rPr>
                <w:rFonts w:cs="微软雅黑"/>
                <w:sz w:val="18"/>
                <w:szCs w:val="18"/>
              </w:rPr>
            </w:pPr>
            <w:r>
              <w:rPr>
                <w:rFonts w:cs="微软雅黑"/>
                <w:sz w:val="18"/>
                <w:szCs w:val="18"/>
              </w:rPr>
              <w:t>11.83%</w:t>
            </w:r>
          </w:p>
        </w:tc>
      </w:tr>
      <w:tr w:rsidR="006B4107" w14:paraId="67FB0184" w14:textId="77777777">
        <w:trPr>
          <w:trHeight w:val="340"/>
          <w:jc w:val="center"/>
        </w:trPr>
        <w:tc>
          <w:tcPr>
            <w:tcW w:w="217" w:type="pct"/>
            <w:shd w:val="clear" w:color="000000" w:fill="FFFFFF"/>
            <w:vAlign w:val="center"/>
          </w:tcPr>
          <w:p w14:paraId="1331AEC9" w14:textId="77777777" w:rsidR="006B4107" w:rsidRDefault="004E70C7">
            <w:pPr>
              <w:ind w:right="180"/>
              <w:jc w:val="right"/>
              <w:rPr>
                <w:rFonts w:cs="微软雅黑"/>
                <w:sz w:val="18"/>
                <w:szCs w:val="18"/>
              </w:rPr>
            </w:pPr>
            <w:r>
              <w:rPr>
                <w:rFonts w:cs="微软雅黑"/>
                <w:sz w:val="18"/>
                <w:szCs w:val="18"/>
              </w:rPr>
              <w:t>10</w:t>
            </w:r>
          </w:p>
        </w:tc>
        <w:tc>
          <w:tcPr>
            <w:tcW w:w="1203" w:type="pct"/>
            <w:shd w:val="clear" w:color="000000" w:fill="FFFFFF"/>
            <w:vAlign w:val="center"/>
          </w:tcPr>
          <w:p w14:paraId="740B1082" w14:textId="77777777" w:rsidR="006B4107" w:rsidRDefault="004E70C7">
            <w:pPr>
              <w:jc w:val="both"/>
              <w:rPr>
                <w:rFonts w:cs="微软雅黑"/>
                <w:sz w:val="18"/>
                <w:szCs w:val="18"/>
              </w:rPr>
            </w:pPr>
            <w:proofErr w:type="spellStart"/>
            <w:r>
              <w:rPr>
                <w:rFonts w:cs="微软雅黑"/>
                <w:sz w:val="18"/>
                <w:szCs w:val="18"/>
              </w:rPr>
              <w:t>Balurghat</w:t>
            </w:r>
            <w:proofErr w:type="spellEnd"/>
            <w:r>
              <w:rPr>
                <w:rFonts w:cs="微软雅黑"/>
                <w:sz w:val="18"/>
                <w:szCs w:val="18"/>
              </w:rPr>
              <w:t xml:space="preserve"> Technologies Limited</w:t>
            </w:r>
          </w:p>
        </w:tc>
        <w:tc>
          <w:tcPr>
            <w:tcW w:w="458" w:type="pct"/>
            <w:shd w:val="clear" w:color="000000" w:fill="FFFFFF"/>
            <w:vAlign w:val="center"/>
          </w:tcPr>
          <w:p w14:paraId="678553F8" w14:textId="77777777" w:rsidR="006B4107" w:rsidRDefault="004E70C7">
            <w:pPr>
              <w:jc w:val="center"/>
              <w:rPr>
                <w:rFonts w:cs="微软雅黑"/>
                <w:sz w:val="18"/>
                <w:szCs w:val="18"/>
              </w:rPr>
            </w:pPr>
            <w:r>
              <w:rPr>
                <w:rFonts w:cs="微软雅黑" w:hint="eastAsia"/>
                <w:sz w:val="18"/>
                <w:szCs w:val="18"/>
              </w:rPr>
              <w:t>印度</w:t>
            </w:r>
          </w:p>
        </w:tc>
        <w:tc>
          <w:tcPr>
            <w:tcW w:w="313" w:type="pct"/>
            <w:shd w:val="clear" w:color="000000" w:fill="FFFFFF"/>
            <w:vAlign w:val="center"/>
          </w:tcPr>
          <w:p w14:paraId="00F33DF8" w14:textId="77777777" w:rsidR="006B4107" w:rsidRDefault="004E70C7">
            <w:pPr>
              <w:jc w:val="center"/>
              <w:rPr>
                <w:rFonts w:cs="微软雅黑"/>
                <w:sz w:val="18"/>
                <w:szCs w:val="18"/>
              </w:rPr>
            </w:pPr>
            <w:r>
              <w:rPr>
                <w:rFonts w:cs="微软雅黑"/>
                <w:sz w:val="18"/>
                <w:szCs w:val="18"/>
              </w:rPr>
              <w:t>4789</w:t>
            </w:r>
          </w:p>
        </w:tc>
        <w:tc>
          <w:tcPr>
            <w:tcW w:w="501" w:type="pct"/>
            <w:shd w:val="clear" w:color="auto" w:fill="auto"/>
            <w:vAlign w:val="center"/>
          </w:tcPr>
          <w:p w14:paraId="0E9D03A7" w14:textId="77777777" w:rsidR="006B4107" w:rsidRDefault="004E70C7">
            <w:pPr>
              <w:jc w:val="right"/>
              <w:rPr>
                <w:rFonts w:cs="微软雅黑"/>
                <w:sz w:val="18"/>
                <w:szCs w:val="18"/>
              </w:rPr>
            </w:pPr>
            <w:r>
              <w:rPr>
                <w:rFonts w:cs="微软雅黑"/>
                <w:sz w:val="18"/>
                <w:szCs w:val="18"/>
              </w:rPr>
              <w:t xml:space="preserve"> 728,475.00 </w:t>
            </w:r>
          </w:p>
        </w:tc>
        <w:tc>
          <w:tcPr>
            <w:tcW w:w="508" w:type="pct"/>
            <w:vAlign w:val="center"/>
          </w:tcPr>
          <w:p w14:paraId="38A1C5C2" w14:textId="77777777" w:rsidR="006B4107" w:rsidRDefault="004E70C7">
            <w:pPr>
              <w:jc w:val="right"/>
              <w:rPr>
                <w:rFonts w:cs="微软雅黑"/>
                <w:sz w:val="18"/>
                <w:szCs w:val="18"/>
              </w:rPr>
            </w:pPr>
            <w:r>
              <w:rPr>
                <w:rFonts w:cs="微软雅黑"/>
                <w:sz w:val="18"/>
                <w:szCs w:val="18"/>
              </w:rPr>
              <w:t xml:space="preserve"> -648,949.00 </w:t>
            </w:r>
          </w:p>
        </w:tc>
        <w:tc>
          <w:tcPr>
            <w:tcW w:w="496" w:type="pct"/>
            <w:shd w:val="clear" w:color="auto" w:fill="auto"/>
            <w:vAlign w:val="center"/>
          </w:tcPr>
          <w:p w14:paraId="312C6946" w14:textId="77777777" w:rsidR="006B4107" w:rsidRDefault="004E70C7">
            <w:pPr>
              <w:jc w:val="right"/>
              <w:rPr>
                <w:rFonts w:cs="微软雅黑"/>
                <w:sz w:val="18"/>
                <w:szCs w:val="18"/>
              </w:rPr>
            </w:pPr>
            <w:r>
              <w:rPr>
                <w:rFonts w:cs="微软雅黑"/>
                <w:sz w:val="18"/>
                <w:szCs w:val="18"/>
              </w:rPr>
              <w:t xml:space="preserve"> -60,244.00 </w:t>
            </w:r>
          </w:p>
        </w:tc>
        <w:tc>
          <w:tcPr>
            <w:tcW w:w="451" w:type="pct"/>
            <w:shd w:val="clear" w:color="auto" w:fill="auto"/>
            <w:vAlign w:val="center"/>
          </w:tcPr>
          <w:p w14:paraId="0FCF70A8" w14:textId="77777777" w:rsidR="006B4107" w:rsidRDefault="004E70C7">
            <w:pPr>
              <w:jc w:val="right"/>
              <w:rPr>
                <w:rFonts w:cs="微软雅黑"/>
                <w:sz w:val="18"/>
                <w:szCs w:val="18"/>
              </w:rPr>
            </w:pPr>
            <w:r>
              <w:rPr>
                <w:rFonts w:cs="微软雅黑"/>
                <w:sz w:val="18"/>
                <w:szCs w:val="18"/>
              </w:rPr>
              <w:t xml:space="preserve"> -4,063.67 </w:t>
            </w:r>
          </w:p>
        </w:tc>
        <w:tc>
          <w:tcPr>
            <w:tcW w:w="416" w:type="pct"/>
            <w:shd w:val="clear" w:color="auto" w:fill="auto"/>
            <w:vAlign w:val="center"/>
          </w:tcPr>
          <w:p w14:paraId="2421A8C9" w14:textId="77777777" w:rsidR="006B4107" w:rsidRDefault="004E70C7">
            <w:pPr>
              <w:jc w:val="right"/>
              <w:rPr>
                <w:rFonts w:cs="微软雅黑"/>
                <w:sz w:val="18"/>
                <w:szCs w:val="18"/>
              </w:rPr>
            </w:pPr>
            <w:r>
              <w:rPr>
                <w:rFonts w:cs="微软雅黑"/>
                <w:sz w:val="18"/>
                <w:szCs w:val="18"/>
              </w:rPr>
              <w:t xml:space="preserve"> 15,218.33 </w:t>
            </w:r>
          </w:p>
        </w:tc>
        <w:tc>
          <w:tcPr>
            <w:tcW w:w="437" w:type="pct"/>
            <w:shd w:val="clear" w:color="auto" w:fill="auto"/>
            <w:vAlign w:val="center"/>
          </w:tcPr>
          <w:p w14:paraId="3A54F2FF" w14:textId="77777777" w:rsidR="006B4107" w:rsidRDefault="004E70C7">
            <w:pPr>
              <w:jc w:val="right"/>
              <w:rPr>
                <w:rFonts w:cs="微软雅黑"/>
                <w:sz w:val="18"/>
                <w:szCs w:val="18"/>
              </w:rPr>
            </w:pPr>
            <w:r>
              <w:rPr>
                <w:rFonts w:cs="微软雅黑"/>
                <w:sz w:val="18"/>
                <w:szCs w:val="18"/>
              </w:rPr>
              <w:t>2.13%</w:t>
            </w:r>
          </w:p>
        </w:tc>
      </w:tr>
      <w:tr w:rsidR="006B4107" w14:paraId="55DFD0E1" w14:textId="77777777">
        <w:trPr>
          <w:trHeight w:val="340"/>
          <w:jc w:val="center"/>
        </w:trPr>
        <w:tc>
          <w:tcPr>
            <w:tcW w:w="217" w:type="pct"/>
            <w:shd w:val="clear" w:color="000000" w:fill="FFFFFF"/>
            <w:vAlign w:val="center"/>
          </w:tcPr>
          <w:p w14:paraId="23761FD6" w14:textId="77777777" w:rsidR="006B4107" w:rsidRDefault="004E70C7">
            <w:pPr>
              <w:jc w:val="center"/>
              <w:rPr>
                <w:rFonts w:cs="微软雅黑"/>
                <w:sz w:val="18"/>
                <w:szCs w:val="18"/>
              </w:rPr>
            </w:pPr>
            <w:r>
              <w:rPr>
                <w:rFonts w:cs="微软雅黑"/>
                <w:sz w:val="18"/>
                <w:szCs w:val="18"/>
              </w:rPr>
              <w:t>11</w:t>
            </w:r>
          </w:p>
        </w:tc>
        <w:tc>
          <w:tcPr>
            <w:tcW w:w="1203" w:type="pct"/>
            <w:shd w:val="clear" w:color="000000" w:fill="FFFFFF"/>
            <w:vAlign w:val="center"/>
          </w:tcPr>
          <w:p w14:paraId="05B02A64" w14:textId="77777777" w:rsidR="006B4107" w:rsidRDefault="004E70C7">
            <w:pPr>
              <w:jc w:val="both"/>
              <w:rPr>
                <w:rFonts w:cs="微软雅黑"/>
                <w:sz w:val="18"/>
                <w:szCs w:val="18"/>
              </w:rPr>
            </w:pPr>
            <w:r>
              <w:rPr>
                <w:rFonts w:cs="微软雅黑"/>
                <w:sz w:val="18"/>
                <w:szCs w:val="18"/>
              </w:rPr>
              <w:t xml:space="preserve">Guangdong Smart Fortune </w:t>
            </w:r>
            <w:r>
              <w:rPr>
                <w:rFonts w:cs="微软雅黑"/>
                <w:sz w:val="18"/>
                <w:szCs w:val="18"/>
              </w:rPr>
              <w:t>Logistics Inc.</w:t>
            </w:r>
          </w:p>
        </w:tc>
        <w:tc>
          <w:tcPr>
            <w:tcW w:w="458" w:type="pct"/>
            <w:shd w:val="clear" w:color="000000" w:fill="FFFFFF"/>
            <w:vAlign w:val="center"/>
          </w:tcPr>
          <w:p w14:paraId="5256E30B" w14:textId="77777777" w:rsidR="006B4107" w:rsidRDefault="004E70C7">
            <w:pPr>
              <w:jc w:val="center"/>
              <w:rPr>
                <w:rFonts w:cs="微软雅黑"/>
                <w:sz w:val="18"/>
                <w:szCs w:val="18"/>
              </w:rPr>
            </w:pPr>
            <w:r>
              <w:rPr>
                <w:rFonts w:cs="微软雅黑"/>
                <w:sz w:val="18"/>
                <w:szCs w:val="18"/>
              </w:rPr>
              <w:t>中国</w:t>
            </w:r>
          </w:p>
        </w:tc>
        <w:tc>
          <w:tcPr>
            <w:tcW w:w="313" w:type="pct"/>
            <w:shd w:val="clear" w:color="000000" w:fill="FFFFFF"/>
            <w:vAlign w:val="center"/>
          </w:tcPr>
          <w:p w14:paraId="6A50F6FC" w14:textId="77777777" w:rsidR="006B4107" w:rsidRDefault="004E70C7">
            <w:pPr>
              <w:jc w:val="center"/>
              <w:rPr>
                <w:rFonts w:cs="微软雅黑"/>
                <w:sz w:val="18"/>
                <w:szCs w:val="18"/>
              </w:rPr>
            </w:pPr>
            <w:r>
              <w:rPr>
                <w:rFonts w:cs="微软雅黑"/>
                <w:sz w:val="18"/>
                <w:szCs w:val="18"/>
              </w:rPr>
              <w:t>4731</w:t>
            </w:r>
          </w:p>
        </w:tc>
        <w:tc>
          <w:tcPr>
            <w:tcW w:w="501" w:type="pct"/>
            <w:shd w:val="clear" w:color="auto" w:fill="auto"/>
            <w:vAlign w:val="center"/>
          </w:tcPr>
          <w:p w14:paraId="3F200128" w14:textId="77777777" w:rsidR="006B4107" w:rsidRDefault="004E70C7">
            <w:pPr>
              <w:jc w:val="right"/>
              <w:rPr>
                <w:rFonts w:cs="微软雅黑"/>
                <w:sz w:val="18"/>
                <w:szCs w:val="18"/>
              </w:rPr>
            </w:pPr>
            <w:r>
              <w:rPr>
                <w:rFonts w:cs="微软雅黑"/>
                <w:sz w:val="18"/>
                <w:szCs w:val="18"/>
              </w:rPr>
              <w:t xml:space="preserve"> 37,230.67 </w:t>
            </w:r>
          </w:p>
        </w:tc>
        <w:tc>
          <w:tcPr>
            <w:tcW w:w="508" w:type="pct"/>
            <w:vAlign w:val="center"/>
          </w:tcPr>
          <w:p w14:paraId="49D92CAE" w14:textId="77777777" w:rsidR="006B4107" w:rsidRDefault="004E70C7">
            <w:pPr>
              <w:jc w:val="right"/>
              <w:rPr>
                <w:rFonts w:cs="微软雅黑"/>
                <w:sz w:val="18"/>
                <w:szCs w:val="18"/>
              </w:rPr>
            </w:pPr>
            <w:r>
              <w:rPr>
                <w:rFonts w:cs="微软雅黑"/>
                <w:sz w:val="18"/>
                <w:szCs w:val="18"/>
              </w:rPr>
              <w:t xml:space="preserve"> -32,388.67 </w:t>
            </w:r>
          </w:p>
        </w:tc>
        <w:tc>
          <w:tcPr>
            <w:tcW w:w="496" w:type="pct"/>
            <w:shd w:val="clear" w:color="auto" w:fill="auto"/>
            <w:vAlign w:val="center"/>
          </w:tcPr>
          <w:p w14:paraId="2B93DE30" w14:textId="77777777" w:rsidR="006B4107" w:rsidRDefault="004E70C7">
            <w:pPr>
              <w:jc w:val="right"/>
              <w:rPr>
                <w:rFonts w:cs="微软雅黑"/>
                <w:sz w:val="18"/>
                <w:szCs w:val="18"/>
              </w:rPr>
            </w:pPr>
            <w:r>
              <w:rPr>
                <w:rFonts w:cs="微软雅黑"/>
                <w:sz w:val="18"/>
                <w:szCs w:val="18"/>
              </w:rPr>
              <w:t xml:space="preserve"> -3,450.00 </w:t>
            </w:r>
          </w:p>
        </w:tc>
        <w:tc>
          <w:tcPr>
            <w:tcW w:w="451" w:type="pct"/>
            <w:shd w:val="clear" w:color="auto" w:fill="auto"/>
            <w:vAlign w:val="center"/>
          </w:tcPr>
          <w:p w14:paraId="62BF9C25" w14:textId="77777777" w:rsidR="006B4107" w:rsidRDefault="004E70C7">
            <w:pPr>
              <w:jc w:val="right"/>
              <w:rPr>
                <w:rFonts w:cs="微软雅黑"/>
                <w:sz w:val="18"/>
                <w:szCs w:val="18"/>
              </w:rPr>
            </w:pPr>
            <w:r>
              <w:rPr>
                <w:rFonts w:cs="微软雅黑"/>
                <w:sz w:val="18"/>
                <w:szCs w:val="18"/>
              </w:rPr>
              <w:t xml:space="preserve"> -706.33 </w:t>
            </w:r>
          </w:p>
        </w:tc>
        <w:tc>
          <w:tcPr>
            <w:tcW w:w="416" w:type="pct"/>
            <w:shd w:val="clear" w:color="auto" w:fill="auto"/>
            <w:vAlign w:val="center"/>
          </w:tcPr>
          <w:p w14:paraId="6BD626EF" w14:textId="77777777" w:rsidR="006B4107" w:rsidRDefault="004E70C7">
            <w:pPr>
              <w:jc w:val="right"/>
              <w:rPr>
                <w:rFonts w:cs="微软雅黑"/>
                <w:sz w:val="18"/>
                <w:szCs w:val="18"/>
              </w:rPr>
            </w:pPr>
            <w:r>
              <w:rPr>
                <w:rFonts w:cs="微软雅黑"/>
                <w:sz w:val="18"/>
                <w:szCs w:val="18"/>
              </w:rPr>
              <w:t xml:space="preserve"> 685.67 </w:t>
            </w:r>
          </w:p>
        </w:tc>
        <w:tc>
          <w:tcPr>
            <w:tcW w:w="437" w:type="pct"/>
            <w:shd w:val="clear" w:color="auto" w:fill="auto"/>
            <w:vAlign w:val="center"/>
          </w:tcPr>
          <w:p w14:paraId="11A08375" w14:textId="77777777" w:rsidR="006B4107" w:rsidRDefault="004E70C7">
            <w:pPr>
              <w:jc w:val="right"/>
              <w:rPr>
                <w:rFonts w:cs="微软雅黑"/>
                <w:sz w:val="18"/>
                <w:szCs w:val="18"/>
              </w:rPr>
            </w:pPr>
            <w:r>
              <w:rPr>
                <w:rFonts w:cs="微软雅黑"/>
                <w:sz w:val="18"/>
                <w:szCs w:val="18"/>
              </w:rPr>
              <w:t>1.88%</w:t>
            </w:r>
          </w:p>
        </w:tc>
      </w:tr>
    </w:tbl>
    <w:p w14:paraId="065D3C7B" w14:textId="77777777" w:rsidR="006B4107" w:rsidRDefault="004E70C7">
      <w:pPr>
        <w:spacing w:beforeLines="100" w:before="360"/>
        <w:jc w:val="both"/>
        <w:rPr>
          <w:rFonts w:cs="Arial Unicode MS"/>
          <w:color w:val="002060"/>
          <w:sz w:val="18"/>
          <w:szCs w:val="18"/>
        </w:rPr>
      </w:pPr>
      <w:r>
        <w:rPr>
          <w:rFonts w:cs="楷体"/>
          <w:b/>
          <w:bCs/>
          <w:i/>
          <w:color w:val="002060"/>
        </w:rPr>
        <w:t>四分位区间分析表</w:t>
      </w:r>
    </w:p>
    <w:tbl>
      <w:tblPr>
        <w:tblStyle w:val="aff5"/>
        <w:tblW w:w="0" w:type="auto"/>
        <w:tblInd w:w="-5" w:type="dxa"/>
        <w:tblLook w:val="04A0" w:firstRow="1" w:lastRow="0" w:firstColumn="1" w:lastColumn="0" w:noHBand="0" w:noVBand="1"/>
      </w:tblPr>
      <w:tblGrid>
        <w:gridCol w:w="2429"/>
        <w:gridCol w:w="2304"/>
        <w:gridCol w:w="2305"/>
        <w:gridCol w:w="2305"/>
        <w:gridCol w:w="2305"/>
        <w:gridCol w:w="2244"/>
      </w:tblGrid>
      <w:tr w:rsidR="006B4107" w14:paraId="3A7BCD98" w14:textId="77777777">
        <w:trPr>
          <w:trHeight w:val="340"/>
        </w:trPr>
        <w:tc>
          <w:tcPr>
            <w:tcW w:w="2429" w:type="dxa"/>
            <w:shd w:val="clear" w:color="auto" w:fill="002060"/>
            <w:vAlign w:val="center"/>
          </w:tcPr>
          <w:p w14:paraId="41E5EE02" w14:textId="77777777" w:rsidR="006B4107" w:rsidRDefault="004E70C7">
            <w:pPr>
              <w:jc w:val="center"/>
              <w:rPr>
                <w:rFonts w:cs="Arial Unicode MS"/>
                <w:b/>
                <w:color w:val="FFFFFF" w:themeColor="background1"/>
                <w:szCs w:val="18"/>
              </w:rPr>
            </w:pPr>
            <w:r>
              <w:rPr>
                <w:rFonts w:cs="Arial Unicode MS"/>
                <w:b/>
                <w:color w:val="FFFFFF" w:themeColor="background1"/>
                <w:szCs w:val="18"/>
              </w:rPr>
              <w:t>利润水平指标</w:t>
            </w:r>
          </w:p>
        </w:tc>
        <w:tc>
          <w:tcPr>
            <w:tcW w:w="2304" w:type="dxa"/>
            <w:shd w:val="clear" w:color="auto" w:fill="002060"/>
            <w:vAlign w:val="center"/>
          </w:tcPr>
          <w:p w14:paraId="2CE8ACD4" w14:textId="77777777" w:rsidR="006B4107" w:rsidRDefault="004E70C7">
            <w:pPr>
              <w:jc w:val="center"/>
              <w:rPr>
                <w:rFonts w:cs="Arial Unicode MS"/>
                <w:b/>
                <w:color w:val="FFFFFF" w:themeColor="background1"/>
                <w:szCs w:val="18"/>
              </w:rPr>
            </w:pPr>
            <w:r>
              <w:rPr>
                <w:rFonts w:cs="Arial Unicode MS"/>
                <w:b/>
                <w:color w:val="FFFFFF" w:themeColor="background1"/>
                <w:szCs w:val="18"/>
              </w:rPr>
              <w:t>最小值</w:t>
            </w:r>
          </w:p>
        </w:tc>
        <w:tc>
          <w:tcPr>
            <w:tcW w:w="2305" w:type="dxa"/>
            <w:shd w:val="clear" w:color="auto" w:fill="002060"/>
            <w:vAlign w:val="center"/>
          </w:tcPr>
          <w:p w14:paraId="753AFC48" w14:textId="77777777" w:rsidR="006B4107" w:rsidRDefault="004E70C7">
            <w:pPr>
              <w:jc w:val="center"/>
              <w:rPr>
                <w:rFonts w:cs="Arial Unicode MS"/>
                <w:b/>
                <w:color w:val="FFFFFF" w:themeColor="background1"/>
                <w:szCs w:val="18"/>
              </w:rPr>
            </w:pPr>
            <w:r>
              <w:rPr>
                <w:rFonts w:cs="Arial Unicode MS"/>
                <w:b/>
                <w:color w:val="FFFFFF" w:themeColor="background1"/>
                <w:szCs w:val="18"/>
              </w:rPr>
              <w:t>第</w:t>
            </w:r>
            <w:proofErr w:type="gramStart"/>
            <w:r>
              <w:rPr>
                <w:rFonts w:cs="Arial Unicode MS"/>
                <w:b/>
                <w:color w:val="FFFFFF" w:themeColor="background1"/>
                <w:szCs w:val="18"/>
              </w:rPr>
              <w:t>一四</w:t>
            </w:r>
            <w:proofErr w:type="gramEnd"/>
            <w:r>
              <w:rPr>
                <w:rFonts w:cs="Arial Unicode MS"/>
                <w:b/>
                <w:color w:val="FFFFFF" w:themeColor="background1"/>
                <w:szCs w:val="18"/>
              </w:rPr>
              <w:t>分位</w:t>
            </w:r>
          </w:p>
        </w:tc>
        <w:tc>
          <w:tcPr>
            <w:tcW w:w="2305" w:type="dxa"/>
            <w:shd w:val="clear" w:color="auto" w:fill="002060"/>
            <w:vAlign w:val="center"/>
          </w:tcPr>
          <w:p w14:paraId="72ED49FE" w14:textId="77777777" w:rsidR="006B4107" w:rsidRDefault="004E70C7">
            <w:pPr>
              <w:jc w:val="center"/>
              <w:rPr>
                <w:rFonts w:cs="Arial Unicode MS"/>
                <w:b/>
                <w:color w:val="FFFFFF" w:themeColor="background1"/>
                <w:szCs w:val="18"/>
              </w:rPr>
            </w:pPr>
            <w:r>
              <w:rPr>
                <w:rFonts w:cs="Arial Unicode MS"/>
                <w:b/>
                <w:color w:val="FFFFFF" w:themeColor="background1"/>
                <w:szCs w:val="18"/>
              </w:rPr>
              <w:t>中位值</w:t>
            </w:r>
          </w:p>
        </w:tc>
        <w:tc>
          <w:tcPr>
            <w:tcW w:w="2305" w:type="dxa"/>
            <w:shd w:val="clear" w:color="auto" w:fill="002060"/>
            <w:vAlign w:val="center"/>
          </w:tcPr>
          <w:p w14:paraId="143C8E96" w14:textId="77777777" w:rsidR="006B4107" w:rsidRDefault="004E70C7">
            <w:pPr>
              <w:jc w:val="center"/>
              <w:rPr>
                <w:rFonts w:cs="Arial Unicode MS"/>
                <w:b/>
                <w:color w:val="FFFFFF" w:themeColor="background1"/>
                <w:szCs w:val="18"/>
              </w:rPr>
            </w:pPr>
            <w:r>
              <w:rPr>
                <w:rFonts w:cs="Arial Unicode MS"/>
                <w:b/>
                <w:color w:val="FFFFFF" w:themeColor="background1"/>
                <w:szCs w:val="18"/>
              </w:rPr>
              <w:t>第三四分位</w:t>
            </w:r>
          </w:p>
        </w:tc>
        <w:tc>
          <w:tcPr>
            <w:tcW w:w="2244" w:type="dxa"/>
            <w:shd w:val="clear" w:color="auto" w:fill="002060"/>
            <w:vAlign w:val="center"/>
          </w:tcPr>
          <w:p w14:paraId="7236C6F6" w14:textId="77777777" w:rsidR="006B4107" w:rsidRDefault="004E70C7">
            <w:pPr>
              <w:jc w:val="center"/>
              <w:rPr>
                <w:rFonts w:cs="Arial Unicode MS"/>
                <w:b/>
                <w:color w:val="FFFFFF" w:themeColor="background1"/>
                <w:szCs w:val="18"/>
              </w:rPr>
            </w:pPr>
            <w:r>
              <w:rPr>
                <w:rFonts w:cs="Arial Unicode MS"/>
                <w:b/>
                <w:color w:val="FFFFFF" w:themeColor="background1"/>
                <w:szCs w:val="18"/>
              </w:rPr>
              <w:t>最大值</w:t>
            </w:r>
          </w:p>
        </w:tc>
      </w:tr>
      <w:tr w:rsidR="006B4107" w14:paraId="65BAAB9D" w14:textId="77777777">
        <w:trPr>
          <w:trHeight w:val="340"/>
        </w:trPr>
        <w:tc>
          <w:tcPr>
            <w:tcW w:w="2429" w:type="dxa"/>
            <w:vAlign w:val="center"/>
          </w:tcPr>
          <w:p w14:paraId="3A8B0E5F" w14:textId="77777777" w:rsidR="006B4107" w:rsidRDefault="004E70C7">
            <w:pPr>
              <w:jc w:val="center"/>
              <w:rPr>
                <w:rFonts w:cs="Arial Unicode MS"/>
                <w:szCs w:val="18"/>
              </w:rPr>
            </w:pPr>
            <w:r>
              <w:rPr>
                <w:rFonts w:cs="Arial Unicode MS"/>
                <w:szCs w:val="18"/>
              </w:rPr>
              <w:t>完全成本加成率</w:t>
            </w:r>
          </w:p>
        </w:tc>
        <w:tc>
          <w:tcPr>
            <w:tcW w:w="2304" w:type="dxa"/>
            <w:vAlign w:val="center"/>
          </w:tcPr>
          <w:p w14:paraId="03B3174D" w14:textId="77777777" w:rsidR="006B4107" w:rsidRDefault="004E70C7">
            <w:pPr>
              <w:jc w:val="center"/>
              <w:rPr>
                <w:rFonts w:cs="Arial Unicode MS"/>
                <w:szCs w:val="18"/>
              </w:rPr>
            </w:pPr>
            <w:r>
              <w:rPr>
                <w:rFonts w:cs="Arial Unicode MS"/>
                <w:szCs w:val="18"/>
              </w:rPr>
              <w:t>-0.92%</w:t>
            </w:r>
          </w:p>
        </w:tc>
        <w:tc>
          <w:tcPr>
            <w:tcW w:w="2305" w:type="dxa"/>
            <w:vAlign w:val="center"/>
          </w:tcPr>
          <w:p w14:paraId="08918EB6" w14:textId="77777777" w:rsidR="006B4107" w:rsidRDefault="004E70C7">
            <w:pPr>
              <w:jc w:val="center"/>
              <w:rPr>
                <w:rFonts w:cs="Arial Unicode MS"/>
                <w:szCs w:val="18"/>
              </w:rPr>
            </w:pPr>
            <w:r>
              <w:rPr>
                <w:rFonts w:cs="Arial Unicode MS"/>
                <w:szCs w:val="18"/>
              </w:rPr>
              <w:t>2.36%</w:t>
            </w:r>
          </w:p>
        </w:tc>
        <w:tc>
          <w:tcPr>
            <w:tcW w:w="2305" w:type="dxa"/>
            <w:vAlign w:val="center"/>
          </w:tcPr>
          <w:p w14:paraId="531C9643" w14:textId="77777777" w:rsidR="006B4107" w:rsidRDefault="004E70C7">
            <w:pPr>
              <w:jc w:val="center"/>
              <w:rPr>
                <w:rFonts w:cs="Arial Unicode MS"/>
                <w:szCs w:val="18"/>
              </w:rPr>
            </w:pPr>
            <w:r>
              <w:rPr>
                <w:rFonts w:cs="Arial Unicode MS"/>
                <w:szCs w:val="18"/>
              </w:rPr>
              <w:t>3.20%</w:t>
            </w:r>
          </w:p>
        </w:tc>
        <w:tc>
          <w:tcPr>
            <w:tcW w:w="2305" w:type="dxa"/>
            <w:vAlign w:val="center"/>
          </w:tcPr>
          <w:p w14:paraId="0ABD6062" w14:textId="77777777" w:rsidR="006B4107" w:rsidRDefault="004E70C7">
            <w:pPr>
              <w:jc w:val="center"/>
              <w:rPr>
                <w:rFonts w:cs="Arial Unicode MS"/>
                <w:szCs w:val="18"/>
              </w:rPr>
            </w:pPr>
            <w:r>
              <w:rPr>
                <w:rFonts w:cs="Arial Unicode MS"/>
                <w:szCs w:val="18"/>
              </w:rPr>
              <w:t>6.64%</w:t>
            </w:r>
          </w:p>
        </w:tc>
        <w:tc>
          <w:tcPr>
            <w:tcW w:w="2244" w:type="dxa"/>
            <w:vAlign w:val="center"/>
          </w:tcPr>
          <w:p w14:paraId="1E27537D" w14:textId="77777777" w:rsidR="006B4107" w:rsidRDefault="004E70C7">
            <w:pPr>
              <w:jc w:val="center"/>
              <w:rPr>
                <w:rFonts w:cs="Arial Unicode MS"/>
                <w:szCs w:val="18"/>
              </w:rPr>
            </w:pPr>
            <w:r>
              <w:rPr>
                <w:rFonts w:cs="Arial Unicode MS"/>
                <w:szCs w:val="18"/>
              </w:rPr>
              <w:t>11.83%</w:t>
            </w:r>
          </w:p>
        </w:tc>
      </w:tr>
      <w:bookmarkEnd w:id="803"/>
      <w:bookmarkEnd w:id="804"/>
      <w:bookmarkEnd w:id="827"/>
      <w:bookmarkEnd w:id="828"/>
      <w:bookmarkEnd w:id="829"/>
      <w:bookmarkEnd w:id="830"/>
    </w:tbl>
    <w:p w14:paraId="455691A2" w14:textId="77777777" w:rsidR="006B4107" w:rsidRDefault="006B4107"/>
    <w:sectPr w:rsidR="006B4107">
      <w:pgSz w:w="16839" w:h="11907" w:orient="landscape"/>
      <w:pgMar w:top="1800" w:right="1440" w:bottom="1800" w:left="1440" w:header="850" w:footer="992" w:gutter="0"/>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33ABD1" w14:textId="77777777" w:rsidR="004E70C7" w:rsidRDefault="004E70C7">
      <w:r>
        <w:separator/>
      </w:r>
    </w:p>
  </w:endnote>
  <w:endnote w:type="continuationSeparator" w:id="0">
    <w:p w14:paraId="50380E9F" w14:textId="77777777" w:rsidR="004E70C7" w:rsidRDefault="004E70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仿宋_GB2312">
    <w:altName w:val="仿宋"/>
    <w:charset w:val="00"/>
    <w:family w:val="auto"/>
    <w:pitch w:val="default"/>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华文楷体">
    <w:panose1 w:val="02010600040101010101"/>
    <w:charset w:val="86"/>
    <w:family w:val="auto"/>
    <w:pitch w:val="variable"/>
    <w:sig w:usb0="00000287" w:usb1="080F0000" w:usb2="00000010" w:usb3="00000000" w:csb0="0004009F" w:csb1="00000000"/>
  </w:font>
  <w:font w:name="Verdana">
    <w:panose1 w:val="020B0604030504040204"/>
    <w:charset w:val="00"/>
    <w:family w:val="swiss"/>
    <w:pitch w:val="variable"/>
    <w:sig w:usb0="A00006FF" w:usb1="4000205B" w:usb2="00000010" w:usb3="00000000" w:csb0="0000019F" w:csb1="00000000"/>
  </w:font>
  <w:font w:name="华文细黑">
    <w:panose1 w:val="02010600040101010101"/>
    <w:charset w:val="86"/>
    <w:family w:val="auto"/>
    <w:pitch w:val="variable"/>
    <w:sig w:usb0="00000287" w:usb1="080F0000" w:usb2="00000010" w:usb3="00000000" w:csb0="0004009F" w:csb1="00000000"/>
  </w:font>
  <w:font w:name="'宋体">
    <w:altName w:val="宋体"/>
    <w:charset w:val="86"/>
    <w:family w:val="auto"/>
    <w:pitch w:val="default"/>
    <w:sig w:usb0="00000000" w:usb1="0000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EYInterstate Light">
    <w:altName w:val="Calibri"/>
    <w:charset w:val="00"/>
    <w:family w:val="auto"/>
    <w:pitch w:val="default"/>
    <w:sig w:usb0="00000000"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FZFangSong-Z02">
    <w:altName w:val="宋体"/>
    <w:charset w:val="86"/>
    <w:family w:val="script"/>
    <w:pitch w:val="default"/>
    <w:sig w:usb0="00000000" w:usb1="00000000" w:usb2="00082016" w:usb3="00000000" w:csb0="00040001" w:csb1="00000000"/>
  </w:font>
  <w:font w:name="楷体">
    <w:panose1 w:val="02010609060101010101"/>
    <w:charset w:val="86"/>
    <w:family w:val="modern"/>
    <w:pitch w:val="fixed"/>
    <w:sig w:usb0="800002BF" w:usb1="38CF7CFA" w:usb2="00000016" w:usb3="00000000" w:csb0="00040001" w:csb1="00000000"/>
  </w:font>
  <w:font w:name="Century">
    <w:panose1 w:val="02040604050505020304"/>
    <w:charset w:val="00"/>
    <w:family w:val="roman"/>
    <w:pitch w:val="variable"/>
    <w:sig w:usb0="00000287" w:usb1="00000000" w:usb2="00000000" w:usb3="00000000" w:csb0="0000009F" w:csb1="00000000"/>
  </w:font>
  <w:font w:name="Palatino">
    <w:altName w:val="Segoe UI Historic"/>
    <w:charset w:val="00"/>
    <w:family w:val="roman"/>
    <w:pitch w:val="default"/>
    <w:sig w:usb0="00000000" w:usb1="00000000" w:usb2="14600000" w:usb3="00000000" w:csb0="20000193" w:csb1="4D000000"/>
  </w:font>
  <w:font w:name="Arial Unicode MS">
    <w:panose1 w:val="020B0604020202020204"/>
    <w:charset w:val="86"/>
    <w:family w:val="swiss"/>
    <w:pitch w:val="default"/>
    <w:sig w:usb0="00000000" w:usb1="00000000" w:usb2="0000003F" w:usb3="00000000" w:csb0="603F01FF" w:csb1="FFFF0000"/>
  </w:font>
  <w:font w:name="黑体">
    <w:altName w:val="SimHei"/>
    <w:panose1 w:val="02010609060101010101"/>
    <w:charset w:val="86"/>
    <w:family w:val="modern"/>
    <w:pitch w:val="fixed"/>
    <w:sig w:usb0="800002BF" w:usb1="38CF7CFA" w:usb2="00000016" w:usb3="00000000" w:csb0="00040001" w:csb1="00000000"/>
  </w:font>
  <w:font w:name="EY Gothic Comp Book">
    <w:altName w:val="宋体"/>
    <w:charset w:val="86"/>
    <w:family w:val="auto"/>
    <w:pitch w:val="default"/>
    <w:sig w:usb0="00000000" w:usb1="00000000" w:usb2="00000010" w:usb3="00000000" w:csb0="00040000" w:csb1="00000000"/>
  </w:font>
  <w:font w:name="EYInterstate">
    <w:altName w:val="Segoe Print"/>
    <w:charset w:val="00"/>
    <w:family w:val="auto"/>
    <w:pitch w:val="default"/>
    <w:sig w:usb0="00000000" w:usb1="00000000" w:usb2="00000000" w:usb3="00000000" w:csb0="00000001" w:csb1="00000000"/>
  </w:font>
  <w:font w:name="Arial Bold">
    <w:altName w:val="Arial"/>
    <w:panose1 w:val="020B0704020202020204"/>
    <w:charset w:val="00"/>
    <w:family w:val="roman"/>
    <w:pitch w:val="default"/>
    <w:sig w:usb0="00000000" w:usb1="00000000" w:usb2="00000009" w:usb3="00000000" w:csb0="400001FF" w:csb1="FFFF0000"/>
  </w:font>
  <w:font w:name="仿宋">
    <w:panose1 w:val="02010609060101010101"/>
    <w:charset w:val="86"/>
    <w:family w:val="modern"/>
    <w:pitch w:val="fixed"/>
    <w:sig w:usb0="800002BF" w:usb1="38CF7CFA" w:usb2="00000016" w:usb3="00000000" w:csb0="00040001" w:csb1="00000000"/>
  </w:font>
  <w:font w:name="STXihei,Italic">
    <w:altName w:val="宋体"/>
    <w:charset w:val="86"/>
    <w:family w:val="auto"/>
    <w:pitch w:val="default"/>
    <w:sig w:usb0="00000000" w:usb1="0000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26209B" w14:textId="77777777" w:rsidR="006B4107" w:rsidRDefault="004E70C7">
    <w:pPr>
      <w:pStyle w:val="af6"/>
      <w:framePr w:wrap="around" w:vAnchor="text" w:hAnchor="margin" w:xAlign="center" w:y="1"/>
      <w:rPr>
        <w:rStyle w:val="aff8"/>
      </w:rPr>
    </w:pPr>
    <w:r>
      <w:rPr>
        <w:rStyle w:val="aff8"/>
      </w:rPr>
      <w:fldChar w:fldCharType="begin"/>
    </w:r>
    <w:r>
      <w:rPr>
        <w:rStyle w:val="aff8"/>
      </w:rPr>
      <w:instrText xml:space="preserve">PAGE  </w:instrText>
    </w:r>
    <w:r>
      <w:rPr>
        <w:rStyle w:val="aff8"/>
      </w:rPr>
      <w:fldChar w:fldCharType="end"/>
    </w:r>
  </w:p>
  <w:p w14:paraId="31BDC3F5" w14:textId="77777777" w:rsidR="006B4107" w:rsidRDefault="006B4107">
    <w:pPr>
      <w:pStyle w:val="af6"/>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89948131"/>
    </w:sdtPr>
    <w:sdtEndPr/>
    <w:sdtContent>
      <w:p w14:paraId="69DA2A4E" w14:textId="77777777" w:rsidR="006B4107" w:rsidRDefault="004E70C7">
        <w:pPr>
          <w:pStyle w:val="af6"/>
          <w:jc w:val="center"/>
        </w:pPr>
        <w:r>
          <w:rPr>
            <w:sz w:val="16"/>
          </w:rPr>
          <w:fldChar w:fldCharType="begin"/>
        </w:r>
        <w:r>
          <w:rPr>
            <w:sz w:val="16"/>
          </w:rPr>
          <w:instrText>PAGE   \* MERGEFORMAT</w:instrText>
        </w:r>
        <w:r>
          <w:rPr>
            <w:sz w:val="16"/>
          </w:rPr>
          <w:fldChar w:fldCharType="separate"/>
        </w:r>
        <w:r>
          <w:rPr>
            <w:sz w:val="16"/>
          </w:rPr>
          <w:t>II</w:t>
        </w:r>
        <w:r>
          <w:rPr>
            <w:sz w:val="16"/>
          </w:rPr>
          <w:fldChar w:fldCharType="end"/>
        </w:r>
      </w:p>
    </w:sdtContent>
  </w:sdt>
  <w:p w14:paraId="7195EF8A" w14:textId="77777777" w:rsidR="006B4107" w:rsidRDefault="006B4107">
    <w:pPr>
      <w:pStyle w:val="af6"/>
      <w:ind w:right="420"/>
      <w:rPr>
        <w:rFonts w:ascii="楷体" w:eastAsia="楷体" w:hAnsi="楷体" w:cs="宋体"/>
        <w:sz w:val="15"/>
        <w:szCs w:val="15"/>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00A6CB" w14:textId="77777777" w:rsidR="006B4107" w:rsidRDefault="004E70C7">
    <w:pPr>
      <w:pStyle w:val="af6"/>
      <w:jc w:val="center"/>
      <w:rPr>
        <w:rFonts w:ascii="Verdana" w:eastAsia="华文细黑" w:hAnsi="Verdana"/>
        <w:sz w:val="18"/>
        <w:szCs w:val="18"/>
      </w:rPr>
    </w:pPr>
    <w:r>
      <w:rPr>
        <w:rFonts w:ascii="华文细黑" w:eastAsia="华文细黑" w:hAnsi="华文细黑"/>
        <w:sz w:val="18"/>
        <w:szCs w:val="18"/>
      </w:rPr>
      <w:fldChar w:fldCharType="begin"/>
    </w:r>
    <w:r>
      <w:rPr>
        <w:rFonts w:ascii="华文细黑" w:eastAsia="华文细黑" w:hAnsi="华文细黑"/>
        <w:sz w:val="18"/>
        <w:szCs w:val="18"/>
      </w:rPr>
      <w:instrText xml:space="preserve"> PAGE   \* MERGEFORMAT </w:instrText>
    </w:r>
    <w:r>
      <w:rPr>
        <w:rFonts w:ascii="华文细黑" w:eastAsia="华文细黑" w:hAnsi="华文细黑"/>
        <w:sz w:val="18"/>
        <w:szCs w:val="18"/>
      </w:rPr>
      <w:fldChar w:fldCharType="separate"/>
    </w:r>
    <w:r>
      <w:rPr>
        <w:rFonts w:ascii="华文细黑" w:eastAsia="华文细黑" w:hAnsi="华文细黑"/>
        <w:sz w:val="18"/>
        <w:szCs w:val="18"/>
      </w:rPr>
      <w:t>iv</w:t>
    </w:r>
    <w:r>
      <w:rPr>
        <w:rFonts w:ascii="华文细黑" w:eastAsia="华文细黑" w:hAnsi="华文细黑"/>
        <w:sz w:val="18"/>
        <w:szCs w:val="18"/>
      </w:rPr>
      <w:fldChar w:fldCharType="end"/>
    </w:r>
  </w:p>
  <w:p w14:paraId="110B638F" w14:textId="77777777" w:rsidR="006B4107" w:rsidRDefault="006B4107">
    <w:pPr>
      <w:pStyle w:val="af6"/>
      <w:jc w:val="center"/>
      <w:rPr>
        <w:rFonts w:ascii="Arial" w:hAnsi="Arial"/>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881A97" w14:textId="77777777" w:rsidR="006B4107" w:rsidRDefault="004E70C7">
    <w:pPr>
      <w:pStyle w:val="af6"/>
      <w:rPr>
        <w:rFonts w:eastAsia="华文细黑"/>
        <w:sz w:val="18"/>
        <w:szCs w:val="18"/>
      </w:rPr>
    </w:pPr>
    <w:r>
      <w:rPr>
        <w:sz w:val="16"/>
        <w:lang w:val="fr-FR"/>
      </w:rPr>
      <w:t>©</w:t>
    </w:r>
    <w:r>
      <w:rPr>
        <w:sz w:val="16"/>
        <w:lang w:val="fr-FR"/>
      </w:rPr>
      <w:t>202</w:t>
    </w:r>
    <w:r>
      <w:rPr>
        <w:rFonts w:hint="eastAsia"/>
        <w:sz w:val="16"/>
      </w:rPr>
      <w:t>4</w:t>
    </w:r>
    <w:r>
      <w:rPr>
        <w:bCs/>
        <w:sz w:val="16"/>
        <w:szCs w:val="24"/>
      </w:rPr>
      <w:t>立信税务师事务所有限公司</w:t>
    </w:r>
    <w:r>
      <w:rPr>
        <w:rFonts w:eastAsia="华文细黑"/>
        <w:sz w:val="18"/>
        <w:szCs w:val="18"/>
        <w:lang w:val="fr-FR"/>
      </w:rPr>
      <w:ptab w:relativeTo="margin" w:alignment="center" w:leader="none"/>
    </w:r>
    <w:r>
      <w:rPr>
        <w:rFonts w:eastAsia="华文细黑"/>
        <w:sz w:val="18"/>
        <w:szCs w:val="18"/>
      </w:rPr>
      <w:fldChar w:fldCharType="begin"/>
    </w:r>
    <w:r>
      <w:rPr>
        <w:rFonts w:eastAsia="华文细黑"/>
        <w:sz w:val="18"/>
        <w:szCs w:val="18"/>
      </w:rPr>
      <w:instrText xml:space="preserve"> PAGE   \* MERGEFORMAT </w:instrText>
    </w:r>
    <w:r>
      <w:rPr>
        <w:rFonts w:eastAsia="华文细黑"/>
        <w:sz w:val="18"/>
        <w:szCs w:val="18"/>
      </w:rPr>
      <w:fldChar w:fldCharType="separate"/>
    </w:r>
    <w:r>
      <w:rPr>
        <w:rFonts w:eastAsia="华文细黑"/>
        <w:sz w:val="18"/>
        <w:szCs w:val="18"/>
      </w:rPr>
      <w:t>iv</w:t>
    </w:r>
    <w:r>
      <w:rPr>
        <w:rFonts w:eastAsia="华文细黑"/>
        <w:sz w:val="18"/>
        <w:szCs w:val="18"/>
      </w:rPr>
      <w:fldChar w:fldCharType="end"/>
    </w:r>
  </w:p>
  <w:p w14:paraId="0470E7D4" w14:textId="77777777" w:rsidR="006B4107" w:rsidRDefault="006B4107">
    <w:pPr>
      <w:pStyle w:val="af6"/>
      <w:jc w:val="center"/>
      <w:rPr>
        <w:rFonts w:ascii="Arial" w:hAnsi="Arial"/>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117796" w14:textId="77777777" w:rsidR="006B4107" w:rsidRDefault="004E70C7">
    <w:pPr>
      <w:pStyle w:val="af6"/>
      <w:jc w:val="both"/>
      <w:rPr>
        <w:rFonts w:eastAsia="华文细黑"/>
        <w:sz w:val="18"/>
        <w:szCs w:val="18"/>
      </w:rPr>
    </w:pPr>
    <w:r>
      <w:rPr>
        <w:sz w:val="16"/>
        <w:lang w:val="fr-FR"/>
      </w:rPr>
      <w:t>©</w:t>
    </w:r>
    <w:r>
      <w:rPr>
        <w:sz w:val="16"/>
        <w:lang w:val="fr-FR"/>
      </w:rPr>
      <w:t>202</w:t>
    </w:r>
    <w:r>
      <w:rPr>
        <w:sz w:val="16"/>
      </w:rPr>
      <w:t>4</w:t>
    </w:r>
    <w:r>
      <w:rPr>
        <w:bCs/>
        <w:sz w:val="16"/>
        <w:szCs w:val="24"/>
      </w:rPr>
      <w:t>立信税务师事务所有限公司</w:t>
    </w:r>
    <w:r>
      <w:rPr>
        <w:rFonts w:eastAsia="华文细黑"/>
        <w:sz w:val="18"/>
        <w:szCs w:val="18"/>
        <w:lang w:val="fr-FR"/>
      </w:rPr>
      <w:ptab w:relativeTo="margin" w:alignment="center" w:leader="none"/>
    </w:r>
    <w:r>
      <w:rPr>
        <w:rFonts w:eastAsia="华文细黑"/>
        <w:sz w:val="18"/>
        <w:szCs w:val="18"/>
      </w:rPr>
      <w:fldChar w:fldCharType="begin"/>
    </w:r>
    <w:r>
      <w:rPr>
        <w:rFonts w:eastAsia="华文细黑"/>
        <w:sz w:val="18"/>
        <w:szCs w:val="18"/>
      </w:rPr>
      <w:instrText xml:space="preserve"> PAGE  \* Arabic  \* MERGEFORMAT </w:instrText>
    </w:r>
    <w:r>
      <w:rPr>
        <w:rFonts w:eastAsia="华文细黑"/>
        <w:sz w:val="18"/>
        <w:szCs w:val="18"/>
      </w:rPr>
      <w:fldChar w:fldCharType="separate"/>
    </w:r>
    <w:r>
      <w:rPr>
        <w:rFonts w:eastAsia="华文细黑"/>
        <w:sz w:val="18"/>
        <w:szCs w:val="18"/>
      </w:rPr>
      <w:t>25</w:t>
    </w:r>
    <w:r>
      <w:rPr>
        <w:rFonts w:eastAsia="华文细黑"/>
        <w:sz w:val="18"/>
        <w:szCs w:val="18"/>
      </w:rPr>
      <w:fldChar w:fldCharType="end"/>
    </w:r>
  </w:p>
  <w:p w14:paraId="1E258C90" w14:textId="77777777" w:rsidR="006B4107" w:rsidRDefault="006B4107">
    <w:pPr>
      <w:pStyle w:val="af6"/>
      <w:jc w:val="center"/>
      <w:rPr>
        <w:rFonts w:ascii="Arial" w:hAnsi="Aria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850551" w14:textId="77777777" w:rsidR="004E70C7" w:rsidRDefault="004E70C7">
      <w:r>
        <w:separator/>
      </w:r>
    </w:p>
  </w:footnote>
  <w:footnote w:type="continuationSeparator" w:id="0">
    <w:p w14:paraId="3D93271E" w14:textId="77777777" w:rsidR="004E70C7" w:rsidRDefault="004E70C7">
      <w:r>
        <w:continuationSeparator/>
      </w:r>
    </w:p>
  </w:footnote>
  <w:footnote w:id="1">
    <w:p w14:paraId="32676A7D" w14:textId="77777777" w:rsidR="006B4107" w:rsidRDefault="004E70C7">
      <w:pPr>
        <w:pStyle w:val="afd"/>
        <w:rPr>
          <w:rFonts w:ascii="Arial Narrow" w:eastAsia="仿宋_GB2312" w:hAnsi="Arial Narrow"/>
          <w:sz w:val="16"/>
          <w:szCs w:val="16"/>
          <w:lang w:eastAsia="zh-CN"/>
        </w:rPr>
      </w:pPr>
      <w:r>
        <w:rPr>
          <w:rStyle w:val="affc"/>
          <w:rFonts w:ascii="Arial Narrow" w:eastAsia="仿宋_GB2312" w:hAnsi="Arial Narrow"/>
          <w:sz w:val="16"/>
          <w:szCs w:val="16"/>
        </w:rPr>
        <w:footnoteRef/>
      </w:r>
      <w:r>
        <w:rPr>
          <w:rFonts w:ascii="Arial Narrow" w:eastAsia="仿宋_GB2312" w:hAnsi="Arial Narrow"/>
          <w:sz w:val="16"/>
          <w:szCs w:val="16"/>
        </w:rPr>
        <w:t xml:space="preserve"> </w:t>
      </w:r>
      <w:r>
        <w:rPr>
          <w:rFonts w:ascii="Arial Narrow" w:eastAsia="仿宋_GB2312" w:hAnsi="Arial Narrow"/>
          <w:sz w:val="16"/>
          <w:szCs w:val="16"/>
          <w:lang w:eastAsia="zh-CN"/>
        </w:rPr>
        <w:t>资料来源：公司官网：</w:t>
      </w:r>
      <w:r>
        <w:rPr>
          <w:rFonts w:ascii="Arial Narrow" w:eastAsia="仿宋_GB2312" w:hAnsi="Arial Narrow"/>
          <w:sz w:val="16"/>
          <w:szCs w:val="16"/>
          <w:lang w:eastAsia="zh-CN"/>
        </w:rPr>
        <w:t>https://www.bmts-technology.com/en/company/overview/</w:t>
      </w:r>
    </w:p>
  </w:footnote>
  <w:footnote w:id="2">
    <w:p w14:paraId="446D1048" w14:textId="77777777" w:rsidR="006B4107" w:rsidRDefault="004E70C7">
      <w:pPr>
        <w:pStyle w:val="afd"/>
        <w:rPr>
          <w:rFonts w:eastAsiaTheme="minorEastAsia"/>
          <w:lang w:eastAsia="zh-CN"/>
        </w:rPr>
      </w:pPr>
      <w:r>
        <w:rPr>
          <w:rStyle w:val="affc"/>
        </w:rPr>
        <w:footnoteRef/>
      </w:r>
      <w:r>
        <w:t xml:space="preserve"> </w:t>
      </w:r>
      <w:r>
        <w:rPr>
          <w:rFonts w:ascii="仿宋_GB2312" w:eastAsia="仿宋_GB2312" w:hAnsi="微软雅黑" w:cs="微软雅黑" w:hint="eastAsia"/>
          <w:sz w:val="16"/>
          <w:szCs w:val="16"/>
          <w:lang w:eastAsia="zh-CN"/>
        </w:rPr>
        <w:t>资料来源：中华人民共和国交通运输部，</w:t>
      </w:r>
      <w:r>
        <w:rPr>
          <w:rFonts w:ascii="仿宋_GB2312" w:eastAsia="仿宋_GB2312" w:hAnsi="微软雅黑" w:cs="微软雅黑" w:hint="eastAsia"/>
          <w:sz w:val="16"/>
          <w:szCs w:val="16"/>
          <w:lang w:eastAsia="zh-CN"/>
        </w:rPr>
        <w:t>https://zs.mot.gov.cn/mot/s?siteCode=bm19000004&amp;tab=all&amp;qt=%E5%85%AC%E8%B7%AF%E6%B0%B4%E8%B7%AF%E8%BF%90%E8%BE%93%E9%87%8F</w:t>
      </w:r>
    </w:p>
  </w:footnote>
  <w:footnote w:id="3">
    <w:p w14:paraId="27166FF3" w14:textId="77777777" w:rsidR="006B4107" w:rsidRDefault="004E70C7">
      <w:pPr>
        <w:pStyle w:val="afd"/>
        <w:rPr>
          <w:rFonts w:eastAsiaTheme="minorEastAsia"/>
          <w:lang w:eastAsia="zh-CN"/>
        </w:rPr>
      </w:pPr>
      <w:r>
        <w:rPr>
          <w:rStyle w:val="affc"/>
        </w:rPr>
        <w:footnoteRef/>
      </w:r>
      <w:r>
        <w:t xml:space="preserve"> </w:t>
      </w:r>
      <w:r>
        <w:rPr>
          <w:rFonts w:ascii="仿宋_GB2312" w:eastAsia="仿宋_GB2312" w:hAnsi="MS Mincho" w:cs="MS Mincho" w:hint="eastAsia"/>
          <w:sz w:val="16"/>
          <w:szCs w:val="16"/>
        </w:rPr>
        <w:t>资料来源：智研瞻产业研究院，</w:t>
      </w:r>
      <w:r>
        <w:rPr>
          <w:rFonts w:ascii="仿宋_GB2312" w:eastAsia="仿宋_GB2312" w:hAnsi="MS Mincho" w:cs="MS Mincho" w:hint="eastAsia"/>
          <w:sz w:val="16"/>
          <w:szCs w:val="16"/>
        </w:rPr>
        <w:t>https://www.zhiyanzhan.cn/report/4</w:t>
      </w:r>
      <w:r>
        <w:rPr>
          <w:rFonts w:ascii="仿宋_GB2312" w:eastAsia="仿宋_GB2312" w:hAnsi="MS Mincho" w:cs="MS Mincho" w:hint="eastAsia"/>
          <w:sz w:val="16"/>
          <w:szCs w:val="16"/>
        </w:rPr>
        <w:t>1498.html</w:t>
      </w:r>
    </w:p>
  </w:footnote>
  <w:footnote w:id="4">
    <w:p w14:paraId="22D1964B" w14:textId="77777777" w:rsidR="006B4107" w:rsidRDefault="004E70C7">
      <w:pPr>
        <w:pStyle w:val="afd"/>
        <w:rPr>
          <w:rFonts w:eastAsiaTheme="minorEastAsia"/>
          <w:lang w:eastAsia="zh-CN"/>
        </w:rPr>
      </w:pPr>
      <w:r>
        <w:rPr>
          <w:rStyle w:val="affc"/>
        </w:rPr>
        <w:footnoteRef/>
      </w:r>
      <w:r>
        <w:t xml:space="preserve"> </w:t>
      </w:r>
      <w:r>
        <w:rPr>
          <w:rFonts w:ascii="仿宋_GB2312" w:eastAsia="仿宋_GB2312" w:hAnsi="MS Mincho" w:cs="MS Mincho" w:hint="eastAsia"/>
          <w:sz w:val="16"/>
          <w:szCs w:val="16"/>
        </w:rPr>
        <w:t>资料来源：前沿产业研究院，</w:t>
      </w:r>
      <w:r>
        <w:rPr>
          <w:rFonts w:ascii="仿宋_GB2312" w:eastAsia="仿宋_GB2312" w:hAnsi="MS Mincho" w:cs="MS Mincho" w:hint="eastAsia"/>
          <w:sz w:val="16"/>
          <w:szCs w:val="16"/>
        </w:rPr>
        <w:t>https://x.qianzhan.com/xcharts/detail/dc3949f1f3012b47.html</w:t>
      </w:r>
    </w:p>
  </w:footnote>
  <w:footnote w:id="5">
    <w:p w14:paraId="5D7F8CFE" w14:textId="77777777" w:rsidR="006B4107" w:rsidRDefault="004E70C7">
      <w:pPr>
        <w:pStyle w:val="afd"/>
        <w:rPr>
          <w:rFonts w:eastAsiaTheme="minorEastAsia"/>
          <w:lang w:eastAsia="zh-CN"/>
        </w:rPr>
      </w:pPr>
      <w:r>
        <w:rPr>
          <w:rStyle w:val="affc"/>
        </w:rPr>
        <w:footnoteRef/>
      </w:r>
      <w:r>
        <w:t xml:space="preserve"> </w:t>
      </w:r>
      <w:r>
        <w:rPr>
          <w:rFonts w:ascii="仿宋_GB2312" w:eastAsia="仿宋_GB2312" w:hAnsi="MS Mincho" w:cs="MS Mincho" w:hint="eastAsia"/>
          <w:sz w:val="16"/>
          <w:szCs w:val="16"/>
        </w:rPr>
        <w:t>资料来源：智研瞻产业研究院，</w:t>
      </w:r>
      <w:r>
        <w:rPr>
          <w:rFonts w:ascii="仿宋_GB2312" w:eastAsia="仿宋_GB2312" w:hAnsi="MS Mincho" w:cs="MS Mincho" w:hint="eastAsia"/>
          <w:sz w:val="16"/>
          <w:szCs w:val="16"/>
        </w:rPr>
        <w:t>https://www.zhiyanzhan.cn/report/41498.html</w:t>
      </w:r>
    </w:p>
  </w:footnote>
  <w:footnote w:id="6">
    <w:p w14:paraId="0150CCA3" w14:textId="77777777" w:rsidR="006B4107" w:rsidRDefault="004E70C7">
      <w:pPr>
        <w:pStyle w:val="afd"/>
        <w:rPr>
          <w:rFonts w:ascii="仿宋_GB2312" w:eastAsia="仿宋_GB2312"/>
          <w:sz w:val="16"/>
          <w:szCs w:val="16"/>
          <w:lang w:eastAsia="zh-CN"/>
        </w:rPr>
      </w:pPr>
      <w:r>
        <w:rPr>
          <w:rStyle w:val="affc"/>
        </w:rPr>
        <w:footnoteRef/>
      </w:r>
      <w:r>
        <w:rPr>
          <w:lang w:eastAsia="zh-CN"/>
        </w:rPr>
        <w:t xml:space="preserve"> </w:t>
      </w:r>
      <w:r>
        <w:rPr>
          <w:rFonts w:ascii="仿宋_GB2312" w:eastAsia="仿宋_GB2312" w:hAnsi="微软雅黑" w:cs="微软雅黑" w:hint="eastAsia"/>
          <w:sz w:val="16"/>
          <w:szCs w:val="16"/>
          <w:lang w:eastAsia="zh-CN"/>
        </w:rPr>
        <w:t>资</w:t>
      </w:r>
      <w:r>
        <w:rPr>
          <w:rFonts w:ascii="仿宋_GB2312" w:eastAsia="仿宋_GB2312" w:hAnsi="MS Mincho" w:cs="MS Mincho" w:hint="eastAsia"/>
          <w:sz w:val="16"/>
          <w:szCs w:val="16"/>
          <w:lang w:eastAsia="zh-CN"/>
        </w:rPr>
        <w:t>料来源：中</w:t>
      </w:r>
      <w:r>
        <w:rPr>
          <w:rFonts w:ascii="仿宋_GB2312" w:eastAsia="仿宋_GB2312" w:hAnsi="微软雅黑" w:cs="微软雅黑" w:hint="eastAsia"/>
          <w:sz w:val="16"/>
          <w:szCs w:val="16"/>
          <w:lang w:eastAsia="zh-CN"/>
        </w:rPr>
        <w:t>华</w:t>
      </w:r>
      <w:r>
        <w:rPr>
          <w:rFonts w:ascii="仿宋_GB2312" w:eastAsia="仿宋_GB2312" w:hAnsi="MS Mincho" w:cs="MS Mincho" w:hint="eastAsia"/>
          <w:sz w:val="16"/>
          <w:szCs w:val="16"/>
          <w:lang w:eastAsia="zh-CN"/>
        </w:rPr>
        <w:t>人民共和国交通</w:t>
      </w:r>
      <w:r>
        <w:rPr>
          <w:rFonts w:ascii="仿宋_GB2312" w:eastAsia="仿宋_GB2312" w:hAnsi="微软雅黑" w:cs="微软雅黑" w:hint="eastAsia"/>
          <w:sz w:val="16"/>
          <w:szCs w:val="16"/>
          <w:lang w:eastAsia="zh-CN"/>
        </w:rPr>
        <w:t>运输</w:t>
      </w:r>
      <w:r>
        <w:rPr>
          <w:rFonts w:ascii="仿宋_GB2312" w:eastAsia="仿宋_GB2312" w:hAnsi="MS Mincho" w:cs="MS Mincho" w:hint="eastAsia"/>
          <w:sz w:val="16"/>
          <w:szCs w:val="16"/>
          <w:lang w:eastAsia="zh-CN"/>
        </w:rPr>
        <w:t>部</w:t>
      </w:r>
      <w:r>
        <w:rPr>
          <w:rFonts w:ascii="仿宋_GB2312" w:eastAsia="仿宋_GB2312" w:hint="eastAsia"/>
          <w:sz w:val="16"/>
          <w:szCs w:val="16"/>
          <w:lang w:eastAsia="zh-CN"/>
        </w:rPr>
        <w:t>，</w:t>
      </w:r>
      <w:r>
        <w:rPr>
          <w:rFonts w:ascii="仿宋_GB2312" w:eastAsia="仿宋_GB2312" w:hint="eastAsia"/>
          <w:sz w:val="16"/>
          <w:szCs w:val="16"/>
          <w:lang w:eastAsia="zh-CN"/>
        </w:rPr>
        <w:t xml:space="preserve"> https://xxgk.mot.gov.cn/2020/jigou/zhghs/202406/t20240614_4142419.html</w:t>
      </w:r>
    </w:p>
  </w:footnote>
  <w:footnote w:id="7">
    <w:p w14:paraId="13C72CF5" w14:textId="77777777" w:rsidR="006B4107" w:rsidRDefault="004E70C7">
      <w:pPr>
        <w:pStyle w:val="afd"/>
        <w:rPr>
          <w:rFonts w:eastAsiaTheme="minorEastAsia"/>
          <w:lang w:eastAsia="zh-CN"/>
        </w:rPr>
      </w:pPr>
      <w:r>
        <w:rPr>
          <w:rStyle w:val="affc"/>
        </w:rPr>
        <w:footnoteRef/>
      </w:r>
      <w:r>
        <w:t xml:space="preserve"> </w:t>
      </w:r>
      <w:r>
        <w:rPr>
          <w:rFonts w:ascii="仿宋_GB2312" w:eastAsia="仿宋_GB2312" w:hAnsi="微软雅黑" w:cs="微软雅黑" w:hint="eastAsia"/>
          <w:sz w:val="16"/>
          <w:szCs w:val="16"/>
        </w:rPr>
        <w:t>资</w:t>
      </w:r>
      <w:r>
        <w:rPr>
          <w:rFonts w:ascii="仿宋_GB2312" w:eastAsia="仿宋_GB2312" w:hAnsi="MS Mincho" w:cs="MS Mincho" w:hint="eastAsia"/>
          <w:sz w:val="16"/>
          <w:szCs w:val="16"/>
        </w:rPr>
        <w:t>料来源：前瞻</w:t>
      </w:r>
      <w:r>
        <w:rPr>
          <w:rFonts w:ascii="仿宋_GB2312" w:eastAsia="仿宋_GB2312" w:hAnsi="微软雅黑" w:cs="微软雅黑" w:hint="eastAsia"/>
          <w:sz w:val="16"/>
          <w:szCs w:val="16"/>
        </w:rPr>
        <w:t>产业</w:t>
      </w:r>
      <w:r>
        <w:rPr>
          <w:rFonts w:ascii="仿宋_GB2312" w:eastAsia="仿宋_GB2312" w:hAnsi="MS Mincho" w:cs="MS Mincho" w:hint="eastAsia"/>
          <w:sz w:val="16"/>
          <w:szCs w:val="16"/>
        </w:rPr>
        <w:t>研究院，</w:t>
      </w:r>
      <w:r>
        <w:rPr>
          <w:rFonts w:ascii="仿宋_GB2312" w:eastAsia="仿宋_GB2312" w:hint="eastAsia"/>
          <w:sz w:val="16"/>
          <w:szCs w:val="16"/>
        </w:rPr>
        <w:t>http</w:t>
      </w:r>
      <w:r>
        <w:rPr>
          <w:rFonts w:ascii="仿宋_GB2312" w:eastAsia="仿宋_GB2312" w:hint="eastAsia"/>
          <w:sz w:val="16"/>
          <w:szCs w:val="16"/>
        </w:rPr>
        <w:t>s://bg.qianzhan.com/trends/detail/506/240425-0dad954f.html</w:t>
      </w:r>
    </w:p>
  </w:footnote>
  <w:footnote w:id="8">
    <w:p w14:paraId="5B147F22" w14:textId="77777777" w:rsidR="006B4107" w:rsidRDefault="004E70C7">
      <w:pPr>
        <w:pStyle w:val="afd"/>
        <w:spacing w:line="240" w:lineRule="atLeast"/>
        <w:rPr>
          <w:rFonts w:ascii="Arial Narrow" w:eastAsia="仿宋_GB2312" w:hAnsi="Arial Narrow"/>
          <w:sz w:val="16"/>
          <w:szCs w:val="16"/>
          <w:lang w:eastAsia="zh-CN"/>
        </w:rPr>
      </w:pPr>
      <w:r>
        <w:rPr>
          <w:rStyle w:val="affc"/>
          <w:rFonts w:ascii="Arial Narrow" w:eastAsia="仿宋_GB2312" w:hAnsi="Arial Narrow"/>
          <w:sz w:val="16"/>
          <w:szCs w:val="16"/>
        </w:rPr>
        <w:footnoteRef/>
      </w:r>
      <w:r>
        <w:rPr>
          <w:rFonts w:ascii="Arial Narrow" w:eastAsia="仿宋_GB2312" w:hAnsi="Arial Narrow"/>
          <w:sz w:val="16"/>
          <w:szCs w:val="16"/>
          <w:lang w:eastAsia="zh-CN"/>
        </w:rPr>
        <w:t>《</w:t>
      </w:r>
      <w:r>
        <w:rPr>
          <w:rFonts w:ascii="Arial Narrow" w:eastAsia="仿宋_GB2312" w:hAnsi="Arial Narrow"/>
          <w:sz w:val="16"/>
          <w:szCs w:val="16"/>
          <w:lang w:eastAsia="zh-CN"/>
        </w:rPr>
        <w:t xml:space="preserve">OECD </w:t>
      </w:r>
      <w:r>
        <w:rPr>
          <w:rFonts w:ascii="Arial Narrow" w:eastAsia="仿宋_GB2312" w:hAnsi="Arial Narrow"/>
          <w:sz w:val="16"/>
          <w:szCs w:val="16"/>
          <w:lang w:eastAsia="zh-CN"/>
        </w:rPr>
        <w:t>跨国企业与税务机关转让定价指南》，第</w:t>
      </w:r>
      <w:r>
        <w:rPr>
          <w:rFonts w:ascii="Arial Narrow" w:eastAsia="仿宋_GB2312" w:hAnsi="Arial Narrow"/>
          <w:sz w:val="16"/>
          <w:szCs w:val="16"/>
          <w:lang w:eastAsia="zh-CN"/>
        </w:rPr>
        <w:t xml:space="preserve"> III </w:t>
      </w:r>
      <w:r>
        <w:rPr>
          <w:rFonts w:ascii="Arial Narrow" w:eastAsia="仿宋_GB2312" w:hAnsi="Arial Narrow"/>
          <w:sz w:val="16"/>
          <w:szCs w:val="16"/>
          <w:lang w:eastAsia="zh-CN"/>
        </w:rPr>
        <w:t>章，</w:t>
      </w:r>
      <w:r>
        <w:rPr>
          <w:rFonts w:ascii="Arial Narrow" w:eastAsia="仿宋_GB2312" w:hAnsi="Arial Narrow"/>
          <w:sz w:val="16"/>
          <w:szCs w:val="16"/>
          <w:lang w:eastAsia="zh-CN"/>
        </w:rPr>
        <w:t xml:space="preserve">A </w:t>
      </w:r>
      <w:r>
        <w:rPr>
          <w:rFonts w:ascii="Arial Narrow" w:eastAsia="仿宋_GB2312" w:hAnsi="Arial Narrow"/>
          <w:sz w:val="16"/>
          <w:szCs w:val="16"/>
          <w:lang w:eastAsia="zh-CN"/>
        </w:rPr>
        <w:t>部分，第</w:t>
      </w:r>
      <w:r>
        <w:rPr>
          <w:rFonts w:ascii="Arial Narrow" w:eastAsia="仿宋_GB2312" w:hAnsi="Arial Narrow"/>
          <w:sz w:val="16"/>
          <w:szCs w:val="16"/>
          <w:lang w:eastAsia="zh-CN"/>
        </w:rPr>
        <w:t xml:space="preserve"> 3.9 </w:t>
      </w:r>
      <w:r>
        <w:rPr>
          <w:rFonts w:ascii="Arial Narrow" w:eastAsia="仿宋_GB2312" w:hAnsi="Arial Narrow"/>
          <w:sz w:val="16"/>
          <w:szCs w:val="16"/>
          <w:lang w:eastAsia="zh-CN"/>
        </w:rPr>
        <w:t>段落</w:t>
      </w:r>
    </w:p>
  </w:footnote>
  <w:footnote w:id="9">
    <w:p w14:paraId="3C5E0F4F" w14:textId="77777777" w:rsidR="006B4107" w:rsidRDefault="004E70C7">
      <w:pPr>
        <w:pStyle w:val="afd"/>
        <w:rPr>
          <w:rFonts w:ascii="Arial Narrow" w:eastAsia="仿宋_GB2312" w:hAnsi="Arial Narrow"/>
          <w:sz w:val="16"/>
          <w:szCs w:val="16"/>
          <w:lang w:eastAsia="zh-CN"/>
        </w:rPr>
      </w:pPr>
      <w:r>
        <w:rPr>
          <w:rStyle w:val="affc"/>
          <w:rFonts w:ascii="Arial Narrow" w:eastAsia="仿宋_GB2312" w:hAnsi="Arial Narrow"/>
          <w:sz w:val="16"/>
          <w:szCs w:val="16"/>
        </w:rPr>
        <w:footnoteRef/>
      </w:r>
      <w:r>
        <w:rPr>
          <w:rStyle w:val="affc"/>
          <w:rFonts w:ascii="Arial Narrow" w:eastAsia="仿宋_GB2312" w:hAnsi="Arial Narrow"/>
          <w:sz w:val="16"/>
          <w:szCs w:val="16"/>
          <w:lang w:eastAsia="zh-CN"/>
        </w:rPr>
        <w:t xml:space="preserve"> </w:t>
      </w:r>
      <w:r>
        <w:rPr>
          <w:rFonts w:ascii="Arial Narrow" w:eastAsia="仿宋_GB2312" w:hAnsi="Arial Narrow"/>
          <w:sz w:val="16"/>
          <w:szCs w:val="16"/>
          <w:lang w:eastAsia="zh-CN"/>
        </w:rPr>
        <w:t>资料来源：</w:t>
      </w:r>
      <w:r>
        <w:rPr>
          <w:rFonts w:ascii="Arial Narrow" w:eastAsia="仿宋_GB2312" w:hAnsi="Arial Narrow" w:hint="eastAsia"/>
          <w:sz w:val="16"/>
          <w:szCs w:val="16"/>
          <w:lang w:eastAsia="zh-CN"/>
        </w:rPr>
        <w:t>中华人民共和国人力资源和社会保障部</w:t>
      </w:r>
      <w:r>
        <w:rPr>
          <w:rFonts w:ascii="Arial Narrow" w:eastAsia="仿宋_GB2312" w:hAnsi="Arial Narrow"/>
          <w:sz w:val="16"/>
          <w:szCs w:val="16"/>
          <w:lang w:eastAsia="zh-CN"/>
        </w:rPr>
        <w:t>http://www.mohrss.gov.cn/SYrlzyhshbzb/laodongguanxi_/fwyd/202401/t20240119_512450.html</w:t>
      </w:r>
    </w:p>
  </w:footnote>
  <w:footnote w:id="10">
    <w:p w14:paraId="7F7E24A9" w14:textId="77777777" w:rsidR="006B4107" w:rsidRDefault="004E70C7">
      <w:pPr>
        <w:pStyle w:val="afd"/>
        <w:rPr>
          <w:rFonts w:ascii="Arial Narrow" w:eastAsia="仿宋_GB2312" w:hAnsi="Arial Narrow"/>
          <w:sz w:val="16"/>
          <w:szCs w:val="16"/>
          <w:lang w:eastAsia="zh-CN"/>
        </w:rPr>
      </w:pPr>
      <w:r>
        <w:rPr>
          <w:rStyle w:val="affc"/>
          <w:rFonts w:ascii="Arial Narrow" w:eastAsia="仿宋_GB2312" w:hAnsi="Arial Narrow"/>
          <w:sz w:val="16"/>
          <w:szCs w:val="16"/>
        </w:rPr>
        <w:footnoteRef/>
      </w:r>
      <w:r>
        <w:rPr>
          <w:rStyle w:val="affc"/>
          <w:rFonts w:ascii="Arial Narrow" w:eastAsia="仿宋_GB2312" w:hAnsi="Arial Narrow"/>
          <w:sz w:val="16"/>
          <w:szCs w:val="16"/>
        </w:rPr>
        <w:t xml:space="preserve"> </w:t>
      </w:r>
      <w:r>
        <w:rPr>
          <w:rFonts w:ascii="Arial Narrow" w:eastAsia="仿宋_GB2312" w:hAnsi="Arial Narrow"/>
          <w:sz w:val="16"/>
          <w:szCs w:val="16"/>
          <w:lang w:eastAsia="zh-CN"/>
        </w:rPr>
        <w:t>资料来源：国家统计局</w:t>
      </w:r>
      <w:r>
        <w:rPr>
          <w:rFonts w:ascii="Arial Narrow" w:eastAsia="仿宋_GB2312" w:hAnsi="Arial Narrow" w:hint="eastAsia"/>
          <w:sz w:val="16"/>
          <w:szCs w:val="16"/>
          <w:lang w:eastAsia="zh-CN"/>
        </w:rPr>
        <w:t>，</w:t>
      </w:r>
      <w:r>
        <w:rPr>
          <w:rFonts w:ascii="Arial Narrow" w:eastAsia="仿宋_GB2312" w:hAnsi="Arial Narrow"/>
          <w:sz w:val="16"/>
          <w:szCs w:val="16"/>
          <w:lang w:eastAsia="zh-CN"/>
        </w:rPr>
        <w:t>https://www.gov.cn/lianbo/bumen/202402/content_6934935.htm</w:t>
      </w:r>
    </w:p>
  </w:footnote>
  <w:footnote w:id="11">
    <w:p w14:paraId="255154DE" w14:textId="77777777" w:rsidR="006B4107" w:rsidRDefault="004E70C7">
      <w:pPr>
        <w:pStyle w:val="afd"/>
        <w:rPr>
          <w:rFonts w:ascii="Arial Narrow" w:eastAsia="仿宋_GB2312" w:hAnsi="Arial Narrow"/>
          <w:sz w:val="16"/>
          <w:szCs w:val="16"/>
          <w:lang w:eastAsia="zh-CN"/>
        </w:rPr>
      </w:pPr>
      <w:r>
        <w:rPr>
          <w:rStyle w:val="affc"/>
          <w:rFonts w:ascii="Arial Narrow" w:eastAsia="仿宋_GB2312" w:hAnsi="Arial Narrow"/>
          <w:sz w:val="16"/>
          <w:szCs w:val="16"/>
        </w:rPr>
        <w:footnoteRef/>
      </w:r>
      <w:r>
        <w:rPr>
          <w:rStyle w:val="affc"/>
          <w:rFonts w:ascii="Arial Narrow" w:eastAsia="仿宋_GB2312" w:hAnsi="Arial Narrow"/>
          <w:sz w:val="16"/>
          <w:szCs w:val="16"/>
        </w:rPr>
        <w:t xml:space="preserve"> </w:t>
      </w:r>
      <w:r>
        <w:rPr>
          <w:rFonts w:ascii="Arial Narrow" w:eastAsia="仿宋_GB2312" w:hAnsi="Arial Narrow"/>
          <w:sz w:val="16"/>
          <w:szCs w:val="16"/>
          <w:lang w:eastAsia="zh-CN"/>
        </w:rPr>
        <w:t>资料来源：</w:t>
      </w:r>
      <w:r>
        <w:rPr>
          <w:rFonts w:ascii="Arial Narrow" w:eastAsia="仿宋_GB2312" w:hAnsi="Arial Narrow" w:hint="eastAsia"/>
          <w:sz w:val="16"/>
          <w:szCs w:val="16"/>
          <w:lang w:eastAsia="zh-CN"/>
        </w:rPr>
        <w:t>中华人民共和国人力资源和社会保障部</w:t>
      </w:r>
      <w:r>
        <w:rPr>
          <w:rFonts w:ascii="Arial Narrow" w:eastAsia="仿宋_GB2312" w:hAnsi="Arial Narrow"/>
          <w:sz w:val="16"/>
          <w:szCs w:val="16"/>
          <w:lang w:eastAsia="zh-CN"/>
        </w:rPr>
        <w:t>，</w:t>
      </w:r>
      <w:r>
        <w:rPr>
          <w:rFonts w:ascii="Arial Narrow" w:eastAsia="仿宋_GB2312" w:hAnsi="Arial Narrow"/>
          <w:sz w:val="16"/>
          <w:szCs w:val="16"/>
          <w:lang w:eastAsia="zh-CN"/>
        </w:rPr>
        <w:t>https://www.mohrss.gov.cn/SYrlzyhshbzb/dongtaixinwen/fbh/202401/t2024012</w:t>
      </w:r>
      <w:r>
        <w:rPr>
          <w:rFonts w:ascii="Arial Narrow" w:eastAsia="仿宋_GB2312" w:hAnsi="Arial Narrow"/>
          <w:sz w:val="16"/>
          <w:szCs w:val="16"/>
          <w:lang w:eastAsia="zh-CN"/>
        </w:rPr>
        <w:t>4_512668.html</w:t>
      </w:r>
    </w:p>
  </w:footnote>
  <w:footnote w:id="12">
    <w:p w14:paraId="3C318AA9" w14:textId="77777777" w:rsidR="006B4107" w:rsidRDefault="004E70C7">
      <w:pPr>
        <w:pStyle w:val="afd"/>
        <w:spacing w:line="240" w:lineRule="atLeast"/>
        <w:rPr>
          <w:rFonts w:ascii="Arial Narrow" w:eastAsia="仿宋_GB2312" w:hAnsi="Arial Narrow"/>
          <w:sz w:val="16"/>
          <w:szCs w:val="16"/>
          <w:lang w:eastAsia="zh-CN"/>
        </w:rPr>
      </w:pPr>
      <w:r>
        <w:rPr>
          <w:rStyle w:val="affc"/>
          <w:rFonts w:ascii="Arial Narrow" w:eastAsia="仿宋_GB2312" w:hAnsi="Arial Narrow"/>
          <w:sz w:val="16"/>
          <w:szCs w:val="16"/>
        </w:rPr>
        <w:footnoteRef/>
      </w:r>
      <w:r>
        <w:rPr>
          <w:rFonts w:ascii="Arial Narrow" w:eastAsia="仿宋_GB2312" w:hAnsi="Arial Narrow" w:cs="楷体"/>
          <w:sz w:val="16"/>
          <w:szCs w:val="16"/>
          <w:lang w:eastAsia="zh-CN"/>
        </w:rPr>
        <w:t>《</w:t>
      </w:r>
      <w:r>
        <w:rPr>
          <w:rFonts w:ascii="Arial Narrow" w:eastAsia="仿宋_GB2312" w:hAnsi="Arial Narrow" w:cs="楷体"/>
          <w:sz w:val="16"/>
          <w:szCs w:val="16"/>
          <w:lang w:eastAsia="zh-CN"/>
        </w:rPr>
        <w:t>OECD</w:t>
      </w:r>
      <w:r>
        <w:rPr>
          <w:rFonts w:ascii="Arial Narrow" w:eastAsia="仿宋_GB2312" w:hAnsi="Arial Narrow" w:cs="楷体"/>
          <w:sz w:val="16"/>
          <w:szCs w:val="16"/>
          <w:lang w:eastAsia="zh-CN"/>
        </w:rPr>
        <w:t>转让定价指南》</w:t>
      </w:r>
      <w:r>
        <w:rPr>
          <w:rFonts w:ascii="Arial Narrow" w:eastAsia="仿宋_GB2312" w:hAnsi="Arial Narrow" w:cs="楷体"/>
          <w:sz w:val="16"/>
          <w:szCs w:val="16"/>
          <w:lang w:eastAsia="zh-CN"/>
        </w:rPr>
        <w:t>2.11</w:t>
      </w:r>
      <w:r>
        <w:rPr>
          <w:rFonts w:ascii="Arial Narrow" w:eastAsia="仿宋_GB2312" w:hAnsi="Arial Narrow" w:cs="楷体"/>
          <w:sz w:val="16"/>
          <w:szCs w:val="16"/>
          <w:lang w:eastAsia="zh-CN"/>
        </w:rPr>
        <w:t>章</w:t>
      </w:r>
    </w:p>
  </w:footnote>
  <w:footnote w:id="13">
    <w:p w14:paraId="53A15035" w14:textId="77777777" w:rsidR="006B4107" w:rsidRDefault="004E70C7">
      <w:pPr>
        <w:pStyle w:val="afd"/>
        <w:spacing w:line="240" w:lineRule="atLeast"/>
        <w:rPr>
          <w:rFonts w:ascii="Arial Narrow" w:eastAsia="仿宋_GB2312" w:hAnsi="Arial Narrow"/>
          <w:sz w:val="16"/>
          <w:szCs w:val="16"/>
          <w:lang w:eastAsia="zh-CN"/>
        </w:rPr>
      </w:pPr>
      <w:r>
        <w:rPr>
          <w:rStyle w:val="affc"/>
          <w:rFonts w:ascii="Arial Narrow" w:eastAsia="仿宋_GB2312" w:hAnsi="Arial Narrow"/>
          <w:sz w:val="16"/>
          <w:szCs w:val="16"/>
        </w:rPr>
        <w:footnoteRef/>
      </w:r>
      <w:r>
        <w:rPr>
          <w:rFonts w:ascii="Arial Narrow" w:eastAsia="仿宋_GB2312" w:hAnsi="Arial Narrow" w:cs="楷体"/>
          <w:sz w:val="16"/>
          <w:szCs w:val="16"/>
          <w:lang w:eastAsia="zh-CN"/>
        </w:rPr>
        <w:t>《</w:t>
      </w:r>
      <w:r>
        <w:rPr>
          <w:rFonts w:ascii="Arial Narrow" w:eastAsia="仿宋_GB2312" w:hAnsi="Arial Narrow" w:cs="楷体"/>
          <w:sz w:val="16"/>
          <w:szCs w:val="16"/>
          <w:lang w:eastAsia="zh-CN"/>
        </w:rPr>
        <w:t>OECD</w:t>
      </w:r>
      <w:r>
        <w:rPr>
          <w:rFonts w:ascii="Arial Narrow" w:eastAsia="仿宋_GB2312" w:hAnsi="Arial Narrow" w:cs="楷体"/>
          <w:sz w:val="16"/>
          <w:szCs w:val="16"/>
          <w:lang w:eastAsia="zh-CN"/>
        </w:rPr>
        <w:t>转让定价指南》</w:t>
      </w:r>
      <w:r>
        <w:rPr>
          <w:rFonts w:ascii="Arial Narrow" w:eastAsia="仿宋_GB2312" w:hAnsi="Arial Narrow" w:cs="楷体"/>
          <w:sz w:val="16"/>
          <w:szCs w:val="16"/>
          <w:lang w:eastAsia="zh-CN"/>
        </w:rPr>
        <w:t>2.58</w:t>
      </w:r>
      <w:r>
        <w:rPr>
          <w:rFonts w:ascii="Arial Narrow" w:eastAsia="仿宋_GB2312" w:hAnsi="Arial Narrow" w:cs="楷体"/>
          <w:sz w:val="16"/>
          <w:szCs w:val="16"/>
          <w:lang w:eastAsia="zh-CN"/>
        </w:rPr>
        <w:t>章</w:t>
      </w:r>
    </w:p>
  </w:footnote>
  <w:footnote w:id="14">
    <w:p w14:paraId="6E8EE0C9" w14:textId="77777777" w:rsidR="006B4107" w:rsidRDefault="004E70C7">
      <w:pPr>
        <w:pStyle w:val="afd"/>
        <w:spacing w:line="240" w:lineRule="atLeast"/>
        <w:rPr>
          <w:rFonts w:ascii="Arial Narrow" w:eastAsia="仿宋_GB2312" w:hAnsi="Arial Narrow" w:cs="楷体"/>
          <w:sz w:val="16"/>
          <w:szCs w:val="16"/>
          <w:lang w:eastAsia="zh-CN"/>
        </w:rPr>
      </w:pPr>
      <w:r>
        <w:rPr>
          <w:rStyle w:val="affc"/>
          <w:rFonts w:ascii="Arial Narrow" w:eastAsia="仿宋_GB2312" w:hAnsi="Arial Narrow"/>
          <w:sz w:val="16"/>
          <w:szCs w:val="16"/>
        </w:rPr>
        <w:footnoteRef/>
      </w:r>
      <w:r>
        <w:rPr>
          <w:rFonts w:ascii="Arial Narrow" w:eastAsia="仿宋_GB2312" w:hAnsi="Arial Narrow" w:cs="楷体"/>
          <w:sz w:val="16"/>
          <w:szCs w:val="16"/>
          <w:lang w:eastAsia="zh-CN"/>
        </w:rPr>
        <w:t>近年来，中国国家税务总局开始订购</w:t>
      </w:r>
      <w:r>
        <w:rPr>
          <w:rFonts w:ascii="Arial Narrow" w:eastAsia="仿宋_GB2312" w:hAnsi="Arial Narrow" w:cs="楷体"/>
          <w:sz w:val="16"/>
          <w:szCs w:val="16"/>
          <w:lang w:eastAsia="zh-CN"/>
        </w:rPr>
        <w:t>OSIRIS</w:t>
      </w:r>
      <w:r>
        <w:rPr>
          <w:rFonts w:ascii="Arial Narrow" w:eastAsia="仿宋_GB2312" w:hAnsi="Arial Narrow" w:cs="楷体"/>
          <w:sz w:val="16"/>
          <w:szCs w:val="16"/>
          <w:lang w:eastAsia="zh-CN"/>
        </w:rPr>
        <w:t>数据库。事实上，在</w:t>
      </w:r>
      <w:r>
        <w:rPr>
          <w:rFonts w:ascii="Arial Narrow" w:eastAsia="仿宋_GB2312" w:hAnsi="Arial Narrow" w:cs="楷体"/>
          <w:sz w:val="16"/>
          <w:szCs w:val="16"/>
          <w:lang w:eastAsia="zh-CN"/>
        </w:rPr>
        <w:t>2005</w:t>
      </w:r>
      <w:r>
        <w:rPr>
          <w:rFonts w:ascii="Arial Narrow" w:eastAsia="仿宋_GB2312" w:hAnsi="Arial Narrow" w:cs="楷体"/>
          <w:sz w:val="16"/>
          <w:szCs w:val="16"/>
          <w:lang w:eastAsia="zh-CN"/>
        </w:rPr>
        <w:t>年</w:t>
      </w:r>
      <w:r>
        <w:rPr>
          <w:rFonts w:ascii="Arial Narrow" w:eastAsia="仿宋_GB2312" w:hAnsi="Arial Narrow" w:cs="楷体"/>
          <w:sz w:val="16"/>
          <w:szCs w:val="16"/>
          <w:lang w:eastAsia="zh-CN"/>
        </w:rPr>
        <w:t>3</w:t>
      </w:r>
      <w:r>
        <w:rPr>
          <w:rFonts w:ascii="Arial Narrow" w:eastAsia="仿宋_GB2312" w:hAnsi="Arial Narrow" w:cs="楷体"/>
          <w:sz w:val="16"/>
          <w:szCs w:val="16"/>
          <w:lang w:eastAsia="zh-CN"/>
        </w:rPr>
        <w:t>月</w:t>
      </w:r>
      <w:r>
        <w:rPr>
          <w:rFonts w:ascii="Arial Narrow" w:eastAsia="仿宋_GB2312" w:hAnsi="Arial Narrow" w:cs="楷体"/>
          <w:sz w:val="16"/>
          <w:szCs w:val="16"/>
          <w:lang w:eastAsia="zh-CN"/>
        </w:rPr>
        <w:t>25</w:t>
      </w:r>
      <w:r>
        <w:rPr>
          <w:rFonts w:ascii="Arial Narrow" w:eastAsia="仿宋_GB2312" w:hAnsi="Arial Narrow" w:cs="楷体"/>
          <w:sz w:val="16"/>
          <w:szCs w:val="16"/>
          <w:lang w:eastAsia="zh-CN"/>
        </w:rPr>
        <w:t>日由国税总局发布的国税函</w:t>
      </w:r>
      <w:r>
        <w:rPr>
          <w:rFonts w:ascii="Arial Narrow" w:eastAsia="仿宋_GB2312" w:hAnsi="Arial Narrow" w:cs="楷体"/>
          <w:sz w:val="16"/>
          <w:szCs w:val="16"/>
          <w:lang w:eastAsia="zh-CN"/>
        </w:rPr>
        <w:t>[2005]239</w:t>
      </w:r>
      <w:r>
        <w:rPr>
          <w:rFonts w:ascii="Arial Narrow" w:eastAsia="仿宋_GB2312" w:hAnsi="Arial Narrow" w:cs="楷体"/>
          <w:sz w:val="16"/>
          <w:szCs w:val="16"/>
          <w:lang w:eastAsia="zh-CN"/>
        </w:rPr>
        <w:t>号文（</w:t>
      </w:r>
      <w:r>
        <w:rPr>
          <w:rFonts w:ascii="Arial Narrow" w:eastAsia="仿宋_GB2312" w:hAnsi="Arial Narrow" w:cs="楷体"/>
          <w:sz w:val="16"/>
          <w:szCs w:val="16"/>
          <w:lang w:eastAsia="zh-CN"/>
        </w:rPr>
        <w:t>“</w:t>
      </w:r>
      <w:r>
        <w:rPr>
          <w:rFonts w:ascii="Arial Narrow" w:eastAsia="仿宋_GB2312" w:hAnsi="Arial Narrow" w:cs="楷体"/>
          <w:sz w:val="16"/>
          <w:szCs w:val="16"/>
          <w:lang w:eastAsia="zh-CN"/>
        </w:rPr>
        <w:t>国家税务总局关于</w:t>
      </w:r>
      <w:r>
        <w:rPr>
          <w:rFonts w:ascii="Arial Narrow" w:eastAsia="仿宋_GB2312" w:hAnsi="Arial Narrow" w:cs="楷体"/>
          <w:sz w:val="16"/>
          <w:szCs w:val="16"/>
          <w:lang w:eastAsia="zh-CN"/>
        </w:rPr>
        <w:t>2005</w:t>
      </w:r>
      <w:r>
        <w:rPr>
          <w:rFonts w:ascii="Arial Narrow" w:eastAsia="仿宋_GB2312" w:hAnsi="Arial Narrow" w:cs="楷体"/>
          <w:sz w:val="16"/>
          <w:szCs w:val="16"/>
          <w:lang w:eastAsia="zh-CN"/>
        </w:rPr>
        <w:t>年度反避税工作的通知</w:t>
      </w:r>
      <w:r>
        <w:rPr>
          <w:rFonts w:ascii="Arial Narrow" w:eastAsia="仿宋_GB2312" w:hAnsi="Arial Narrow" w:cs="楷体"/>
          <w:sz w:val="16"/>
          <w:szCs w:val="16"/>
          <w:lang w:eastAsia="zh-CN"/>
        </w:rPr>
        <w:t>”</w:t>
      </w:r>
      <w:r>
        <w:rPr>
          <w:rFonts w:ascii="Arial Narrow" w:eastAsia="仿宋_GB2312" w:hAnsi="Arial Narrow" w:cs="楷体"/>
          <w:sz w:val="16"/>
          <w:szCs w:val="16"/>
          <w:lang w:eastAsia="zh-CN"/>
        </w:rPr>
        <w:t>）中，国税总局要求在进行反避税调查和纳税调整中，要积极利用</w:t>
      </w:r>
      <w:r>
        <w:rPr>
          <w:rFonts w:ascii="Arial Narrow" w:eastAsia="仿宋_GB2312" w:hAnsi="Arial Narrow"/>
          <w:sz w:val="16"/>
          <w:szCs w:val="16"/>
          <w:lang w:eastAsia="zh-CN"/>
        </w:rPr>
        <w:t>Bureau van Dijk</w:t>
      </w:r>
      <w:r>
        <w:rPr>
          <w:rFonts w:ascii="Arial Narrow" w:eastAsia="仿宋_GB2312" w:hAnsi="Arial Narrow" w:cs="楷体"/>
          <w:sz w:val="16"/>
          <w:szCs w:val="16"/>
          <w:lang w:eastAsia="zh-CN"/>
        </w:rPr>
        <w:t>公司的数据库。</w:t>
      </w:r>
    </w:p>
  </w:footnote>
  <w:footnote w:id="15">
    <w:p w14:paraId="7A526F8F" w14:textId="77777777" w:rsidR="006B4107" w:rsidRDefault="004E70C7">
      <w:pPr>
        <w:pStyle w:val="afd"/>
        <w:spacing w:line="240" w:lineRule="atLeast"/>
        <w:rPr>
          <w:rFonts w:ascii="Arial Narrow" w:eastAsia="仿宋_GB2312" w:hAnsi="Arial Narrow"/>
          <w:sz w:val="16"/>
          <w:szCs w:val="16"/>
          <w:lang w:eastAsia="zh-CN"/>
        </w:rPr>
      </w:pPr>
      <w:r>
        <w:rPr>
          <w:rStyle w:val="affc"/>
          <w:rFonts w:ascii="Arial Narrow" w:eastAsia="仿宋_GB2312" w:hAnsi="Arial Narrow"/>
          <w:sz w:val="16"/>
          <w:szCs w:val="16"/>
        </w:rPr>
        <w:footnoteRef/>
      </w:r>
      <w:r>
        <w:rPr>
          <w:rFonts w:ascii="Arial Narrow" w:eastAsia="仿宋_GB2312" w:hAnsi="Arial Narrow" w:cs="楷体"/>
          <w:sz w:val="16"/>
          <w:szCs w:val="16"/>
          <w:lang w:eastAsia="zh-CN"/>
        </w:rPr>
        <w:t>《</w:t>
      </w:r>
      <w:r>
        <w:rPr>
          <w:rFonts w:ascii="Arial Narrow" w:eastAsia="仿宋_GB2312" w:hAnsi="Arial Narrow" w:cs="楷体"/>
          <w:sz w:val="16"/>
          <w:szCs w:val="16"/>
          <w:lang w:eastAsia="zh-CN"/>
        </w:rPr>
        <w:t>OECD</w:t>
      </w:r>
      <w:r>
        <w:rPr>
          <w:rFonts w:ascii="Arial Narrow" w:eastAsia="仿宋_GB2312" w:hAnsi="Arial Narrow" w:cs="楷体"/>
          <w:sz w:val="16"/>
          <w:szCs w:val="16"/>
          <w:lang w:eastAsia="zh-CN"/>
        </w:rPr>
        <w:t>转让定价指南》</w:t>
      </w:r>
      <w:r>
        <w:rPr>
          <w:rFonts w:ascii="Arial Narrow" w:eastAsia="仿宋_GB2312" w:hAnsi="Arial Narrow" w:cs="楷体"/>
          <w:sz w:val="16"/>
          <w:szCs w:val="16"/>
          <w:lang w:eastAsia="zh-CN"/>
        </w:rPr>
        <w:t>3.76</w:t>
      </w:r>
      <w:r>
        <w:rPr>
          <w:rFonts w:ascii="Arial Narrow" w:eastAsia="仿宋_GB2312" w:hAnsi="Arial Narrow" w:cs="楷体"/>
          <w:sz w:val="16"/>
          <w:szCs w:val="16"/>
          <w:lang w:eastAsia="zh-CN"/>
        </w:rPr>
        <w:t>章</w:t>
      </w:r>
    </w:p>
  </w:footnote>
  <w:footnote w:id="16">
    <w:p w14:paraId="478EBA8F" w14:textId="77777777" w:rsidR="006B4107" w:rsidRDefault="004E70C7">
      <w:pPr>
        <w:pStyle w:val="afd"/>
        <w:spacing w:line="240" w:lineRule="atLeast"/>
        <w:rPr>
          <w:rFonts w:ascii="Arial Narrow" w:eastAsia="仿宋_GB2312" w:hAnsi="Arial Narrow"/>
          <w:sz w:val="16"/>
          <w:szCs w:val="16"/>
          <w:lang w:eastAsia="zh-CN"/>
        </w:rPr>
      </w:pPr>
      <w:r>
        <w:rPr>
          <w:rStyle w:val="affc"/>
          <w:rFonts w:ascii="Arial Narrow" w:eastAsia="仿宋_GB2312" w:hAnsi="Arial Narrow"/>
          <w:sz w:val="16"/>
          <w:szCs w:val="16"/>
        </w:rPr>
        <w:footnoteRef/>
      </w:r>
      <w:r>
        <w:rPr>
          <w:rFonts w:ascii="Arial Narrow" w:eastAsia="仿宋_GB2312" w:hAnsi="Arial Narrow" w:cs="楷体"/>
          <w:sz w:val="16"/>
          <w:szCs w:val="16"/>
          <w:lang w:eastAsia="zh-CN"/>
        </w:rPr>
        <w:t>《</w:t>
      </w:r>
      <w:r>
        <w:rPr>
          <w:rFonts w:ascii="Arial Narrow" w:eastAsia="仿宋_GB2312" w:hAnsi="Arial Narrow" w:cs="楷体"/>
          <w:sz w:val="16"/>
          <w:szCs w:val="16"/>
          <w:lang w:eastAsia="zh-CN"/>
        </w:rPr>
        <w:t>OECD</w:t>
      </w:r>
      <w:r>
        <w:rPr>
          <w:rFonts w:ascii="Arial Narrow" w:eastAsia="仿宋_GB2312" w:hAnsi="Arial Narrow" w:cs="楷体"/>
          <w:sz w:val="16"/>
          <w:szCs w:val="16"/>
          <w:lang w:eastAsia="zh-CN"/>
        </w:rPr>
        <w:t>转让定价指南》</w:t>
      </w:r>
      <w:r>
        <w:rPr>
          <w:rFonts w:ascii="Arial Narrow" w:eastAsia="仿宋_GB2312" w:hAnsi="Arial Narrow" w:cs="楷体"/>
          <w:sz w:val="16"/>
          <w:szCs w:val="16"/>
          <w:lang w:eastAsia="zh-CN"/>
        </w:rPr>
        <w:t>3.77</w:t>
      </w:r>
      <w:r>
        <w:rPr>
          <w:rFonts w:ascii="Arial Narrow" w:eastAsia="仿宋_GB2312" w:hAnsi="Arial Narrow" w:cs="楷体"/>
          <w:sz w:val="16"/>
          <w:szCs w:val="16"/>
          <w:lang w:eastAsia="zh-CN"/>
        </w:rPr>
        <w:t>章</w:t>
      </w:r>
    </w:p>
  </w:footnote>
  <w:footnote w:id="17">
    <w:p w14:paraId="4997D24C" w14:textId="77777777" w:rsidR="006B4107" w:rsidRDefault="004E70C7">
      <w:pPr>
        <w:pStyle w:val="afd"/>
        <w:spacing w:line="240" w:lineRule="atLeast"/>
        <w:rPr>
          <w:rFonts w:ascii="Arial Narrow" w:eastAsia="仿宋_GB2312" w:hAnsi="Arial Narrow"/>
          <w:sz w:val="16"/>
          <w:szCs w:val="16"/>
          <w:lang w:eastAsia="zh-CN"/>
        </w:rPr>
      </w:pPr>
      <w:r>
        <w:rPr>
          <w:rStyle w:val="affc"/>
          <w:rFonts w:ascii="Arial Narrow" w:eastAsia="仿宋_GB2312" w:hAnsi="Arial Narrow"/>
          <w:sz w:val="16"/>
          <w:szCs w:val="16"/>
        </w:rPr>
        <w:footnoteRef/>
      </w:r>
      <w:r>
        <w:rPr>
          <w:rFonts w:ascii="Arial Narrow" w:eastAsia="仿宋_GB2312" w:hAnsi="Arial Narrow" w:cs="楷体"/>
          <w:sz w:val="16"/>
          <w:szCs w:val="16"/>
          <w:lang w:eastAsia="zh-CN"/>
        </w:rPr>
        <w:t>《</w:t>
      </w:r>
      <w:r>
        <w:rPr>
          <w:rFonts w:ascii="Arial Narrow" w:eastAsia="仿宋_GB2312" w:hAnsi="Arial Narrow" w:cs="楷体"/>
          <w:sz w:val="16"/>
          <w:szCs w:val="16"/>
          <w:lang w:eastAsia="zh-CN"/>
        </w:rPr>
        <w:t>OECD</w:t>
      </w:r>
      <w:r>
        <w:rPr>
          <w:rFonts w:ascii="Arial Narrow" w:eastAsia="仿宋_GB2312" w:hAnsi="Arial Narrow" w:cs="楷体"/>
          <w:sz w:val="16"/>
          <w:szCs w:val="16"/>
          <w:lang w:eastAsia="zh-CN"/>
        </w:rPr>
        <w:t>转让定价指南》</w:t>
      </w:r>
      <w:r>
        <w:rPr>
          <w:rFonts w:ascii="Arial Narrow" w:eastAsia="仿宋_GB2312" w:hAnsi="Arial Narrow" w:cs="楷体"/>
          <w:sz w:val="16"/>
          <w:szCs w:val="16"/>
          <w:lang w:eastAsia="zh-CN"/>
        </w:rPr>
        <w:t>3.55</w:t>
      </w:r>
      <w:r>
        <w:rPr>
          <w:rFonts w:ascii="Arial Narrow" w:eastAsia="仿宋_GB2312" w:hAnsi="Arial Narrow" w:cs="楷体"/>
          <w:sz w:val="16"/>
          <w:szCs w:val="16"/>
          <w:lang w:eastAsia="zh-CN"/>
        </w:rPr>
        <w:t>章</w:t>
      </w:r>
    </w:p>
  </w:footnote>
  <w:footnote w:id="18">
    <w:p w14:paraId="606B78FC" w14:textId="77777777" w:rsidR="006B4107" w:rsidRDefault="004E70C7">
      <w:pPr>
        <w:pStyle w:val="afd"/>
        <w:spacing w:line="240" w:lineRule="atLeast"/>
        <w:rPr>
          <w:rFonts w:ascii="Arial Narrow" w:eastAsia="仿宋_GB2312" w:hAnsi="Arial Narrow"/>
          <w:sz w:val="16"/>
          <w:szCs w:val="16"/>
          <w:lang w:eastAsia="zh-CN"/>
        </w:rPr>
      </w:pPr>
      <w:r>
        <w:rPr>
          <w:rStyle w:val="affc"/>
          <w:rFonts w:ascii="Arial Narrow" w:eastAsia="仿宋_GB2312" w:hAnsi="Arial Narrow"/>
          <w:sz w:val="16"/>
          <w:szCs w:val="16"/>
        </w:rPr>
        <w:footnoteRef/>
      </w:r>
      <w:r>
        <w:rPr>
          <w:rFonts w:ascii="Arial Narrow" w:eastAsia="仿宋_GB2312" w:hAnsi="Arial Narrow" w:cs="楷体"/>
          <w:sz w:val="16"/>
          <w:szCs w:val="16"/>
          <w:lang w:eastAsia="zh-CN"/>
        </w:rPr>
        <w:t>国家税务总局公告</w:t>
      </w:r>
      <w:r>
        <w:rPr>
          <w:rFonts w:ascii="Arial Narrow" w:eastAsia="仿宋_GB2312" w:hAnsi="Arial Narrow" w:cs="楷体"/>
          <w:sz w:val="16"/>
          <w:szCs w:val="16"/>
          <w:lang w:eastAsia="zh-CN"/>
        </w:rPr>
        <w:t>2017</w:t>
      </w:r>
      <w:r>
        <w:rPr>
          <w:rFonts w:ascii="Arial Narrow" w:eastAsia="仿宋_GB2312" w:hAnsi="Arial Narrow" w:cs="楷体"/>
          <w:sz w:val="16"/>
          <w:szCs w:val="16"/>
          <w:lang w:eastAsia="zh-CN"/>
        </w:rPr>
        <w:t>年第</w:t>
      </w:r>
      <w:r>
        <w:rPr>
          <w:rFonts w:ascii="Arial Narrow" w:eastAsia="仿宋_GB2312" w:hAnsi="Arial Narrow" w:cs="楷体"/>
          <w:sz w:val="16"/>
          <w:szCs w:val="16"/>
          <w:lang w:eastAsia="zh-CN"/>
        </w:rPr>
        <w:t>6</w:t>
      </w:r>
      <w:r>
        <w:rPr>
          <w:rFonts w:ascii="Arial Narrow" w:eastAsia="仿宋_GB2312" w:hAnsi="Arial Narrow" w:cs="楷体"/>
          <w:sz w:val="16"/>
          <w:szCs w:val="16"/>
          <w:lang w:eastAsia="zh-CN"/>
        </w:rPr>
        <w:t>号第</w:t>
      </w:r>
      <w:r>
        <w:rPr>
          <w:rFonts w:ascii="Arial Narrow" w:eastAsia="仿宋_GB2312" w:hAnsi="Arial Narrow" w:cs="楷体"/>
          <w:sz w:val="16"/>
          <w:szCs w:val="16"/>
          <w:lang w:eastAsia="zh-CN"/>
        </w:rPr>
        <w:t>25</w:t>
      </w:r>
      <w:r>
        <w:rPr>
          <w:rFonts w:ascii="Arial Narrow" w:eastAsia="仿宋_GB2312" w:hAnsi="Arial Narrow" w:cs="楷体"/>
          <w:sz w:val="16"/>
          <w:szCs w:val="16"/>
          <w:lang w:eastAsia="zh-CN"/>
        </w:rPr>
        <w:t>条提及</w:t>
      </w:r>
      <w:r>
        <w:rPr>
          <w:rFonts w:ascii="Arial Narrow" w:eastAsia="仿宋_GB2312" w:hAnsi="Arial Narrow" w:cs="楷体"/>
          <w:sz w:val="16"/>
          <w:szCs w:val="16"/>
          <w:lang w:eastAsia="zh-CN"/>
        </w:rPr>
        <w:t>“</w:t>
      </w:r>
      <w:r>
        <w:rPr>
          <w:rFonts w:ascii="Arial Narrow" w:eastAsia="仿宋_GB2312" w:hAnsi="Arial Narrow" w:cs="楷体"/>
          <w:sz w:val="16"/>
          <w:szCs w:val="16"/>
          <w:lang w:eastAsia="zh-CN"/>
        </w:rPr>
        <w:t>四分位法</w:t>
      </w:r>
      <w:r>
        <w:rPr>
          <w:rFonts w:ascii="Arial Narrow" w:eastAsia="仿宋_GB2312" w:hAnsi="Arial Narrow" w:cs="楷体"/>
          <w:sz w:val="16"/>
          <w:szCs w:val="16"/>
          <w:lang w:eastAsia="zh-CN"/>
        </w:rPr>
        <w:t>”</w:t>
      </w:r>
      <w:r>
        <w:rPr>
          <w:rFonts w:ascii="Arial Narrow" w:eastAsia="仿宋_GB2312" w:hAnsi="Arial Narrow" w:cs="楷体"/>
          <w:sz w:val="16"/>
          <w:szCs w:val="16"/>
          <w:lang w:eastAsia="zh-CN"/>
        </w:rPr>
        <w:t>的使用。四分位区间是指下四分位数</w:t>
      </w:r>
      <w:proofErr w:type="gramStart"/>
      <w:r>
        <w:rPr>
          <w:rFonts w:ascii="Arial Narrow" w:eastAsia="仿宋_GB2312" w:hAnsi="Arial Narrow" w:cs="楷体"/>
          <w:sz w:val="16"/>
          <w:szCs w:val="16"/>
          <w:lang w:eastAsia="zh-CN"/>
        </w:rPr>
        <w:t>至上四</w:t>
      </w:r>
      <w:proofErr w:type="gramEnd"/>
      <w:r>
        <w:rPr>
          <w:rFonts w:ascii="Arial Narrow" w:eastAsia="仿宋_GB2312" w:hAnsi="Arial Narrow" w:cs="楷体"/>
          <w:sz w:val="16"/>
          <w:szCs w:val="16"/>
          <w:lang w:eastAsia="zh-CN"/>
        </w:rPr>
        <w:t>分位数之间的区间。</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11766D" w14:textId="77777777" w:rsidR="006B4107" w:rsidRDefault="006B4107">
    <w:pPr>
      <w:pStyle w:val="af8"/>
      <w:jc w:val="both"/>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2A53A3" w14:textId="77777777" w:rsidR="006B4107" w:rsidRDefault="006B4107">
    <w:pPr>
      <w:pStyle w:val="af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012EA8" w14:textId="77777777" w:rsidR="006B4107" w:rsidRDefault="006B4107">
    <w:pPr>
      <w:pStyle w:val="af8"/>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9551C0" w14:textId="77777777" w:rsidR="006B4107" w:rsidRDefault="006B4107">
    <w:pPr>
      <w:pStyle w:val="af8"/>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000463" w14:textId="77777777" w:rsidR="006B4107" w:rsidRDefault="006B4107">
    <w:pPr>
      <w:pStyle w:val="af8"/>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3D8048" w14:textId="77777777" w:rsidR="006B4107" w:rsidRDefault="004E70C7">
    <w:pPr>
      <w:pStyle w:val="af8"/>
      <w:pBdr>
        <w:bottom w:val="single" w:sz="4" w:space="1" w:color="auto"/>
      </w:pBdr>
      <w:tabs>
        <w:tab w:val="left" w:pos="7830"/>
      </w:tabs>
      <w:adjustRightInd w:val="0"/>
      <w:spacing w:line="240" w:lineRule="atLeast"/>
      <w:rPr>
        <w:sz w:val="18"/>
        <w:szCs w:val="18"/>
      </w:rPr>
    </w:pPr>
    <w:r>
      <w:rPr>
        <w:rFonts w:cs="华文细黑" w:hint="eastAsia"/>
        <w:sz w:val="18"/>
        <w:szCs w:val="18"/>
      </w:rPr>
      <w:t>上海远化物流有限公司</w:t>
    </w:r>
    <w:r>
      <w:rPr>
        <w:rFonts w:hint="eastAsia"/>
        <w:sz w:val="18"/>
        <w:szCs w:val="18"/>
      </w:rPr>
      <w:t>关联交易同期资料报告（本地文档）</w:t>
    </w:r>
  </w:p>
  <w:p w14:paraId="266F299E" w14:textId="77777777" w:rsidR="006B4107" w:rsidRDefault="004E70C7">
    <w:pPr>
      <w:pStyle w:val="af8"/>
      <w:pBdr>
        <w:bottom w:val="single" w:sz="4" w:space="1" w:color="auto"/>
      </w:pBdr>
      <w:tabs>
        <w:tab w:val="left" w:pos="7830"/>
      </w:tabs>
      <w:adjustRightInd w:val="0"/>
      <w:spacing w:line="240" w:lineRule="atLeast"/>
    </w:pPr>
    <w:r>
      <w:rPr>
        <w:rFonts w:hint="eastAsia"/>
        <w:sz w:val="18"/>
        <w:szCs w:val="18"/>
      </w:rPr>
      <w:t>202</w:t>
    </w:r>
    <w:r>
      <w:rPr>
        <w:sz w:val="18"/>
        <w:szCs w:val="18"/>
      </w:rPr>
      <w:t>3</w:t>
    </w:r>
    <w:r>
      <w:rPr>
        <w:rFonts w:hint="eastAsia"/>
        <w:sz w:val="18"/>
        <w:szCs w:val="18"/>
      </w:rPr>
      <w:t>财务年度（截至</w:t>
    </w:r>
    <w:r>
      <w:rPr>
        <w:rFonts w:hint="eastAsia"/>
        <w:sz w:val="18"/>
        <w:szCs w:val="18"/>
      </w:rPr>
      <w:t>202</w:t>
    </w:r>
    <w:r>
      <w:rPr>
        <w:sz w:val="18"/>
        <w:szCs w:val="18"/>
      </w:rPr>
      <w:t>3</w:t>
    </w:r>
    <w:r>
      <w:rPr>
        <w:rFonts w:hint="eastAsia"/>
        <w:sz w:val="18"/>
        <w:szCs w:val="18"/>
      </w:rPr>
      <w:t>年</w:t>
    </w:r>
    <w:r>
      <w:rPr>
        <w:rFonts w:hint="eastAsia"/>
        <w:sz w:val="18"/>
        <w:szCs w:val="18"/>
      </w:rPr>
      <w:t>12</w:t>
    </w:r>
    <w:r>
      <w:rPr>
        <w:rFonts w:hint="eastAsia"/>
        <w:sz w:val="18"/>
        <w:szCs w:val="18"/>
      </w:rPr>
      <w:t>月</w:t>
    </w:r>
    <w:r>
      <w:rPr>
        <w:rFonts w:hint="eastAsia"/>
        <w:sz w:val="18"/>
        <w:szCs w:val="18"/>
      </w:rPr>
      <w:t>31</w:t>
    </w:r>
    <w:r>
      <w:rPr>
        <w:rFonts w:hint="eastAsia"/>
        <w:sz w:val="18"/>
        <w:szCs w:val="18"/>
      </w:rPr>
      <w:t>日）</w:t>
    </w:r>
    <w:r>
      <w:rPr>
        <w:rFonts w:ascii="Verdana" w:eastAsia="华文楷体" w:hAnsi="Verdana"/>
        <w:sz w:val="18"/>
      </w:rPr>
      <w:tab/>
    </w:r>
  </w:p>
  <w:p w14:paraId="119C559D" w14:textId="77777777" w:rsidR="006B4107" w:rsidRDefault="006B4107">
    <w:pPr>
      <w:pStyle w:val="af8"/>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7C133C" w14:textId="77777777" w:rsidR="006B4107" w:rsidRDefault="006B4107">
    <w:pPr>
      <w:pStyle w:val="af8"/>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67D0CA" w14:textId="77777777" w:rsidR="006B4107" w:rsidRDefault="006B4107">
    <w:pPr>
      <w:pStyle w:val="af8"/>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EE7A20" w14:textId="77777777" w:rsidR="006B4107" w:rsidRDefault="006B4107">
    <w:pPr>
      <w:pStyle w:val="af8"/>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2AEBBD" w14:textId="77777777" w:rsidR="006B4107" w:rsidRDefault="006B4107">
    <w:pPr>
      <w:pStyle w:val="af8"/>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2A7B09" w14:textId="77777777" w:rsidR="006B4107" w:rsidRDefault="006B4107">
    <w:pPr>
      <w:pStyle w:val="af8"/>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5FFB96" w14:textId="77777777" w:rsidR="006B4107" w:rsidRDefault="006B4107">
    <w:pPr>
      <w:pStyle w:val="af8"/>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6189A8" w14:textId="77777777" w:rsidR="006B4107" w:rsidRDefault="006B4107">
    <w:pPr>
      <w:pStyle w:val="af8"/>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8A6570" w14:textId="77777777" w:rsidR="006B4107" w:rsidRDefault="006B4107">
    <w:pPr>
      <w:pStyle w:val="af8"/>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1C51E9" w14:textId="77777777" w:rsidR="006B4107" w:rsidRDefault="006B4107">
    <w:pPr>
      <w:pStyle w:val="af8"/>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FFD441" w14:textId="77777777" w:rsidR="006B4107" w:rsidRDefault="006B4107">
    <w:pPr>
      <w:pStyle w:val="af8"/>
    </w:pPr>
  </w:p>
  <w:p w14:paraId="1D7E8BCB" w14:textId="77777777" w:rsidR="006B4107" w:rsidRDefault="004E70C7">
    <w:r>
      <w:t>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EC864"/>
    <w:multiLevelType w:val="singleLevel"/>
    <w:tmpl w:val="FFFEC864"/>
    <w:lvl w:ilvl="0">
      <w:start w:val="1"/>
      <w:numFmt w:val="bullet"/>
      <w:lvlText w:val=""/>
      <w:lvlJc w:val="left"/>
      <w:pPr>
        <w:ind w:left="420" w:hanging="420"/>
      </w:pPr>
      <w:rPr>
        <w:rFonts w:ascii="Wingdings" w:hAnsi="Wingdings" w:hint="default"/>
      </w:rPr>
    </w:lvl>
  </w:abstractNum>
  <w:abstractNum w:abstractNumId="1" w15:restartNumberingAfterBreak="0">
    <w:nsid w:val="04E040D2"/>
    <w:multiLevelType w:val="multilevel"/>
    <w:tmpl w:val="04E040D2"/>
    <w:lvl w:ilvl="0">
      <w:start w:val="1"/>
      <w:numFmt w:val="bullet"/>
      <w:lvlText w:val=""/>
      <w:lvlJc w:val="left"/>
      <w:pPr>
        <w:ind w:left="979" w:hanging="420"/>
      </w:pPr>
      <w:rPr>
        <w:rFonts w:ascii="Wingdings" w:hAnsi="Wingdings" w:hint="default"/>
        <w:sz w:val="13"/>
      </w:rPr>
    </w:lvl>
    <w:lvl w:ilvl="1">
      <w:start w:val="1"/>
      <w:numFmt w:val="bullet"/>
      <w:lvlText w:val=""/>
      <w:lvlJc w:val="left"/>
      <w:pPr>
        <w:ind w:left="1399" w:hanging="420"/>
      </w:pPr>
      <w:rPr>
        <w:rFonts w:ascii="Wingdings" w:hAnsi="Wingdings" w:hint="default"/>
      </w:rPr>
    </w:lvl>
    <w:lvl w:ilvl="2">
      <w:start w:val="1"/>
      <w:numFmt w:val="bullet"/>
      <w:lvlText w:val=""/>
      <w:lvlJc w:val="left"/>
      <w:pPr>
        <w:ind w:left="1819" w:hanging="420"/>
      </w:pPr>
      <w:rPr>
        <w:rFonts w:ascii="Wingdings" w:hAnsi="Wingdings" w:hint="default"/>
      </w:rPr>
    </w:lvl>
    <w:lvl w:ilvl="3">
      <w:start w:val="1"/>
      <w:numFmt w:val="bullet"/>
      <w:lvlText w:val=""/>
      <w:lvlJc w:val="left"/>
      <w:pPr>
        <w:ind w:left="2239" w:hanging="420"/>
      </w:pPr>
      <w:rPr>
        <w:rFonts w:ascii="Wingdings" w:hAnsi="Wingdings" w:hint="default"/>
      </w:rPr>
    </w:lvl>
    <w:lvl w:ilvl="4">
      <w:start w:val="1"/>
      <w:numFmt w:val="bullet"/>
      <w:lvlText w:val=""/>
      <w:lvlJc w:val="left"/>
      <w:pPr>
        <w:ind w:left="2659" w:hanging="420"/>
      </w:pPr>
      <w:rPr>
        <w:rFonts w:ascii="Wingdings" w:hAnsi="Wingdings" w:hint="default"/>
      </w:rPr>
    </w:lvl>
    <w:lvl w:ilvl="5">
      <w:start w:val="1"/>
      <w:numFmt w:val="bullet"/>
      <w:lvlText w:val=""/>
      <w:lvlJc w:val="left"/>
      <w:pPr>
        <w:ind w:left="3079" w:hanging="420"/>
      </w:pPr>
      <w:rPr>
        <w:rFonts w:ascii="Wingdings" w:hAnsi="Wingdings" w:hint="default"/>
      </w:rPr>
    </w:lvl>
    <w:lvl w:ilvl="6">
      <w:start w:val="1"/>
      <w:numFmt w:val="bullet"/>
      <w:lvlText w:val=""/>
      <w:lvlJc w:val="left"/>
      <w:pPr>
        <w:ind w:left="3499" w:hanging="420"/>
      </w:pPr>
      <w:rPr>
        <w:rFonts w:ascii="Wingdings" w:hAnsi="Wingdings" w:hint="default"/>
      </w:rPr>
    </w:lvl>
    <w:lvl w:ilvl="7">
      <w:start w:val="1"/>
      <w:numFmt w:val="bullet"/>
      <w:lvlText w:val=""/>
      <w:lvlJc w:val="left"/>
      <w:pPr>
        <w:ind w:left="3919" w:hanging="420"/>
      </w:pPr>
      <w:rPr>
        <w:rFonts w:ascii="Wingdings" w:hAnsi="Wingdings" w:hint="default"/>
      </w:rPr>
    </w:lvl>
    <w:lvl w:ilvl="8">
      <w:start w:val="1"/>
      <w:numFmt w:val="bullet"/>
      <w:lvlText w:val=""/>
      <w:lvlJc w:val="left"/>
      <w:pPr>
        <w:ind w:left="4339" w:hanging="420"/>
      </w:pPr>
      <w:rPr>
        <w:rFonts w:ascii="Wingdings" w:hAnsi="Wingdings" w:hint="default"/>
      </w:rPr>
    </w:lvl>
  </w:abstractNum>
  <w:abstractNum w:abstractNumId="2" w15:restartNumberingAfterBreak="0">
    <w:nsid w:val="08112CE6"/>
    <w:multiLevelType w:val="multilevel"/>
    <w:tmpl w:val="08112CE6"/>
    <w:lvl w:ilvl="0">
      <w:start w:val="1"/>
      <w:numFmt w:val="decimal"/>
      <w:lvlText w:val="%1."/>
      <w:lvlJc w:val="left"/>
      <w:pPr>
        <w:ind w:left="1636" w:hanging="360"/>
      </w:pPr>
    </w:lvl>
    <w:lvl w:ilvl="1">
      <w:start w:val="1"/>
      <w:numFmt w:val="lowerLetter"/>
      <w:lvlText w:val="%2."/>
      <w:lvlJc w:val="left"/>
      <w:pPr>
        <w:ind w:left="2356" w:hanging="360"/>
      </w:pPr>
    </w:lvl>
    <w:lvl w:ilvl="2">
      <w:start w:val="1"/>
      <w:numFmt w:val="lowerRoman"/>
      <w:lvlText w:val="%3."/>
      <w:lvlJc w:val="right"/>
      <w:pPr>
        <w:ind w:left="3076" w:hanging="180"/>
      </w:pPr>
    </w:lvl>
    <w:lvl w:ilvl="3">
      <w:start w:val="1"/>
      <w:numFmt w:val="decimal"/>
      <w:lvlText w:val="%4."/>
      <w:lvlJc w:val="left"/>
      <w:pPr>
        <w:ind w:left="3796" w:hanging="360"/>
      </w:pPr>
    </w:lvl>
    <w:lvl w:ilvl="4">
      <w:start w:val="1"/>
      <w:numFmt w:val="lowerLetter"/>
      <w:lvlText w:val="%5."/>
      <w:lvlJc w:val="left"/>
      <w:pPr>
        <w:ind w:left="4516" w:hanging="360"/>
      </w:pPr>
    </w:lvl>
    <w:lvl w:ilvl="5">
      <w:start w:val="1"/>
      <w:numFmt w:val="lowerRoman"/>
      <w:lvlText w:val="%6."/>
      <w:lvlJc w:val="right"/>
      <w:pPr>
        <w:ind w:left="5236" w:hanging="180"/>
      </w:pPr>
    </w:lvl>
    <w:lvl w:ilvl="6">
      <w:start w:val="1"/>
      <w:numFmt w:val="decimal"/>
      <w:lvlText w:val="%7."/>
      <w:lvlJc w:val="left"/>
      <w:pPr>
        <w:ind w:left="5956" w:hanging="360"/>
      </w:pPr>
    </w:lvl>
    <w:lvl w:ilvl="7">
      <w:start w:val="1"/>
      <w:numFmt w:val="lowerLetter"/>
      <w:lvlText w:val="%8."/>
      <w:lvlJc w:val="left"/>
      <w:pPr>
        <w:ind w:left="6676" w:hanging="360"/>
      </w:pPr>
    </w:lvl>
    <w:lvl w:ilvl="8">
      <w:start w:val="1"/>
      <w:numFmt w:val="lowerRoman"/>
      <w:lvlText w:val="%9."/>
      <w:lvlJc w:val="right"/>
      <w:pPr>
        <w:ind w:left="7396" w:hanging="180"/>
      </w:pPr>
    </w:lvl>
  </w:abstractNum>
  <w:abstractNum w:abstractNumId="3" w15:restartNumberingAfterBreak="0">
    <w:nsid w:val="0A6461D0"/>
    <w:multiLevelType w:val="multilevel"/>
    <w:tmpl w:val="0A6461D0"/>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0B711A94"/>
    <w:multiLevelType w:val="multilevel"/>
    <w:tmpl w:val="0B711A94"/>
    <w:lvl w:ilvl="0">
      <w:start w:val="1"/>
      <w:numFmt w:val="bullet"/>
      <w:lvlText w:val=""/>
      <w:lvlJc w:val="left"/>
      <w:pPr>
        <w:ind w:left="860" w:hanging="420"/>
      </w:pPr>
      <w:rPr>
        <w:rFonts w:ascii="Wingdings" w:hAnsi="Wingdings" w:hint="default"/>
      </w:rPr>
    </w:lvl>
    <w:lvl w:ilvl="1">
      <w:start w:val="1"/>
      <w:numFmt w:val="bullet"/>
      <w:lvlText w:val=""/>
      <w:lvlJc w:val="left"/>
      <w:pPr>
        <w:ind w:left="1280" w:hanging="420"/>
      </w:pPr>
      <w:rPr>
        <w:rFonts w:ascii="Wingdings" w:hAnsi="Wingdings" w:hint="default"/>
      </w:rPr>
    </w:lvl>
    <w:lvl w:ilvl="2">
      <w:start w:val="1"/>
      <w:numFmt w:val="bullet"/>
      <w:lvlText w:val=""/>
      <w:lvlJc w:val="left"/>
      <w:pPr>
        <w:ind w:left="1700" w:hanging="420"/>
      </w:pPr>
      <w:rPr>
        <w:rFonts w:ascii="Wingdings" w:hAnsi="Wingdings" w:hint="default"/>
      </w:rPr>
    </w:lvl>
    <w:lvl w:ilvl="3">
      <w:start w:val="1"/>
      <w:numFmt w:val="bullet"/>
      <w:lvlText w:val=""/>
      <w:lvlJc w:val="left"/>
      <w:pPr>
        <w:ind w:left="2120" w:hanging="420"/>
      </w:pPr>
      <w:rPr>
        <w:rFonts w:ascii="Wingdings" w:hAnsi="Wingdings" w:hint="default"/>
      </w:rPr>
    </w:lvl>
    <w:lvl w:ilvl="4">
      <w:start w:val="1"/>
      <w:numFmt w:val="bullet"/>
      <w:lvlText w:val=""/>
      <w:lvlJc w:val="left"/>
      <w:pPr>
        <w:ind w:left="2540" w:hanging="420"/>
      </w:pPr>
      <w:rPr>
        <w:rFonts w:ascii="Wingdings" w:hAnsi="Wingdings" w:hint="default"/>
      </w:rPr>
    </w:lvl>
    <w:lvl w:ilvl="5">
      <w:start w:val="1"/>
      <w:numFmt w:val="bullet"/>
      <w:lvlText w:val=""/>
      <w:lvlJc w:val="left"/>
      <w:pPr>
        <w:ind w:left="2960" w:hanging="420"/>
      </w:pPr>
      <w:rPr>
        <w:rFonts w:ascii="Wingdings" w:hAnsi="Wingdings" w:hint="default"/>
      </w:rPr>
    </w:lvl>
    <w:lvl w:ilvl="6">
      <w:start w:val="1"/>
      <w:numFmt w:val="bullet"/>
      <w:lvlText w:val=""/>
      <w:lvlJc w:val="left"/>
      <w:pPr>
        <w:ind w:left="3380" w:hanging="420"/>
      </w:pPr>
      <w:rPr>
        <w:rFonts w:ascii="Wingdings" w:hAnsi="Wingdings" w:hint="default"/>
      </w:rPr>
    </w:lvl>
    <w:lvl w:ilvl="7">
      <w:start w:val="1"/>
      <w:numFmt w:val="bullet"/>
      <w:lvlText w:val=""/>
      <w:lvlJc w:val="left"/>
      <w:pPr>
        <w:ind w:left="3800" w:hanging="420"/>
      </w:pPr>
      <w:rPr>
        <w:rFonts w:ascii="Wingdings" w:hAnsi="Wingdings" w:hint="default"/>
      </w:rPr>
    </w:lvl>
    <w:lvl w:ilvl="8">
      <w:start w:val="1"/>
      <w:numFmt w:val="bullet"/>
      <w:lvlText w:val=""/>
      <w:lvlJc w:val="left"/>
      <w:pPr>
        <w:ind w:left="4220" w:hanging="420"/>
      </w:pPr>
      <w:rPr>
        <w:rFonts w:ascii="Wingdings" w:hAnsi="Wingdings" w:hint="default"/>
      </w:rPr>
    </w:lvl>
  </w:abstractNum>
  <w:abstractNum w:abstractNumId="5" w15:restartNumberingAfterBreak="0">
    <w:nsid w:val="12C00B40"/>
    <w:multiLevelType w:val="multilevel"/>
    <w:tmpl w:val="12C00B40"/>
    <w:lvl w:ilvl="0">
      <w:start w:val="1"/>
      <w:numFmt w:val="bullet"/>
      <w:lvlText w:val=""/>
      <w:lvlJc w:val="left"/>
      <w:pPr>
        <w:ind w:left="919" w:hanging="360"/>
      </w:pPr>
      <w:rPr>
        <w:rFonts w:ascii="Symbol" w:hAnsi="Symbol" w:hint="default"/>
      </w:rPr>
    </w:lvl>
    <w:lvl w:ilvl="1">
      <w:start w:val="1"/>
      <w:numFmt w:val="bullet"/>
      <w:lvlText w:val="o"/>
      <w:lvlJc w:val="left"/>
      <w:pPr>
        <w:ind w:left="1639" w:hanging="360"/>
      </w:pPr>
      <w:rPr>
        <w:rFonts w:ascii="Courier New" w:hAnsi="Courier New" w:cs="Courier New" w:hint="default"/>
      </w:rPr>
    </w:lvl>
    <w:lvl w:ilvl="2">
      <w:start w:val="1"/>
      <w:numFmt w:val="bullet"/>
      <w:lvlText w:val=""/>
      <w:lvlJc w:val="left"/>
      <w:pPr>
        <w:ind w:left="2359" w:hanging="360"/>
      </w:pPr>
      <w:rPr>
        <w:rFonts w:ascii="Wingdings" w:hAnsi="Wingdings" w:hint="default"/>
      </w:rPr>
    </w:lvl>
    <w:lvl w:ilvl="3">
      <w:start w:val="1"/>
      <w:numFmt w:val="bullet"/>
      <w:lvlText w:val=""/>
      <w:lvlJc w:val="left"/>
      <w:pPr>
        <w:ind w:left="3079" w:hanging="360"/>
      </w:pPr>
      <w:rPr>
        <w:rFonts w:ascii="Symbol" w:hAnsi="Symbol" w:hint="default"/>
      </w:rPr>
    </w:lvl>
    <w:lvl w:ilvl="4">
      <w:start w:val="1"/>
      <w:numFmt w:val="bullet"/>
      <w:lvlText w:val="o"/>
      <w:lvlJc w:val="left"/>
      <w:pPr>
        <w:ind w:left="3799" w:hanging="360"/>
      </w:pPr>
      <w:rPr>
        <w:rFonts w:ascii="Courier New" w:hAnsi="Courier New" w:cs="Courier New" w:hint="default"/>
      </w:rPr>
    </w:lvl>
    <w:lvl w:ilvl="5">
      <w:start w:val="1"/>
      <w:numFmt w:val="bullet"/>
      <w:lvlText w:val=""/>
      <w:lvlJc w:val="left"/>
      <w:pPr>
        <w:ind w:left="4519" w:hanging="360"/>
      </w:pPr>
      <w:rPr>
        <w:rFonts w:ascii="Wingdings" w:hAnsi="Wingdings" w:hint="default"/>
      </w:rPr>
    </w:lvl>
    <w:lvl w:ilvl="6">
      <w:start w:val="1"/>
      <w:numFmt w:val="bullet"/>
      <w:lvlText w:val=""/>
      <w:lvlJc w:val="left"/>
      <w:pPr>
        <w:ind w:left="5239" w:hanging="360"/>
      </w:pPr>
      <w:rPr>
        <w:rFonts w:ascii="Symbol" w:hAnsi="Symbol" w:hint="default"/>
      </w:rPr>
    </w:lvl>
    <w:lvl w:ilvl="7">
      <w:start w:val="1"/>
      <w:numFmt w:val="bullet"/>
      <w:lvlText w:val="o"/>
      <w:lvlJc w:val="left"/>
      <w:pPr>
        <w:ind w:left="5959" w:hanging="360"/>
      </w:pPr>
      <w:rPr>
        <w:rFonts w:ascii="Courier New" w:hAnsi="Courier New" w:cs="Courier New" w:hint="default"/>
      </w:rPr>
    </w:lvl>
    <w:lvl w:ilvl="8">
      <w:start w:val="1"/>
      <w:numFmt w:val="bullet"/>
      <w:lvlText w:val=""/>
      <w:lvlJc w:val="left"/>
      <w:pPr>
        <w:ind w:left="6679" w:hanging="360"/>
      </w:pPr>
      <w:rPr>
        <w:rFonts w:ascii="Wingdings" w:hAnsi="Wingdings" w:hint="default"/>
      </w:rPr>
    </w:lvl>
  </w:abstractNum>
  <w:abstractNum w:abstractNumId="6" w15:restartNumberingAfterBreak="0">
    <w:nsid w:val="159A7C55"/>
    <w:multiLevelType w:val="multilevel"/>
    <w:tmpl w:val="159A7C55"/>
    <w:lvl w:ilvl="0">
      <w:start w:val="1"/>
      <w:numFmt w:val="decimal"/>
      <w:lvlText w:val="%1."/>
      <w:lvlJc w:val="left"/>
      <w:pPr>
        <w:ind w:left="1352"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62E2785"/>
    <w:multiLevelType w:val="multilevel"/>
    <w:tmpl w:val="162E2785"/>
    <w:lvl w:ilvl="0">
      <w:start w:val="1"/>
      <w:numFmt w:val="decimal"/>
      <w:lvlText w:val="%1)"/>
      <w:lvlJc w:val="left"/>
      <w:pPr>
        <w:ind w:left="1352"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C9A74D7"/>
    <w:multiLevelType w:val="multilevel"/>
    <w:tmpl w:val="1C9A74D7"/>
    <w:lvl w:ilvl="0">
      <w:start w:val="1"/>
      <w:numFmt w:val="bullet"/>
      <w:lvlText w:val=""/>
      <w:lvlJc w:val="left"/>
      <w:pPr>
        <w:ind w:left="979" w:hanging="420"/>
      </w:pPr>
      <w:rPr>
        <w:rFonts w:ascii="Wingdings" w:hAnsi="Wingdings" w:hint="default"/>
        <w:sz w:val="13"/>
      </w:rPr>
    </w:lvl>
    <w:lvl w:ilvl="1">
      <w:start w:val="1"/>
      <w:numFmt w:val="bullet"/>
      <w:lvlText w:val=""/>
      <w:lvlJc w:val="left"/>
      <w:pPr>
        <w:ind w:left="1399" w:hanging="420"/>
      </w:pPr>
      <w:rPr>
        <w:rFonts w:ascii="Wingdings" w:hAnsi="Wingdings" w:hint="default"/>
      </w:rPr>
    </w:lvl>
    <w:lvl w:ilvl="2">
      <w:start w:val="1"/>
      <w:numFmt w:val="bullet"/>
      <w:lvlText w:val=""/>
      <w:lvlJc w:val="left"/>
      <w:pPr>
        <w:ind w:left="1819" w:hanging="420"/>
      </w:pPr>
      <w:rPr>
        <w:rFonts w:ascii="Wingdings" w:hAnsi="Wingdings" w:hint="default"/>
      </w:rPr>
    </w:lvl>
    <w:lvl w:ilvl="3">
      <w:start w:val="1"/>
      <w:numFmt w:val="bullet"/>
      <w:lvlText w:val=""/>
      <w:lvlJc w:val="left"/>
      <w:pPr>
        <w:ind w:left="2239" w:hanging="420"/>
      </w:pPr>
      <w:rPr>
        <w:rFonts w:ascii="Wingdings" w:hAnsi="Wingdings" w:hint="default"/>
      </w:rPr>
    </w:lvl>
    <w:lvl w:ilvl="4">
      <w:start w:val="1"/>
      <w:numFmt w:val="bullet"/>
      <w:lvlText w:val=""/>
      <w:lvlJc w:val="left"/>
      <w:pPr>
        <w:ind w:left="2659" w:hanging="420"/>
      </w:pPr>
      <w:rPr>
        <w:rFonts w:ascii="Wingdings" w:hAnsi="Wingdings" w:hint="default"/>
      </w:rPr>
    </w:lvl>
    <w:lvl w:ilvl="5">
      <w:start w:val="1"/>
      <w:numFmt w:val="bullet"/>
      <w:lvlText w:val=""/>
      <w:lvlJc w:val="left"/>
      <w:pPr>
        <w:ind w:left="3079" w:hanging="420"/>
      </w:pPr>
      <w:rPr>
        <w:rFonts w:ascii="Wingdings" w:hAnsi="Wingdings" w:hint="default"/>
      </w:rPr>
    </w:lvl>
    <w:lvl w:ilvl="6">
      <w:start w:val="1"/>
      <w:numFmt w:val="bullet"/>
      <w:lvlText w:val=""/>
      <w:lvlJc w:val="left"/>
      <w:pPr>
        <w:ind w:left="3499" w:hanging="420"/>
      </w:pPr>
      <w:rPr>
        <w:rFonts w:ascii="Wingdings" w:hAnsi="Wingdings" w:hint="default"/>
      </w:rPr>
    </w:lvl>
    <w:lvl w:ilvl="7">
      <w:start w:val="1"/>
      <w:numFmt w:val="bullet"/>
      <w:lvlText w:val=""/>
      <w:lvlJc w:val="left"/>
      <w:pPr>
        <w:ind w:left="3919" w:hanging="420"/>
      </w:pPr>
      <w:rPr>
        <w:rFonts w:ascii="Wingdings" w:hAnsi="Wingdings" w:hint="default"/>
      </w:rPr>
    </w:lvl>
    <w:lvl w:ilvl="8">
      <w:start w:val="1"/>
      <w:numFmt w:val="bullet"/>
      <w:lvlText w:val=""/>
      <w:lvlJc w:val="left"/>
      <w:pPr>
        <w:ind w:left="4339" w:hanging="420"/>
      </w:pPr>
      <w:rPr>
        <w:rFonts w:ascii="Wingdings" w:hAnsi="Wingdings" w:hint="default"/>
      </w:rPr>
    </w:lvl>
  </w:abstractNum>
  <w:abstractNum w:abstractNumId="9" w15:restartNumberingAfterBreak="0">
    <w:nsid w:val="1ECB78D2"/>
    <w:multiLevelType w:val="multilevel"/>
    <w:tmpl w:val="1ECB78D2"/>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10" w15:restartNumberingAfterBreak="0">
    <w:nsid w:val="20BC0DF0"/>
    <w:multiLevelType w:val="multilevel"/>
    <w:tmpl w:val="20BC0DF0"/>
    <w:lvl w:ilvl="0">
      <w:start w:val="1"/>
      <w:numFmt w:val="decimal"/>
      <w:pStyle w:val="1"/>
      <w:lvlText w:val="%1."/>
      <w:lvlJc w:val="left"/>
      <w:pPr>
        <w:ind w:left="360" w:hanging="360"/>
      </w:pPr>
      <w:rPr>
        <w:rFonts w:ascii="Arial Narrow" w:hAnsi="Arial Narrow" w:hint="default"/>
        <w:b w:val="0"/>
        <w:bCs/>
        <w:i w:val="0"/>
        <w:iCs w:val="0"/>
        <w:caps w:val="0"/>
        <w:smallCaps w:val="0"/>
        <w:strike w:val="0"/>
        <w:dstrike w:val="0"/>
        <w:vanish w:val="0"/>
        <w:color w:val="1E4517" w:themeColor="accent4" w:themeShade="80"/>
        <w:spacing w:val="0"/>
        <w:kern w:val="0"/>
        <w:position w:val="0"/>
        <w:sz w:val="28"/>
        <w:szCs w:val="28"/>
        <w:u w:val="none"/>
        <w:vertAlign w:val="baseline"/>
        <w14:shadow w14:blurRad="0" w14:dist="0" w14:dir="0" w14:sx="0" w14:sy="0" w14:kx="0" w14:ky="0" w14:algn="none">
          <w14:srgbClr w14:val="000000"/>
        </w14:shadow>
      </w:rPr>
    </w:lvl>
    <w:lvl w:ilvl="1">
      <w:start w:val="1"/>
      <w:numFmt w:val="decimal"/>
      <w:pStyle w:val="2"/>
      <w:isLgl/>
      <w:lvlText w:val="%1.%2"/>
      <w:lvlJc w:val="left"/>
      <w:pPr>
        <w:ind w:left="360" w:hanging="360"/>
      </w:pPr>
      <w:rPr>
        <w:rFonts w:ascii="Arial Narrow" w:eastAsia="仿宋_GB2312" w:hAnsi="Arial Narrow" w:hint="default"/>
        <w:b w:val="0"/>
        <w:bCs/>
        <w:i w:val="0"/>
        <w:iCs w:val="0"/>
        <w:caps w:val="0"/>
        <w:smallCaps w:val="0"/>
        <w:strike w:val="0"/>
        <w:dstrike w:val="0"/>
        <w:vanish w:val="0"/>
        <w:color w:val="002060"/>
        <w:spacing w:val="0"/>
        <w:kern w:val="0"/>
        <w:position w:val="0"/>
        <w:sz w:val="22"/>
        <w:szCs w:val="22"/>
        <w:u w:val="none"/>
        <w:vertAlign w:val="baseline"/>
        <w14:shadow w14:blurRad="0" w14:dist="0" w14:dir="0" w14:sx="0" w14:sy="0" w14:kx="0" w14:ky="0" w14:algn="none">
          <w14:srgbClr w14:val="000000"/>
        </w14:shadow>
      </w:rPr>
    </w:lvl>
    <w:lvl w:ilvl="2">
      <w:start w:val="1"/>
      <w:numFmt w:val="decimal"/>
      <w:pStyle w:val="3"/>
      <w:isLgl/>
      <w:lvlText w:val="%1.%2.%3"/>
      <w:lvlJc w:val="left"/>
      <w:pPr>
        <w:ind w:left="720" w:hanging="720"/>
      </w:pPr>
      <w:rPr>
        <w:rFonts w:ascii="Arial Narrow" w:hAnsi="Arial Narrow" w:hint="default"/>
        <w:b w:val="0"/>
        <w:bCs/>
        <w:i w:val="0"/>
        <w:iCs w:val="0"/>
        <w:caps w:val="0"/>
        <w:smallCaps w:val="0"/>
        <w:strike w:val="0"/>
        <w:dstrike w:val="0"/>
        <w:vanish w:val="0"/>
        <w:color w:val="002060"/>
        <w:spacing w:val="0"/>
        <w:kern w:val="0"/>
        <w:position w:val="0"/>
        <w:u w:val="none"/>
        <w:vertAlign w:val="baseline"/>
        <w14:shadow w14:blurRad="0" w14:dist="0" w14:dir="0" w14:sx="0" w14:sy="0" w14:kx="0" w14:ky="0" w14:algn="none">
          <w14:srgbClr w14:val="000000"/>
        </w14:shadow>
      </w:rPr>
    </w:lvl>
    <w:lvl w:ilvl="3">
      <w:start w:val="1"/>
      <w:numFmt w:val="decimal"/>
      <w:pStyle w:val="4"/>
      <w:isLgl/>
      <w:lvlText w:val="%1.%2.%3.%4"/>
      <w:lvlJc w:val="left"/>
      <w:pPr>
        <w:ind w:left="1080" w:hanging="1080"/>
      </w:pPr>
      <w:rPr>
        <w:rFonts w:ascii="Arial Narrow" w:hAnsi="Arial Narrow" w:hint="default"/>
        <w:b w:val="0"/>
        <w:bCs/>
        <w:i w:val="0"/>
        <w:iCs w:val="0"/>
        <w:caps w:val="0"/>
        <w:smallCaps w:val="0"/>
        <w:strike w:val="0"/>
        <w:dstrike w:val="0"/>
        <w:vanish w:val="0"/>
        <w:color w:val="002060"/>
        <w:spacing w:val="0"/>
        <w:kern w:val="0"/>
        <w:position w:val="0"/>
        <w:u w:val="none"/>
        <w:vertAlign w:val="baseline"/>
        <w14:shadow w14:blurRad="0" w14:dist="0" w14:dir="0" w14:sx="0" w14:sy="0" w14:kx="0" w14:ky="0" w14:algn="none">
          <w14:srgbClr w14:val="000000"/>
        </w14:shadow>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1" w15:restartNumberingAfterBreak="0">
    <w:nsid w:val="24CD76A4"/>
    <w:multiLevelType w:val="multilevel"/>
    <w:tmpl w:val="24CD76A4"/>
    <w:lvl w:ilvl="0">
      <w:start w:val="1"/>
      <w:numFmt w:val="ideographDigital"/>
      <w:pStyle w:val="ListBulletsinglespace"/>
      <w:lvlText w:val="附件%1、"/>
      <w:lvlJc w:val="left"/>
      <w:pPr>
        <w:tabs>
          <w:tab w:val="left" w:pos="860"/>
        </w:tabs>
        <w:ind w:left="860" w:hanging="360"/>
      </w:pPr>
      <w:rPr>
        <w:rFonts w:hint="eastAsia"/>
        <w:szCs w:val="22"/>
      </w:rPr>
    </w:lvl>
    <w:lvl w:ilvl="1">
      <w:start w:val="1"/>
      <w:numFmt w:val="japaneseCounting"/>
      <w:lvlText w:val="（%2）"/>
      <w:lvlJc w:val="left"/>
      <w:pPr>
        <w:tabs>
          <w:tab w:val="left" w:pos="2300"/>
        </w:tabs>
        <w:ind w:left="2300" w:hanging="720"/>
      </w:pPr>
      <w:rPr>
        <w:rFonts w:hint="default"/>
      </w:rPr>
    </w:lvl>
    <w:lvl w:ilvl="2">
      <w:start w:val="1"/>
      <w:numFmt w:val="lowerRoman"/>
      <w:lvlText w:val="%3."/>
      <w:lvlJc w:val="right"/>
      <w:pPr>
        <w:tabs>
          <w:tab w:val="left" w:pos="2660"/>
        </w:tabs>
        <w:ind w:left="2660" w:hanging="180"/>
      </w:pPr>
    </w:lvl>
    <w:lvl w:ilvl="3">
      <w:start w:val="1"/>
      <w:numFmt w:val="decimal"/>
      <w:lvlText w:val="%4."/>
      <w:lvlJc w:val="left"/>
      <w:pPr>
        <w:tabs>
          <w:tab w:val="left" w:pos="3380"/>
        </w:tabs>
        <w:ind w:left="3380" w:hanging="360"/>
      </w:pPr>
    </w:lvl>
    <w:lvl w:ilvl="4">
      <w:start w:val="1"/>
      <w:numFmt w:val="lowerLetter"/>
      <w:lvlText w:val="%5."/>
      <w:lvlJc w:val="left"/>
      <w:pPr>
        <w:tabs>
          <w:tab w:val="left" w:pos="4100"/>
        </w:tabs>
        <w:ind w:left="4100" w:hanging="360"/>
      </w:pPr>
    </w:lvl>
    <w:lvl w:ilvl="5">
      <w:start w:val="1"/>
      <w:numFmt w:val="lowerRoman"/>
      <w:lvlText w:val="%6."/>
      <w:lvlJc w:val="right"/>
      <w:pPr>
        <w:tabs>
          <w:tab w:val="left" w:pos="4820"/>
        </w:tabs>
        <w:ind w:left="4820" w:hanging="180"/>
      </w:pPr>
    </w:lvl>
    <w:lvl w:ilvl="6">
      <w:start w:val="1"/>
      <w:numFmt w:val="decimal"/>
      <w:lvlText w:val="%7."/>
      <w:lvlJc w:val="left"/>
      <w:pPr>
        <w:tabs>
          <w:tab w:val="left" w:pos="5540"/>
        </w:tabs>
        <w:ind w:left="5540" w:hanging="360"/>
      </w:pPr>
    </w:lvl>
    <w:lvl w:ilvl="7">
      <w:start w:val="1"/>
      <w:numFmt w:val="lowerLetter"/>
      <w:lvlText w:val="%8."/>
      <w:lvlJc w:val="left"/>
      <w:pPr>
        <w:tabs>
          <w:tab w:val="left" w:pos="6260"/>
        </w:tabs>
        <w:ind w:left="6260" w:hanging="360"/>
      </w:pPr>
    </w:lvl>
    <w:lvl w:ilvl="8">
      <w:start w:val="1"/>
      <w:numFmt w:val="lowerRoman"/>
      <w:lvlText w:val="%9."/>
      <w:lvlJc w:val="right"/>
      <w:pPr>
        <w:tabs>
          <w:tab w:val="left" w:pos="6980"/>
        </w:tabs>
        <w:ind w:left="6980" w:hanging="180"/>
      </w:pPr>
    </w:lvl>
  </w:abstractNum>
  <w:abstractNum w:abstractNumId="12" w15:restartNumberingAfterBreak="0">
    <w:nsid w:val="272F65D7"/>
    <w:multiLevelType w:val="multilevel"/>
    <w:tmpl w:val="272F65D7"/>
    <w:lvl w:ilvl="0">
      <w:numFmt w:val="bullet"/>
      <w:lvlText w:val=""/>
      <w:lvlJc w:val="left"/>
      <w:pPr>
        <w:ind w:left="979" w:hanging="420"/>
      </w:pPr>
      <w:rPr>
        <w:rFonts w:ascii="Wingdings" w:eastAsia="宋体" w:hAnsi="Wingdings" w:cs="Wingdings" w:hint="default"/>
        <w:color w:val="auto"/>
        <w:w w:val="100"/>
        <w:sz w:val="22"/>
        <w:szCs w:val="22"/>
      </w:rPr>
    </w:lvl>
    <w:lvl w:ilvl="1">
      <w:start w:val="1"/>
      <w:numFmt w:val="bullet"/>
      <w:lvlText w:val=""/>
      <w:lvlJc w:val="left"/>
      <w:pPr>
        <w:ind w:left="1399" w:hanging="420"/>
      </w:pPr>
      <w:rPr>
        <w:rFonts w:ascii="Wingdings" w:hAnsi="Wingdings" w:hint="default"/>
      </w:rPr>
    </w:lvl>
    <w:lvl w:ilvl="2">
      <w:start w:val="1"/>
      <w:numFmt w:val="bullet"/>
      <w:lvlText w:val=""/>
      <w:lvlJc w:val="left"/>
      <w:pPr>
        <w:ind w:left="1819" w:hanging="420"/>
      </w:pPr>
      <w:rPr>
        <w:rFonts w:ascii="Wingdings" w:hAnsi="Wingdings" w:hint="default"/>
      </w:rPr>
    </w:lvl>
    <w:lvl w:ilvl="3">
      <w:start w:val="1"/>
      <w:numFmt w:val="bullet"/>
      <w:lvlText w:val=""/>
      <w:lvlJc w:val="left"/>
      <w:pPr>
        <w:ind w:left="2239" w:hanging="420"/>
      </w:pPr>
      <w:rPr>
        <w:rFonts w:ascii="Wingdings" w:hAnsi="Wingdings" w:hint="default"/>
      </w:rPr>
    </w:lvl>
    <w:lvl w:ilvl="4">
      <w:start w:val="1"/>
      <w:numFmt w:val="bullet"/>
      <w:lvlText w:val=""/>
      <w:lvlJc w:val="left"/>
      <w:pPr>
        <w:ind w:left="2659" w:hanging="420"/>
      </w:pPr>
      <w:rPr>
        <w:rFonts w:ascii="Wingdings" w:hAnsi="Wingdings" w:hint="default"/>
      </w:rPr>
    </w:lvl>
    <w:lvl w:ilvl="5">
      <w:start w:val="1"/>
      <w:numFmt w:val="bullet"/>
      <w:lvlText w:val=""/>
      <w:lvlJc w:val="left"/>
      <w:pPr>
        <w:ind w:left="3079" w:hanging="420"/>
      </w:pPr>
      <w:rPr>
        <w:rFonts w:ascii="Wingdings" w:hAnsi="Wingdings" w:hint="default"/>
      </w:rPr>
    </w:lvl>
    <w:lvl w:ilvl="6">
      <w:start w:val="1"/>
      <w:numFmt w:val="bullet"/>
      <w:lvlText w:val=""/>
      <w:lvlJc w:val="left"/>
      <w:pPr>
        <w:ind w:left="3499" w:hanging="420"/>
      </w:pPr>
      <w:rPr>
        <w:rFonts w:ascii="Wingdings" w:hAnsi="Wingdings" w:hint="default"/>
      </w:rPr>
    </w:lvl>
    <w:lvl w:ilvl="7">
      <w:start w:val="1"/>
      <w:numFmt w:val="bullet"/>
      <w:lvlText w:val=""/>
      <w:lvlJc w:val="left"/>
      <w:pPr>
        <w:ind w:left="3919" w:hanging="420"/>
      </w:pPr>
      <w:rPr>
        <w:rFonts w:ascii="Wingdings" w:hAnsi="Wingdings" w:hint="default"/>
      </w:rPr>
    </w:lvl>
    <w:lvl w:ilvl="8">
      <w:start w:val="1"/>
      <w:numFmt w:val="bullet"/>
      <w:lvlText w:val=""/>
      <w:lvlJc w:val="left"/>
      <w:pPr>
        <w:ind w:left="4339" w:hanging="420"/>
      </w:pPr>
      <w:rPr>
        <w:rFonts w:ascii="Wingdings" w:hAnsi="Wingdings" w:hint="default"/>
      </w:rPr>
    </w:lvl>
  </w:abstractNum>
  <w:abstractNum w:abstractNumId="13" w15:restartNumberingAfterBreak="0">
    <w:nsid w:val="2A51122A"/>
    <w:multiLevelType w:val="multilevel"/>
    <w:tmpl w:val="2A51122A"/>
    <w:lvl w:ilvl="0">
      <w:numFmt w:val="bullet"/>
      <w:lvlText w:val=""/>
      <w:lvlJc w:val="left"/>
      <w:pPr>
        <w:ind w:left="979" w:hanging="420"/>
      </w:pPr>
      <w:rPr>
        <w:rFonts w:ascii="Wingdings" w:eastAsia="宋体" w:hAnsi="Wingdings" w:cs="Wingdings" w:hint="default"/>
        <w:color w:val="auto"/>
        <w:w w:val="100"/>
        <w:sz w:val="22"/>
        <w:szCs w:val="22"/>
      </w:rPr>
    </w:lvl>
    <w:lvl w:ilvl="1">
      <w:start w:val="1"/>
      <w:numFmt w:val="bullet"/>
      <w:lvlText w:val=""/>
      <w:lvlJc w:val="left"/>
      <w:pPr>
        <w:ind w:left="1399" w:hanging="420"/>
      </w:pPr>
      <w:rPr>
        <w:rFonts w:ascii="Wingdings" w:hAnsi="Wingdings" w:hint="default"/>
      </w:rPr>
    </w:lvl>
    <w:lvl w:ilvl="2">
      <w:start w:val="1"/>
      <w:numFmt w:val="bullet"/>
      <w:lvlText w:val=""/>
      <w:lvlJc w:val="left"/>
      <w:pPr>
        <w:ind w:left="1819" w:hanging="420"/>
      </w:pPr>
      <w:rPr>
        <w:rFonts w:ascii="Wingdings" w:hAnsi="Wingdings" w:hint="default"/>
      </w:rPr>
    </w:lvl>
    <w:lvl w:ilvl="3">
      <w:start w:val="1"/>
      <w:numFmt w:val="bullet"/>
      <w:lvlText w:val=""/>
      <w:lvlJc w:val="left"/>
      <w:pPr>
        <w:ind w:left="2239" w:hanging="420"/>
      </w:pPr>
      <w:rPr>
        <w:rFonts w:ascii="Wingdings" w:hAnsi="Wingdings" w:hint="default"/>
      </w:rPr>
    </w:lvl>
    <w:lvl w:ilvl="4">
      <w:start w:val="1"/>
      <w:numFmt w:val="bullet"/>
      <w:lvlText w:val=""/>
      <w:lvlJc w:val="left"/>
      <w:pPr>
        <w:ind w:left="2659" w:hanging="420"/>
      </w:pPr>
      <w:rPr>
        <w:rFonts w:ascii="Wingdings" w:hAnsi="Wingdings" w:hint="default"/>
      </w:rPr>
    </w:lvl>
    <w:lvl w:ilvl="5">
      <w:start w:val="1"/>
      <w:numFmt w:val="bullet"/>
      <w:lvlText w:val=""/>
      <w:lvlJc w:val="left"/>
      <w:pPr>
        <w:ind w:left="3079" w:hanging="420"/>
      </w:pPr>
      <w:rPr>
        <w:rFonts w:ascii="Wingdings" w:hAnsi="Wingdings" w:hint="default"/>
      </w:rPr>
    </w:lvl>
    <w:lvl w:ilvl="6">
      <w:start w:val="1"/>
      <w:numFmt w:val="bullet"/>
      <w:lvlText w:val=""/>
      <w:lvlJc w:val="left"/>
      <w:pPr>
        <w:ind w:left="3499" w:hanging="420"/>
      </w:pPr>
      <w:rPr>
        <w:rFonts w:ascii="Wingdings" w:hAnsi="Wingdings" w:hint="default"/>
      </w:rPr>
    </w:lvl>
    <w:lvl w:ilvl="7">
      <w:start w:val="1"/>
      <w:numFmt w:val="bullet"/>
      <w:lvlText w:val=""/>
      <w:lvlJc w:val="left"/>
      <w:pPr>
        <w:ind w:left="3919" w:hanging="420"/>
      </w:pPr>
      <w:rPr>
        <w:rFonts w:ascii="Wingdings" w:hAnsi="Wingdings" w:hint="default"/>
      </w:rPr>
    </w:lvl>
    <w:lvl w:ilvl="8">
      <w:start w:val="1"/>
      <w:numFmt w:val="bullet"/>
      <w:lvlText w:val=""/>
      <w:lvlJc w:val="left"/>
      <w:pPr>
        <w:ind w:left="4339" w:hanging="420"/>
      </w:pPr>
      <w:rPr>
        <w:rFonts w:ascii="Wingdings" w:hAnsi="Wingdings" w:hint="default"/>
      </w:rPr>
    </w:lvl>
  </w:abstractNum>
  <w:abstractNum w:abstractNumId="14" w15:restartNumberingAfterBreak="0">
    <w:nsid w:val="3CC34C14"/>
    <w:multiLevelType w:val="multilevel"/>
    <w:tmpl w:val="3CC34C14"/>
    <w:lvl w:ilvl="0">
      <w:start w:val="1"/>
      <w:numFmt w:val="bullet"/>
      <w:pStyle w:val="Tablebullet"/>
      <w:lvlText w:val=""/>
      <w:lvlJc w:val="left"/>
      <w:pPr>
        <w:tabs>
          <w:tab w:val="left" w:pos="216"/>
        </w:tabs>
        <w:ind w:left="216" w:hanging="216"/>
      </w:pPr>
      <w:rPr>
        <w:rFonts w:ascii="Symbol" w:hAnsi="Symbol" w:hint="default"/>
        <w:b w:val="0"/>
        <w:i w:val="0"/>
        <w:sz w:val="18"/>
        <w:szCs w:val="18"/>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5" w15:restartNumberingAfterBreak="0">
    <w:nsid w:val="43E02858"/>
    <w:multiLevelType w:val="multilevel"/>
    <w:tmpl w:val="43E0285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47A83C6D"/>
    <w:multiLevelType w:val="multilevel"/>
    <w:tmpl w:val="47A83C6D"/>
    <w:lvl w:ilvl="0">
      <w:start w:val="1"/>
      <w:numFmt w:val="decimal"/>
      <w:lvlText w:val="%1"/>
      <w:lvlJc w:val="left"/>
      <w:pPr>
        <w:tabs>
          <w:tab w:val="left" w:pos="720"/>
        </w:tabs>
        <w:ind w:left="720" w:hanging="720"/>
      </w:pPr>
      <w:rPr>
        <w:rFonts w:ascii="Arial" w:hAnsi="Arial" w:cs="Arial" w:hint="default"/>
      </w:rPr>
    </w:lvl>
    <w:lvl w:ilvl="1">
      <w:start w:val="1"/>
      <w:numFmt w:val="decimal"/>
      <w:lvlText w:val="%1.%2"/>
      <w:lvlJc w:val="left"/>
      <w:pPr>
        <w:tabs>
          <w:tab w:val="left" w:pos="576"/>
        </w:tabs>
        <w:ind w:left="576" w:hanging="576"/>
      </w:pPr>
      <w:rPr>
        <w:rFonts w:ascii="Arial" w:hAnsi="Arial" w:cs="Arial" w:hint="default"/>
        <w:b/>
        <w:i w:val="0"/>
        <w:color w:val="auto"/>
        <w:sz w:val="22"/>
      </w:rPr>
    </w:lvl>
    <w:lvl w:ilvl="2">
      <w:start w:val="1"/>
      <w:numFmt w:val="decimal"/>
      <w:lvlText w:val="1.3.2.%3"/>
      <w:lvlJc w:val="left"/>
      <w:pPr>
        <w:tabs>
          <w:tab w:val="left" w:pos="720"/>
        </w:tabs>
        <w:ind w:left="720" w:hanging="720"/>
      </w:pPr>
      <w:rPr>
        <w:rFonts w:ascii="华文楷体" w:eastAsia="华文楷体" w:hAnsi="华文楷体" w:hint="eastAsia"/>
      </w:rPr>
    </w:lvl>
    <w:lvl w:ilvl="3">
      <w:start w:val="1"/>
      <w:numFmt w:val="decimal"/>
      <w:lvlText w:val="%1.%2.%3.%4"/>
      <w:lvlJc w:val="left"/>
      <w:pPr>
        <w:tabs>
          <w:tab w:val="left" w:pos="864"/>
        </w:tabs>
        <w:ind w:left="864" w:hanging="864"/>
      </w:pPr>
      <w:rPr>
        <w:rFonts w:hint="eastAsia"/>
        <w:sz w:val="22"/>
        <w:szCs w:val="22"/>
      </w:rPr>
    </w:lvl>
    <w:lvl w:ilvl="4">
      <w:start w:val="1"/>
      <w:numFmt w:val="decimal"/>
      <w:pStyle w:val="5"/>
      <w:lvlText w:val="%1.%2.%3.%4.%5"/>
      <w:lvlJc w:val="left"/>
      <w:pPr>
        <w:tabs>
          <w:tab w:val="left" w:pos="1008"/>
        </w:tabs>
        <w:ind w:left="1008" w:hanging="1008"/>
      </w:pPr>
      <w:rPr>
        <w:rFonts w:hint="eastAsia"/>
      </w:rPr>
    </w:lvl>
    <w:lvl w:ilvl="5">
      <w:start w:val="1"/>
      <w:numFmt w:val="decimal"/>
      <w:pStyle w:val="6"/>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17" w15:restartNumberingAfterBreak="0">
    <w:nsid w:val="52CE60AC"/>
    <w:multiLevelType w:val="multilevel"/>
    <w:tmpl w:val="52CE60AC"/>
    <w:lvl w:ilvl="0">
      <w:numFmt w:val="bullet"/>
      <w:lvlText w:val=""/>
      <w:lvlJc w:val="left"/>
      <w:pPr>
        <w:ind w:left="979" w:hanging="420"/>
      </w:pPr>
      <w:rPr>
        <w:rFonts w:ascii="Wingdings" w:eastAsia="宋体" w:hAnsi="Wingdings" w:cs="Wingdings" w:hint="default"/>
        <w:color w:val="auto"/>
        <w:w w:val="100"/>
        <w:sz w:val="22"/>
        <w:szCs w:val="22"/>
      </w:rPr>
    </w:lvl>
    <w:lvl w:ilvl="1">
      <w:start w:val="1"/>
      <w:numFmt w:val="bullet"/>
      <w:lvlText w:val=""/>
      <w:lvlJc w:val="left"/>
      <w:pPr>
        <w:ind w:left="1399" w:hanging="420"/>
      </w:pPr>
      <w:rPr>
        <w:rFonts w:ascii="Wingdings" w:hAnsi="Wingdings" w:hint="default"/>
      </w:rPr>
    </w:lvl>
    <w:lvl w:ilvl="2">
      <w:start w:val="1"/>
      <w:numFmt w:val="bullet"/>
      <w:lvlText w:val=""/>
      <w:lvlJc w:val="left"/>
      <w:pPr>
        <w:ind w:left="1819" w:hanging="420"/>
      </w:pPr>
      <w:rPr>
        <w:rFonts w:ascii="Wingdings" w:hAnsi="Wingdings" w:hint="default"/>
      </w:rPr>
    </w:lvl>
    <w:lvl w:ilvl="3">
      <w:start w:val="1"/>
      <w:numFmt w:val="bullet"/>
      <w:lvlText w:val=""/>
      <w:lvlJc w:val="left"/>
      <w:pPr>
        <w:ind w:left="2239" w:hanging="420"/>
      </w:pPr>
      <w:rPr>
        <w:rFonts w:ascii="Wingdings" w:hAnsi="Wingdings" w:hint="default"/>
      </w:rPr>
    </w:lvl>
    <w:lvl w:ilvl="4">
      <w:start w:val="1"/>
      <w:numFmt w:val="bullet"/>
      <w:lvlText w:val=""/>
      <w:lvlJc w:val="left"/>
      <w:pPr>
        <w:ind w:left="2659" w:hanging="420"/>
      </w:pPr>
      <w:rPr>
        <w:rFonts w:ascii="Wingdings" w:hAnsi="Wingdings" w:hint="default"/>
      </w:rPr>
    </w:lvl>
    <w:lvl w:ilvl="5">
      <w:start w:val="1"/>
      <w:numFmt w:val="bullet"/>
      <w:lvlText w:val=""/>
      <w:lvlJc w:val="left"/>
      <w:pPr>
        <w:ind w:left="3079" w:hanging="420"/>
      </w:pPr>
      <w:rPr>
        <w:rFonts w:ascii="Wingdings" w:hAnsi="Wingdings" w:hint="default"/>
      </w:rPr>
    </w:lvl>
    <w:lvl w:ilvl="6">
      <w:start w:val="1"/>
      <w:numFmt w:val="bullet"/>
      <w:lvlText w:val=""/>
      <w:lvlJc w:val="left"/>
      <w:pPr>
        <w:ind w:left="3499" w:hanging="420"/>
      </w:pPr>
      <w:rPr>
        <w:rFonts w:ascii="Wingdings" w:hAnsi="Wingdings" w:hint="default"/>
      </w:rPr>
    </w:lvl>
    <w:lvl w:ilvl="7">
      <w:start w:val="1"/>
      <w:numFmt w:val="bullet"/>
      <w:lvlText w:val=""/>
      <w:lvlJc w:val="left"/>
      <w:pPr>
        <w:ind w:left="3919" w:hanging="420"/>
      </w:pPr>
      <w:rPr>
        <w:rFonts w:ascii="Wingdings" w:hAnsi="Wingdings" w:hint="default"/>
      </w:rPr>
    </w:lvl>
    <w:lvl w:ilvl="8">
      <w:start w:val="1"/>
      <w:numFmt w:val="bullet"/>
      <w:lvlText w:val=""/>
      <w:lvlJc w:val="left"/>
      <w:pPr>
        <w:ind w:left="4339" w:hanging="420"/>
      </w:pPr>
      <w:rPr>
        <w:rFonts w:ascii="Wingdings" w:hAnsi="Wingdings" w:hint="default"/>
      </w:rPr>
    </w:lvl>
  </w:abstractNum>
  <w:abstractNum w:abstractNumId="18" w15:restartNumberingAfterBreak="0">
    <w:nsid w:val="54340EBC"/>
    <w:multiLevelType w:val="multilevel"/>
    <w:tmpl w:val="54340EBC"/>
    <w:lvl w:ilvl="0">
      <w:start w:val="1"/>
      <w:numFmt w:val="bullet"/>
      <w:pStyle w:val="CNTPRepor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7DA03F9"/>
    <w:multiLevelType w:val="multilevel"/>
    <w:tmpl w:val="57DA03F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621B69D4"/>
    <w:multiLevelType w:val="multilevel"/>
    <w:tmpl w:val="621B69D4"/>
    <w:lvl w:ilvl="0">
      <w:start w:val="1"/>
      <w:numFmt w:val="bullet"/>
      <w:lvlText w:val=""/>
      <w:lvlJc w:val="left"/>
      <w:pPr>
        <w:ind w:left="919" w:hanging="360"/>
      </w:pPr>
      <w:rPr>
        <w:rFonts w:ascii="Symbol" w:hAnsi="Symbol" w:hint="default"/>
      </w:rPr>
    </w:lvl>
    <w:lvl w:ilvl="1">
      <w:start w:val="1"/>
      <w:numFmt w:val="bullet"/>
      <w:lvlText w:val="o"/>
      <w:lvlJc w:val="left"/>
      <w:pPr>
        <w:ind w:left="1639" w:hanging="360"/>
      </w:pPr>
      <w:rPr>
        <w:rFonts w:ascii="Courier New" w:hAnsi="Courier New" w:cs="Courier New" w:hint="default"/>
      </w:rPr>
    </w:lvl>
    <w:lvl w:ilvl="2">
      <w:start w:val="1"/>
      <w:numFmt w:val="bullet"/>
      <w:lvlText w:val=""/>
      <w:lvlJc w:val="left"/>
      <w:pPr>
        <w:ind w:left="2359" w:hanging="360"/>
      </w:pPr>
      <w:rPr>
        <w:rFonts w:ascii="Wingdings" w:hAnsi="Wingdings" w:hint="default"/>
      </w:rPr>
    </w:lvl>
    <w:lvl w:ilvl="3">
      <w:start w:val="1"/>
      <w:numFmt w:val="bullet"/>
      <w:lvlText w:val=""/>
      <w:lvlJc w:val="left"/>
      <w:pPr>
        <w:ind w:left="3079" w:hanging="360"/>
      </w:pPr>
      <w:rPr>
        <w:rFonts w:ascii="Symbol" w:hAnsi="Symbol" w:hint="default"/>
      </w:rPr>
    </w:lvl>
    <w:lvl w:ilvl="4">
      <w:start w:val="1"/>
      <w:numFmt w:val="bullet"/>
      <w:lvlText w:val="o"/>
      <w:lvlJc w:val="left"/>
      <w:pPr>
        <w:ind w:left="3799" w:hanging="360"/>
      </w:pPr>
      <w:rPr>
        <w:rFonts w:ascii="Courier New" w:hAnsi="Courier New" w:cs="Courier New" w:hint="default"/>
      </w:rPr>
    </w:lvl>
    <w:lvl w:ilvl="5">
      <w:start w:val="1"/>
      <w:numFmt w:val="bullet"/>
      <w:lvlText w:val=""/>
      <w:lvlJc w:val="left"/>
      <w:pPr>
        <w:ind w:left="4519" w:hanging="360"/>
      </w:pPr>
      <w:rPr>
        <w:rFonts w:ascii="Wingdings" w:hAnsi="Wingdings" w:hint="default"/>
      </w:rPr>
    </w:lvl>
    <w:lvl w:ilvl="6">
      <w:start w:val="1"/>
      <w:numFmt w:val="bullet"/>
      <w:lvlText w:val=""/>
      <w:lvlJc w:val="left"/>
      <w:pPr>
        <w:ind w:left="5239" w:hanging="360"/>
      </w:pPr>
      <w:rPr>
        <w:rFonts w:ascii="Symbol" w:hAnsi="Symbol" w:hint="default"/>
      </w:rPr>
    </w:lvl>
    <w:lvl w:ilvl="7">
      <w:start w:val="1"/>
      <w:numFmt w:val="bullet"/>
      <w:lvlText w:val="o"/>
      <w:lvlJc w:val="left"/>
      <w:pPr>
        <w:ind w:left="5959" w:hanging="360"/>
      </w:pPr>
      <w:rPr>
        <w:rFonts w:ascii="Courier New" w:hAnsi="Courier New" w:cs="Courier New" w:hint="default"/>
      </w:rPr>
    </w:lvl>
    <w:lvl w:ilvl="8">
      <w:start w:val="1"/>
      <w:numFmt w:val="bullet"/>
      <w:lvlText w:val=""/>
      <w:lvlJc w:val="left"/>
      <w:pPr>
        <w:ind w:left="6679" w:hanging="360"/>
      </w:pPr>
      <w:rPr>
        <w:rFonts w:ascii="Wingdings" w:hAnsi="Wingdings" w:hint="default"/>
      </w:rPr>
    </w:lvl>
  </w:abstractNum>
  <w:abstractNum w:abstractNumId="21" w15:restartNumberingAfterBreak="0">
    <w:nsid w:val="669B2150"/>
    <w:multiLevelType w:val="multilevel"/>
    <w:tmpl w:val="669B2150"/>
    <w:lvl w:ilvl="0">
      <w:start w:val="1"/>
      <w:numFmt w:val="decimal"/>
      <w:lvlText w:val="%1)"/>
      <w:lvlJc w:val="left"/>
      <w:pPr>
        <w:ind w:left="1352"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6F9B5E47"/>
    <w:multiLevelType w:val="multilevel"/>
    <w:tmpl w:val="6F9B5E47"/>
    <w:lvl w:ilvl="0">
      <w:start w:val="1"/>
      <w:numFmt w:val="decimal"/>
      <w:lvlText w:val="%1)"/>
      <w:lvlJc w:val="left"/>
      <w:pPr>
        <w:ind w:left="1352"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724468E4"/>
    <w:multiLevelType w:val="multilevel"/>
    <w:tmpl w:val="724468E4"/>
    <w:lvl w:ilvl="0">
      <w:start w:val="1"/>
      <w:numFmt w:val="decimal"/>
      <w:lvlText w:val="%1)"/>
      <w:lvlJc w:val="left"/>
      <w:pPr>
        <w:ind w:left="1352"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77ED1C9B"/>
    <w:multiLevelType w:val="multilevel"/>
    <w:tmpl w:val="77ED1C9B"/>
    <w:lvl w:ilvl="0">
      <w:start w:val="1"/>
      <w:numFmt w:val="bullet"/>
      <w:pStyle w:val="BodyTextBold"/>
      <w:lvlText w:val=""/>
      <w:lvlJc w:val="left"/>
      <w:pPr>
        <w:tabs>
          <w:tab w:val="left" w:pos="595"/>
        </w:tabs>
        <w:ind w:left="595" w:hanging="595"/>
      </w:pPr>
      <w:rPr>
        <w:rFonts w:ascii="Symbol" w:hAnsi="Symbol" w:hint="default"/>
        <w:sz w:val="18"/>
      </w:rPr>
    </w:lvl>
    <w:lvl w:ilvl="1">
      <w:start w:val="1"/>
      <w:numFmt w:val="bullet"/>
      <w:lvlText w:val=""/>
      <w:lvlJc w:val="left"/>
      <w:pPr>
        <w:tabs>
          <w:tab w:val="left" w:pos="1191"/>
        </w:tabs>
        <w:ind w:left="1191" w:hanging="595"/>
      </w:pPr>
      <w:rPr>
        <w:rFonts w:ascii="Symbol" w:hAnsi="Symbol" w:hint="default"/>
        <w:sz w:val="18"/>
      </w:rPr>
    </w:lvl>
    <w:lvl w:ilvl="2">
      <w:start w:val="1"/>
      <w:numFmt w:val="bullet"/>
      <w:lvlText w:val=""/>
      <w:lvlJc w:val="left"/>
      <w:pPr>
        <w:tabs>
          <w:tab w:val="left" w:pos="1786"/>
        </w:tabs>
        <w:ind w:left="1786" w:hanging="595"/>
      </w:pPr>
      <w:rPr>
        <w:rFonts w:ascii="Symbol" w:hAnsi="Symbol" w:hint="default"/>
        <w:sz w:val="18"/>
      </w:rPr>
    </w:lvl>
    <w:lvl w:ilvl="3">
      <w:start w:val="1"/>
      <w:numFmt w:val="bullet"/>
      <w:lvlText w:val=""/>
      <w:lvlJc w:val="left"/>
      <w:pPr>
        <w:tabs>
          <w:tab w:val="left" w:pos="2381"/>
        </w:tabs>
        <w:ind w:left="2381" w:hanging="595"/>
      </w:pPr>
      <w:rPr>
        <w:rFonts w:ascii="Symbol" w:hAnsi="Symbol" w:hint="default"/>
        <w:sz w:val="18"/>
      </w:rPr>
    </w:lvl>
    <w:lvl w:ilvl="4">
      <w:start w:val="1"/>
      <w:numFmt w:val="bullet"/>
      <w:lvlText w:val=""/>
      <w:lvlJc w:val="left"/>
      <w:pPr>
        <w:tabs>
          <w:tab w:val="left" w:pos="2976"/>
        </w:tabs>
        <w:ind w:left="2976" w:hanging="595"/>
      </w:pPr>
      <w:rPr>
        <w:rFonts w:ascii="Symbol" w:hAnsi="Symbol" w:hint="default"/>
        <w:sz w:val="18"/>
      </w:rPr>
    </w:lvl>
    <w:lvl w:ilvl="5">
      <w:start w:val="1"/>
      <w:numFmt w:val="bullet"/>
      <w:lvlText w:val=""/>
      <w:lvlJc w:val="left"/>
      <w:pPr>
        <w:tabs>
          <w:tab w:val="left" w:pos="3572"/>
        </w:tabs>
        <w:ind w:left="3572" w:hanging="595"/>
      </w:pPr>
      <w:rPr>
        <w:rFonts w:ascii="Symbol" w:hAnsi="Symbol" w:hint="default"/>
        <w:sz w:val="18"/>
      </w:rPr>
    </w:lvl>
    <w:lvl w:ilvl="6">
      <w:start w:val="1"/>
      <w:numFmt w:val="bullet"/>
      <w:lvlText w:val=""/>
      <w:lvlJc w:val="left"/>
      <w:pPr>
        <w:tabs>
          <w:tab w:val="left" w:pos="4167"/>
        </w:tabs>
        <w:ind w:left="4167" w:hanging="595"/>
      </w:pPr>
      <w:rPr>
        <w:rFonts w:ascii="Symbol" w:hAnsi="Symbol" w:hint="default"/>
        <w:sz w:val="18"/>
      </w:rPr>
    </w:lvl>
    <w:lvl w:ilvl="7">
      <w:start w:val="1"/>
      <w:numFmt w:val="bullet"/>
      <w:lvlText w:val=""/>
      <w:lvlJc w:val="left"/>
      <w:pPr>
        <w:tabs>
          <w:tab w:val="left" w:pos="4762"/>
        </w:tabs>
        <w:ind w:left="4762" w:hanging="595"/>
      </w:pPr>
      <w:rPr>
        <w:rFonts w:ascii="Symbol" w:hAnsi="Symbol" w:hint="default"/>
        <w:sz w:val="18"/>
      </w:rPr>
    </w:lvl>
    <w:lvl w:ilvl="8">
      <w:start w:val="1"/>
      <w:numFmt w:val="bullet"/>
      <w:lvlText w:val=""/>
      <w:lvlJc w:val="left"/>
      <w:pPr>
        <w:tabs>
          <w:tab w:val="left" w:pos="4762"/>
        </w:tabs>
        <w:ind w:left="4762" w:hanging="595"/>
      </w:pPr>
      <w:rPr>
        <w:rFonts w:ascii="Symbol" w:hAnsi="Symbol" w:hint="default"/>
        <w:sz w:val="18"/>
      </w:rPr>
    </w:lvl>
  </w:abstractNum>
  <w:abstractNum w:abstractNumId="25" w15:restartNumberingAfterBreak="0">
    <w:nsid w:val="798F30D8"/>
    <w:multiLevelType w:val="multilevel"/>
    <w:tmpl w:val="798F30D8"/>
    <w:lvl w:ilvl="0">
      <w:start w:val="1"/>
      <w:numFmt w:val="decimal"/>
      <w:lvlText w:val=""/>
      <w:lvlJc w:val="left"/>
      <w:pPr>
        <w:tabs>
          <w:tab w:val="left" w:pos="0"/>
        </w:tabs>
        <w:ind w:left="0" w:firstLine="0"/>
      </w:pPr>
      <w:rPr>
        <w:b/>
        <w:color w:val="7F7E82"/>
        <w:sz w:val="40"/>
      </w:rPr>
    </w:lvl>
    <w:lvl w:ilvl="1">
      <w:start w:val="1"/>
      <w:numFmt w:val="decimal"/>
      <w:lvlText w:val=""/>
      <w:lvlJc w:val="left"/>
      <w:pPr>
        <w:tabs>
          <w:tab w:val="left" w:pos="0"/>
        </w:tabs>
        <w:ind w:left="0" w:firstLine="0"/>
      </w:pPr>
      <w:rPr>
        <w:rFonts w:hint="default"/>
        <w:b/>
        <w:color w:val="000000"/>
        <w:sz w:val="28"/>
      </w:rPr>
    </w:lvl>
    <w:lvl w:ilvl="2">
      <w:start w:val="1"/>
      <w:numFmt w:val="decimal"/>
      <w:lvlRestart w:val="1"/>
      <w:lvlText w:val=""/>
      <w:lvlJc w:val="left"/>
      <w:pPr>
        <w:tabs>
          <w:tab w:val="left" w:pos="0"/>
        </w:tabs>
        <w:ind w:left="0" w:firstLine="0"/>
      </w:pPr>
      <w:rPr>
        <w:rFonts w:hint="default"/>
        <w:b/>
        <w:color w:val="000000"/>
        <w:sz w:val="24"/>
      </w:rPr>
    </w:lvl>
    <w:lvl w:ilvl="3">
      <w:start w:val="1"/>
      <w:numFmt w:val="decimal"/>
      <w:lvlRestart w:val="1"/>
      <w:lvlText w:val=""/>
      <w:lvlJc w:val="left"/>
      <w:pPr>
        <w:tabs>
          <w:tab w:val="left" w:pos="0"/>
        </w:tabs>
        <w:ind w:left="0" w:firstLine="0"/>
      </w:pPr>
      <w:rPr>
        <w:rFonts w:hint="default"/>
        <w:b/>
        <w:color w:val="000000"/>
        <w:sz w:val="20"/>
      </w:rPr>
    </w:lvl>
    <w:lvl w:ilvl="4">
      <w:start w:val="1"/>
      <w:numFmt w:val="decimal"/>
      <w:lvlRestart w:val="1"/>
      <w:pStyle w:val="EYBodytextwithparaspace"/>
      <w:lvlText w:val=""/>
      <w:lvlJc w:val="left"/>
      <w:pPr>
        <w:tabs>
          <w:tab w:val="left" w:pos="0"/>
        </w:tabs>
        <w:ind w:left="0" w:firstLine="0"/>
      </w:pPr>
      <w:rPr>
        <w:rFonts w:hint="default"/>
        <w:b w:val="0"/>
        <w:color w:val="000000"/>
        <w:sz w:val="20"/>
      </w:rPr>
    </w:lvl>
    <w:lvl w:ilvl="5">
      <w:start w:val="1"/>
      <w:numFmt w:val="none"/>
      <w:lvlText w:val=""/>
      <w:lvlJc w:val="left"/>
      <w:pPr>
        <w:tabs>
          <w:tab w:val="left" w:pos="0"/>
        </w:tabs>
        <w:ind w:left="0" w:firstLine="0"/>
      </w:pPr>
      <w:rPr>
        <w:rFonts w:hint="default"/>
      </w:rPr>
    </w:lvl>
    <w:lvl w:ilvl="6">
      <w:start w:val="1"/>
      <w:numFmt w:val="none"/>
      <w:lvlText w:val=""/>
      <w:lvlJc w:val="left"/>
      <w:pPr>
        <w:tabs>
          <w:tab w:val="left" w:pos="0"/>
        </w:tabs>
        <w:ind w:left="0" w:firstLine="0"/>
      </w:pPr>
      <w:rPr>
        <w:rFonts w:hint="default"/>
      </w:rPr>
    </w:lvl>
    <w:lvl w:ilvl="7">
      <w:start w:val="1"/>
      <w:numFmt w:val="none"/>
      <w:lvlText w:val=""/>
      <w:lvlJc w:val="left"/>
      <w:pPr>
        <w:tabs>
          <w:tab w:val="left" w:pos="0"/>
        </w:tabs>
        <w:ind w:left="0" w:firstLine="0"/>
      </w:pPr>
      <w:rPr>
        <w:rFonts w:hint="default"/>
      </w:rPr>
    </w:lvl>
    <w:lvl w:ilvl="8">
      <w:start w:val="1"/>
      <w:numFmt w:val="none"/>
      <w:lvlText w:val=""/>
      <w:lvlJc w:val="left"/>
      <w:pPr>
        <w:tabs>
          <w:tab w:val="left" w:pos="0"/>
        </w:tabs>
        <w:ind w:left="0" w:firstLine="0"/>
      </w:pPr>
      <w:rPr>
        <w:rFonts w:hint="default"/>
      </w:rPr>
    </w:lvl>
  </w:abstractNum>
  <w:abstractNum w:abstractNumId="26" w15:restartNumberingAfterBreak="0">
    <w:nsid w:val="7D7A1835"/>
    <w:multiLevelType w:val="multilevel"/>
    <w:tmpl w:val="7D7A1835"/>
    <w:lvl w:ilvl="0">
      <w:start w:val="1"/>
      <w:numFmt w:val="decimal"/>
      <w:lvlText w:val="%1."/>
      <w:lvlJc w:val="left"/>
      <w:pPr>
        <w:ind w:left="516" w:hanging="360"/>
      </w:pPr>
    </w:lvl>
    <w:lvl w:ilvl="1">
      <w:start w:val="1"/>
      <w:numFmt w:val="lowerLetter"/>
      <w:lvlText w:val="%2."/>
      <w:lvlJc w:val="left"/>
      <w:pPr>
        <w:ind w:left="2356" w:hanging="360"/>
      </w:pPr>
    </w:lvl>
    <w:lvl w:ilvl="2">
      <w:start w:val="1"/>
      <w:numFmt w:val="lowerRoman"/>
      <w:lvlText w:val="%3."/>
      <w:lvlJc w:val="right"/>
      <w:pPr>
        <w:ind w:left="3076" w:hanging="180"/>
      </w:pPr>
    </w:lvl>
    <w:lvl w:ilvl="3">
      <w:start w:val="1"/>
      <w:numFmt w:val="decimal"/>
      <w:lvlText w:val="%4."/>
      <w:lvlJc w:val="left"/>
      <w:pPr>
        <w:ind w:left="3796" w:hanging="360"/>
      </w:pPr>
    </w:lvl>
    <w:lvl w:ilvl="4">
      <w:start w:val="1"/>
      <w:numFmt w:val="lowerLetter"/>
      <w:lvlText w:val="%5."/>
      <w:lvlJc w:val="left"/>
      <w:pPr>
        <w:ind w:left="4516" w:hanging="360"/>
      </w:pPr>
    </w:lvl>
    <w:lvl w:ilvl="5">
      <w:start w:val="1"/>
      <w:numFmt w:val="lowerRoman"/>
      <w:lvlText w:val="%6."/>
      <w:lvlJc w:val="right"/>
      <w:pPr>
        <w:ind w:left="5236" w:hanging="180"/>
      </w:pPr>
    </w:lvl>
    <w:lvl w:ilvl="6">
      <w:start w:val="1"/>
      <w:numFmt w:val="decimal"/>
      <w:lvlText w:val="%7."/>
      <w:lvlJc w:val="left"/>
      <w:pPr>
        <w:ind w:left="5956" w:hanging="360"/>
      </w:pPr>
    </w:lvl>
    <w:lvl w:ilvl="7">
      <w:start w:val="1"/>
      <w:numFmt w:val="lowerLetter"/>
      <w:lvlText w:val="%8."/>
      <w:lvlJc w:val="left"/>
      <w:pPr>
        <w:ind w:left="6676" w:hanging="360"/>
      </w:pPr>
    </w:lvl>
    <w:lvl w:ilvl="8">
      <w:start w:val="1"/>
      <w:numFmt w:val="lowerRoman"/>
      <w:lvlText w:val="%9."/>
      <w:lvlJc w:val="right"/>
      <w:pPr>
        <w:ind w:left="7396" w:hanging="180"/>
      </w:pPr>
    </w:lvl>
  </w:abstractNum>
  <w:num w:numId="1">
    <w:abstractNumId w:val="10"/>
  </w:num>
  <w:num w:numId="2">
    <w:abstractNumId w:val="16"/>
  </w:num>
  <w:num w:numId="3">
    <w:abstractNumId w:val="14"/>
  </w:num>
  <w:num w:numId="4">
    <w:abstractNumId w:val="24"/>
  </w:num>
  <w:num w:numId="5">
    <w:abstractNumId w:val="25"/>
  </w:num>
  <w:num w:numId="6">
    <w:abstractNumId w:val="11"/>
  </w:num>
  <w:num w:numId="7">
    <w:abstractNumId w:val="18"/>
  </w:num>
  <w:num w:numId="8">
    <w:abstractNumId w:val="19"/>
  </w:num>
  <w:num w:numId="9">
    <w:abstractNumId w:val="15"/>
  </w:num>
  <w:num w:numId="10">
    <w:abstractNumId w:val="22"/>
  </w:num>
  <w:num w:numId="11">
    <w:abstractNumId w:val="23"/>
  </w:num>
  <w:num w:numId="12">
    <w:abstractNumId w:val="7"/>
  </w:num>
  <w:num w:numId="13">
    <w:abstractNumId w:val="21"/>
  </w:num>
  <w:num w:numId="14">
    <w:abstractNumId w:val="6"/>
  </w:num>
  <w:num w:numId="15">
    <w:abstractNumId w:val="2"/>
  </w:num>
  <w:num w:numId="16">
    <w:abstractNumId w:val="26"/>
  </w:num>
  <w:num w:numId="17">
    <w:abstractNumId w:val="12"/>
  </w:num>
  <w:num w:numId="18">
    <w:abstractNumId w:val="17"/>
  </w:num>
  <w:num w:numId="19">
    <w:abstractNumId w:val="9"/>
  </w:num>
  <w:num w:numId="20">
    <w:abstractNumId w:val="0"/>
  </w:num>
  <w:num w:numId="21">
    <w:abstractNumId w:val="8"/>
  </w:num>
  <w:num w:numId="22">
    <w:abstractNumId w:val="13"/>
  </w:num>
  <w:num w:numId="23">
    <w:abstractNumId w:val="5"/>
  </w:num>
  <w:num w:numId="24">
    <w:abstractNumId w:val="4"/>
  </w:num>
  <w:num w:numId="25">
    <w:abstractNumId w:val="1"/>
  </w:num>
  <w:num w:numId="26">
    <w:abstractNumId w:val="20"/>
  </w:num>
  <w:num w:numId="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spelling="clean" w:grammar="clean"/>
  <w:doNotTrackFormatting/>
  <w:documentProtection w:edit="readOnly" w:formatting="1" w:enforcement="0"/>
  <w:defaultTabStop w:val="720"/>
  <w:drawingGridHorizontalSpacing w:val="110"/>
  <w:drawingGridVerticalSpacing w:val="156"/>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WJmNTAxYTA0NTllZTU0OWY5NWY0MWNlMzBjNGU2OTYifQ=="/>
  </w:docVars>
  <w:rsids>
    <w:rsidRoot w:val="00AE4D15"/>
    <w:rsid w:val="8FA964CC"/>
    <w:rsid w:val="AEF975EB"/>
    <w:rsid w:val="AF3F817A"/>
    <w:rsid w:val="B2DEB0FD"/>
    <w:rsid w:val="B75EDCD6"/>
    <w:rsid w:val="BFB7DB9B"/>
    <w:rsid w:val="CB7F495E"/>
    <w:rsid w:val="CBFDF5F5"/>
    <w:rsid w:val="D5B78301"/>
    <w:rsid w:val="D7FC6531"/>
    <w:rsid w:val="E2AD9E4C"/>
    <w:rsid w:val="E7F22B97"/>
    <w:rsid w:val="EDFF8E18"/>
    <w:rsid w:val="EFE5FFE2"/>
    <w:rsid w:val="F1CCD1DF"/>
    <w:rsid w:val="F37F5E43"/>
    <w:rsid w:val="F546B6CE"/>
    <w:rsid w:val="FCFF5788"/>
    <w:rsid w:val="FDBFE37B"/>
    <w:rsid w:val="FDFE26AE"/>
    <w:rsid w:val="FF79585F"/>
    <w:rsid w:val="FFC7C4A8"/>
    <w:rsid w:val="FFEEC370"/>
    <w:rsid w:val="000006C4"/>
    <w:rsid w:val="0000075A"/>
    <w:rsid w:val="00000BA5"/>
    <w:rsid w:val="00000E68"/>
    <w:rsid w:val="00000EED"/>
    <w:rsid w:val="000011EB"/>
    <w:rsid w:val="000012C8"/>
    <w:rsid w:val="0000132B"/>
    <w:rsid w:val="00001805"/>
    <w:rsid w:val="00001D9A"/>
    <w:rsid w:val="00002221"/>
    <w:rsid w:val="00002EE0"/>
    <w:rsid w:val="000033F7"/>
    <w:rsid w:val="00003858"/>
    <w:rsid w:val="00003AE8"/>
    <w:rsid w:val="00003D2A"/>
    <w:rsid w:val="00003F41"/>
    <w:rsid w:val="00004D8C"/>
    <w:rsid w:val="00004E5B"/>
    <w:rsid w:val="0000501F"/>
    <w:rsid w:val="000064A1"/>
    <w:rsid w:val="000074C0"/>
    <w:rsid w:val="000103E7"/>
    <w:rsid w:val="000106D1"/>
    <w:rsid w:val="00010A7D"/>
    <w:rsid w:val="00012D5C"/>
    <w:rsid w:val="00013B4A"/>
    <w:rsid w:val="00014383"/>
    <w:rsid w:val="00015A70"/>
    <w:rsid w:val="000163BA"/>
    <w:rsid w:val="00016DA2"/>
    <w:rsid w:val="00017457"/>
    <w:rsid w:val="00017D3B"/>
    <w:rsid w:val="0002020D"/>
    <w:rsid w:val="0002061F"/>
    <w:rsid w:val="00020696"/>
    <w:rsid w:val="00020974"/>
    <w:rsid w:val="00022077"/>
    <w:rsid w:val="000226DD"/>
    <w:rsid w:val="00022719"/>
    <w:rsid w:val="00022E8F"/>
    <w:rsid w:val="0002310D"/>
    <w:rsid w:val="000232DC"/>
    <w:rsid w:val="000234CD"/>
    <w:rsid w:val="00023556"/>
    <w:rsid w:val="00024000"/>
    <w:rsid w:val="00024157"/>
    <w:rsid w:val="00024325"/>
    <w:rsid w:val="00024C12"/>
    <w:rsid w:val="00024CBA"/>
    <w:rsid w:val="00024D78"/>
    <w:rsid w:val="00026025"/>
    <w:rsid w:val="00026CF6"/>
    <w:rsid w:val="000276D3"/>
    <w:rsid w:val="0002785C"/>
    <w:rsid w:val="00027C2C"/>
    <w:rsid w:val="00030382"/>
    <w:rsid w:val="00030CEC"/>
    <w:rsid w:val="0003103E"/>
    <w:rsid w:val="000315E7"/>
    <w:rsid w:val="0003191E"/>
    <w:rsid w:val="00031E78"/>
    <w:rsid w:val="00032788"/>
    <w:rsid w:val="00032A04"/>
    <w:rsid w:val="00032B87"/>
    <w:rsid w:val="00034025"/>
    <w:rsid w:val="0003485B"/>
    <w:rsid w:val="00035426"/>
    <w:rsid w:val="000354C5"/>
    <w:rsid w:val="00035562"/>
    <w:rsid w:val="00035583"/>
    <w:rsid w:val="00035B89"/>
    <w:rsid w:val="00036464"/>
    <w:rsid w:val="00036B11"/>
    <w:rsid w:val="000377D8"/>
    <w:rsid w:val="000377F7"/>
    <w:rsid w:val="00037B42"/>
    <w:rsid w:val="00037E7B"/>
    <w:rsid w:val="00037F99"/>
    <w:rsid w:val="0004008C"/>
    <w:rsid w:val="000403AE"/>
    <w:rsid w:val="000408F9"/>
    <w:rsid w:val="00040982"/>
    <w:rsid w:val="000411B9"/>
    <w:rsid w:val="00041CEC"/>
    <w:rsid w:val="00042288"/>
    <w:rsid w:val="00042AA4"/>
    <w:rsid w:val="00042DA4"/>
    <w:rsid w:val="000436B9"/>
    <w:rsid w:val="00044103"/>
    <w:rsid w:val="00044753"/>
    <w:rsid w:val="0004479F"/>
    <w:rsid w:val="00044AD9"/>
    <w:rsid w:val="00044FD3"/>
    <w:rsid w:val="00045435"/>
    <w:rsid w:val="00045759"/>
    <w:rsid w:val="00045BEB"/>
    <w:rsid w:val="0004692E"/>
    <w:rsid w:val="00046B7D"/>
    <w:rsid w:val="00047509"/>
    <w:rsid w:val="00047E98"/>
    <w:rsid w:val="00050565"/>
    <w:rsid w:val="0005086E"/>
    <w:rsid w:val="00050E27"/>
    <w:rsid w:val="00051715"/>
    <w:rsid w:val="00051AF7"/>
    <w:rsid w:val="00051CB6"/>
    <w:rsid w:val="00051EF0"/>
    <w:rsid w:val="00052645"/>
    <w:rsid w:val="000528B3"/>
    <w:rsid w:val="00052AC5"/>
    <w:rsid w:val="00053146"/>
    <w:rsid w:val="000534F8"/>
    <w:rsid w:val="0005399C"/>
    <w:rsid w:val="00054348"/>
    <w:rsid w:val="000548EF"/>
    <w:rsid w:val="00054E26"/>
    <w:rsid w:val="000557C9"/>
    <w:rsid w:val="00055847"/>
    <w:rsid w:val="0005616A"/>
    <w:rsid w:val="000561B5"/>
    <w:rsid w:val="00056361"/>
    <w:rsid w:val="00056E4A"/>
    <w:rsid w:val="00056F41"/>
    <w:rsid w:val="000577E8"/>
    <w:rsid w:val="00057A5F"/>
    <w:rsid w:val="00057F2D"/>
    <w:rsid w:val="000606C9"/>
    <w:rsid w:val="00060AED"/>
    <w:rsid w:val="000612B1"/>
    <w:rsid w:val="000615D2"/>
    <w:rsid w:val="00061772"/>
    <w:rsid w:val="000617C5"/>
    <w:rsid w:val="00062031"/>
    <w:rsid w:val="000634EB"/>
    <w:rsid w:val="00063519"/>
    <w:rsid w:val="00063584"/>
    <w:rsid w:val="00063628"/>
    <w:rsid w:val="00063C91"/>
    <w:rsid w:val="0006511A"/>
    <w:rsid w:val="000652D5"/>
    <w:rsid w:val="00065360"/>
    <w:rsid w:val="00065435"/>
    <w:rsid w:val="00065629"/>
    <w:rsid w:val="0006605C"/>
    <w:rsid w:val="0006758F"/>
    <w:rsid w:val="000679FC"/>
    <w:rsid w:val="000701E0"/>
    <w:rsid w:val="00070A14"/>
    <w:rsid w:val="000719F3"/>
    <w:rsid w:val="00071D3D"/>
    <w:rsid w:val="00072154"/>
    <w:rsid w:val="0007233E"/>
    <w:rsid w:val="00072941"/>
    <w:rsid w:val="0007363F"/>
    <w:rsid w:val="000739E7"/>
    <w:rsid w:val="000739EA"/>
    <w:rsid w:val="000740A3"/>
    <w:rsid w:val="000740CA"/>
    <w:rsid w:val="000740F8"/>
    <w:rsid w:val="00074E38"/>
    <w:rsid w:val="00076279"/>
    <w:rsid w:val="00077261"/>
    <w:rsid w:val="0007746E"/>
    <w:rsid w:val="00077A4C"/>
    <w:rsid w:val="00077C65"/>
    <w:rsid w:val="000810ED"/>
    <w:rsid w:val="000812D8"/>
    <w:rsid w:val="00081E0A"/>
    <w:rsid w:val="00082227"/>
    <w:rsid w:val="0008227E"/>
    <w:rsid w:val="000822B4"/>
    <w:rsid w:val="000823B3"/>
    <w:rsid w:val="00082418"/>
    <w:rsid w:val="00082C54"/>
    <w:rsid w:val="000832A7"/>
    <w:rsid w:val="00083425"/>
    <w:rsid w:val="000848D7"/>
    <w:rsid w:val="0008515F"/>
    <w:rsid w:val="00085201"/>
    <w:rsid w:val="00085883"/>
    <w:rsid w:val="00085E59"/>
    <w:rsid w:val="00085F4E"/>
    <w:rsid w:val="00085FAF"/>
    <w:rsid w:val="0008658B"/>
    <w:rsid w:val="00086721"/>
    <w:rsid w:val="00086CC6"/>
    <w:rsid w:val="00087B4B"/>
    <w:rsid w:val="00087B53"/>
    <w:rsid w:val="00087D55"/>
    <w:rsid w:val="00087F1B"/>
    <w:rsid w:val="00090627"/>
    <w:rsid w:val="00090741"/>
    <w:rsid w:val="00090909"/>
    <w:rsid w:val="00090C05"/>
    <w:rsid w:val="0009161A"/>
    <w:rsid w:val="000916BA"/>
    <w:rsid w:val="00091846"/>
    <w:rsid w:val="00092E20"/>
    <w:rsid w:val="0009322C"/>
    <w:rsid w:val="000938FC"/>
    <w:rsid w:val="0009432A"/>
    <w:rsid w:val="00094390"/>
    <w:rsid w:val="00094B60"/>
    <w:rsid w:val="00094C23"/>
    <w:rsid w:val="00094DE4"/>
    <w:rsid w:val="00094E85"/>
    <w:rsid w:val="00094F5C"/>
    <w:rsid w:val="00094FA7"/>
    <w:rsid w:val="00095826"/>
    <w:rsid w:val="00097205"/>
    <w:rsid w:val="000973BB"/>
    <w:rsid w:val="00097582"/>
    <w:rsid w:val="000A06D1"/>
    <w:rsid w:val="000A0BFD"/>
    <w:rsid w:val="000A1076"/>
    <w:rsid w:val="000A138C"/>
    <w:rsid w:val="000A19D9"/>
    <w:rsid w:val="000A1E0F"/>
    <w:rsid w:val="000A1E3E"/>
    <w:rsid w:val="000A297B"/>
    <w:rsid w:val="000A2B4B"/>
    <w:rsid w:val="000A3C3C"/>
    <w:rsid w:val="000A4006"/>
    <w:rsid w:val="000A4369"/>
    <w:rsid w:val="000A54EC"/>
    <w:rsid w:val="000A594F"/>
    <w:rsid w:val="000A5AFF"/>
    <w:rsid w:val="000A5B70"/>
    <w:rsid w:val="000A673F"/>
    <w:rsid w:val="000A6771"/>
    <w:rsid w:val="000A69C7"/>
    <w:rsid w:val="000A6A15"/>
    <w:rsid w:val="000A6CCC"/>
    <w:rsid w:val="000A6E9D"/>
    <w:rsid w:val="000A7FE3"/>
    <w:rsid w:val="000B01E6"/>
    <w:rsid w:val="000B0421"/>
    <w:rsid w:val="000B0995"/>
    <w:rsid w:val="000B0C57"/>
    <w:rsid w:val="000B18DE"/>
    <w:rsid w:val="000B1BDE"/>
    <w:rsid w:val="000B21D3"/>
    <w:rsid w:val="000B22ED"/>
    <w:rsid w:val="000B2316"/>
    <w:rsid w:val="000B2564"/>
    <w:rsid w:val="000B25D0"/>
    <w:rsid w:val="000B312C"/>
    <w:rsid w:val="000B3A90"/>
    <w:rsid w:val="000B3D9D"/>
    <w:rsid w:val="000B4059"/>
    <w:rsid w:val="000B4D6E"/>
    <w:rsid w:val="000B4E0A"/>
    <w:rsid w:val="000B5138"/>
    <w:rsid w:val="000B55CB"/>
    <w:rsid w:val="000B572D"/>
    <w:rsid w:val="000B5E79"/>
    <w:rsid w:val="000B6538"/>
    <w:rsid w:val="000B75D6"/>
    <w:rsid w:val="000C0CB3"/>
    <w:rsid w:val="000C126A"/>
    <w:rsid w:val="000C1E6E"/>
    <w:rsid w:val="000C29A5"/>
    <w:rsid w:val="000C2E51"/>
    <w:rsid w:val="000C31B4"/>
    <w:rsid w:val="000C3DCC"/>
    <w:rsid w:val="000C477D"/>
    <w:rsid w:val="000C5750"/>
    <w:rsid w:val="000C7009"/>
    <w:rsid w:val="000C7955"/>
    <w:rsid w:val="000D0211"/>
    <w:rsid w:val="000D0954"/>
    <w:rsid w:val="000D0B04"/>
    <w:rsid w:val="000D0BAA"/>
    <w:rsid w:val="000D2DC4"/>
    <w:rsid w:val="000D403F"/>
    <w:rsid w:val="000D4405"/>
    <w:rsid w:val="000D4FDE"/>
    <w:rsid w:val="000D550C"/>
    <w:rsid w:val="000D59DD"/>
    <w:rsid w:val="000D64DB"/>
    <w:rsid w:val="000D6D82"/>
    <w:rsid w:val="000D742E"/>
    <w:rsid w:val="000E0374"/>
    <w:rsid w:val="000E03A5"/>
    <w:rsid w:val="000E0464"/>
    <w:rsid w:val="000E0534"/>
    <w:rsid w:val="000E0A7D"/>
    <w:rsid w:val="000E0E76"/>
    <w:rsid w:val="000E1EE0"/>
    <w:rsid w:val="000E2412"/>
    <w:rsid w:val="000E298F"/>
    <w:rsid w:val="000E34CA"/>
    <w:rsid w:val="000E374B"/>
    <w:rsid w:val="000E3AD0"/>
    <w:rsid w:val="000E3DBC"/>
    <w:rsid w:val="000E4861"/>
    <w:rsid w:val="000E4B25"/>
    <w:rsid w:val="000E5FBD"/>
    <w:rsid w:val="000E606F"/>
    <w:rsid w:val="000E60F0"/>
    <w:rsid w:val="000E6162"/>
    <w:rsid w:val="000E68D6"/>
    <w:rsid w:val="000E6F83"/>
    <w:rsid w:val="000E7985"/>
    <w:rsid w:val="000E7BA2"/>
    <w:rsid w:val="000F00EB"/>
    <w:rsid w:val="000F220D"/>
    <w:rsid w:val="000F290D"/>
    <w:rsid w:val="000F2C9E"/>
    <w:rsid w:val="000F2DE2"/>
    <w:rsid w:val="000F35A8"/>
    <w:rsid w:val="000F36EB"/>
    <w:rsid w:val="000F390A"/>
    <w:rsid w:val="000F4002"/>
    <w:rsid w:val="000F4332"/>
    <w:rsid w:val="000F4416"/>
    <w:rsid w:val="000F442A"/>
    <w:rsid w:val="000F460E"/>
    <w:rsid w:val="000F5224"/>
    <w:rsid w:val="000F5308"/>
    <w:rsid w:val="000F54B0"/>
    <w:rsid w:val="000F663C"/>
    <w:rsid w:val="000F7523"/>
    <w:rsid w:val="000F79A2"/>
    <w:rsid w:val="000F79F3"/>
    <w:rsid w:val="000F7A3E"/>
    <w:rsid w:val="00100FB2"/>
    <w:rsid w:val="001011D2"/>
    <w:rsid w:val="001013FA"/>
    <w:rsid w:val="00102750"/>
    <w:rsid w:val="00102781"/>
    <w:rsid w:val="00102ACE"/>
    <w:rsid w:val="00102F30"/>
    <w:rsid w:val="001037DE"/>
    <w:rsid w:val="00104617"/>
    <w:rsid w:val="00104749"/>
    <w:rsid w:val="0010478F"/>
    <w:rsid w:val="0010497C"/>
    <w:rsid w:val="00105684"/>
    <w:rsid w:val="001062C8"/>
    <w:rsid w:val="001063C6"/>
    <w:rsid w:val="0010650D"/>
    <w:rsid w:val="00106908"/>
    <w:rsid w:val="00106A7F"/>
    <w:rsid w:val="00107394"/>
    <w:rsid w:val="001073E0"/>
    <w:rsid w:val="001073E1"/>
    <w:rsid w:val="00110437"/>
    <w:rsid w:val="00110575"/>
    <w:rsid w:val="001105D7"/>
    <w:rsid w:val="00111641"/>
    <w:rsid w:val="00111790"/>
    <w:rsid w:val="001126FF"/>
    <w:rsid w:val="00112979"/>
    <w:rsid w:val="00112B9F"/>
    <w:rsid w:val="00113802"/>
    <w:rsid w:val="001139A6"/>
    <w:rsid w:val="00113B98"/>
    <w:rsid w:val="00113DBC"/>
    <w:rsid w:val="00113FF5"/>
    <w:rsid w:val="00114AE5"/>
    <w:rsid w:val="00114B35"/>
    <w:rsid w:val="00115363"/>
    <w:rsid w:val="001153CC"/>
    <w:rsid w:val="00116018"/>
    <w:rsid w:val="00116714"/>
    <w:rsid w:val="001172E2"/>
    <w:rsid w:val="001211A7"/>
    <w:rsid w:val="00121265"/>
    <w:rsid w:val="00121759"/>
    <w:rsid w:val="00121AD2"/>
    <w:rsid w:val="00121B19"/>
    <w:rsid w:val="001227C5"/>
    <w:rsid w:val="00122A66"/>
    <w:rsid w:val="00123065"/>
    <w:rsid w:val="001231FC"/>
    <w:rsid w:val="001238D9"/>
    <w:rsid w:val="00123901"/>
    <w:rsid w:val="00123E4C"/>
    <w:rsid w:val="00124510"/>
    <w:rsid w:val="00124A5B"/>
    <w:rsid w:val="0012500E"/>
    <w:rsid w:val="001254E0"/>
    <w:rsid w:val="0012572D"/>
    <w:rsid w:val="0012596C"/>
    <w:rsid w:val="001259B8"/>
    <w:rsid w:val="00125D10"/>
    <w:rsid w:val="001265FE"/>
    <w:rsid w:val="00127243"/>
    <w:rsid w:val="00127616"/>
    <w:rsid w:val="00127E68"/>
    <w:rsid w:val="00127FEA"/>
    <w:rsid w:val="0013144A"/>
    <w:rsid w:val="00131B95"/>
    <w:rsid w:val="00131CA3"/>
    <w:rsid w:val="00132257"/>
    <w:rsid w:val="00132959"/>
    <w:rsid w:val="00133C5B"/>
    <w:rsid w:val="001342C7"/>
    <w:rsid w:val="00134D4D"/>
    <w:rsid w:val="001350AD"/>
    <w:rsid w:val="00135510"/>
    <w:rsid w:val="00136F9D"/>
    <w:rsid w:val="001373E1"/>
    <w:rsid w:val="00137666"/>
    <w:rsid w:val="00137A04"/>
    <w:rsid w:val="0014077F"/>
    <w:rsid w:val="0014082E"/>
    <w:rsid w:val="00140BD7"/>
    <w:rsid w:val="00141D1B"/>
    <w:rsid w:val="001420BB"/>
    <w:rsid w:val="0014223B"/>
    <w:rsid w:val="001422C3"/>
    <w:rsid w:val="00142F3C"/>
    <w:rsid w:val="00143170"/>
    <w:rsid w:val="00143585"/>
    <w:rsid w:val="00144015"/>
    <w:rsid w:val="00144523"/>
    <w:rsid w:val="001447D0"/>
    <w:rsid w:val="00145340"/>
    <w:rsid w:val="0014562C"/>
    <w:rsid w:val="0014584B"/>
    <w:rsid w:val="00146244"/>
    <w:rsid w:val="001462F7"/>
    <w:rsid w:val="001464D1"/>
    <w:rsid w:val="00146949"/>
    <w:rsid w:val="0014713C"/>
    <w:rsid w:val="0014772A"/>
    <w:rsid w:val="00147AEA"/>
    <w:rsid w:val="00147FDA"/>
    <w:rsid w:val="00150027"/>
    <w:rsid w:val="001506B4"/>
    <w:rsid w:val="00150C1A"/>
    <w:rsid w:val="00151619"/>
    <w:rsid w:val="001524D0"/>
    <w:rsid w:val="0015281F"/>
    <w:rsid w:val="00152D06"/>
    <w:rsid w:val="0015353B"/>
    <w:rsid w:val="001540E7"/>
    <w:rsid w:val="001543A9"/>
    <w:rsid w:val="001543E6"/>
    <w:rsid w:val="00154444"/>
    <w:rsid w:val="001554C4"/>
    <w:rsid w:val="0015561F"/>
    <w:rsid w:val="001560D3"/>
    <w:rsid w:val="00156172"/>
    <w:rsid w:val="001562AB"/>
    <w:rsid w:val="001562E3"/>
    <w:rsid w:val="00156C24"/>
    <w:rsid w:val="00157143"/>
    <w:rsid w:val="001571F8"/>
    <w:rsid w:val="001604D7"/>
    <w:rsid w:val="00160707"/>
    <w:rsid w:val="00160A15"/>
    <w:rsid w:val="001613CB"/>
    <w:rsid w:val="00161979"/>
    <w:rsid w:val="00161A4D"/>
    <w:rsid w:val="001625AE"/>
    <w:rsid w:val="00163171"/>
    <w:rsid w:val="0016456D"/>
    <w:rsid w:val="00164853"/>
    <w:rsid w:val="001649C9"/>
    <w:rsid w:val="00164C57"/>
    <w:rsid w:val="001652D3"/>
    <w:rsid w:val="001654B4"/>
    <w:rsid w:val="00165829"/>
    <w:rsid w:val="0016634F"/>
    <w:rsid w:val="001665E2"/>
    <w:rsid w:val="0016779C"/>
    <w:rsid w:val="00170BBE"/>
    <w:rsid w:val="00170E18"/>
    <w:rsid w:val="00170F27"/>
    <w:rsid w:val="001710A5"/>
    <w:rsid w:val="00171120"/>
    <w:rsid w:val="00172411"/>
    <w:rsid w:val="00172576"/>
    <w:rsid w:val="00172641"/>
    <w:rsid w:val="00172922"/>
    <w:rsid w:val="00173497"/>
    <w:rsid w:val="00173982"/>
    <w:rsid w:val="00173B07"/>
    <w:rsid w:val="001747B7"/>
    <w:rsid w:val="00174C3F"/>
    <w:rsid w:val="001751D8"/>
    <w:rsid w:val="00175890"/>
    <w:rsid w:val="00175BE7"/>
    <w:rsid w:val="00175C5A"/>
    <w:rsid w:val="00175D2F"/>
    <w:rsid w:val="00175F1F"/>
    <w:rsid w:val="00176312"/>
    <w:rsid w:val="00176574"/>
    <w:rsid w:val="0017673A"/>
    <w:rsid w:val="00177412"/>
    <w:rsid w:val="0018052A"/>
    <w:rsid w:val="00180C15"/>
    <w:rsid w:val="0018145F"/>
    <w:rsid w:val="00181E86"/>
    <w:rsid w:val="00182489"/>
    <w:rsid w:val="00182F8F"/>
    <w:rsid w:val="00183061"/>
    <w:rsid w:val="001843A9"/>
    <w:rsid w:val="00184582"/>
    <w:rsid w:val="00184598"/>
    <w:rsid w:val="0018459A"/>
    <w:rsid w:val="00185B5F"/>
    <w:rsid w:val="0018606B"/>
    <w:rsid w:val="0018610B"/>
    <w:rsid w:val="00186956"/>
    <w:rsid w:val="00187369"/>
    <w:rsid w:val="00191C60"/>
    <w:rsid w:val="00191D48"/>
    <w:rsid w:val="001920B2"/>
    <w:rsid w:val="00192E76"/>
    <w:rsid w:val="001933F7"/>
    <w:rsid w:val="00194629"/>
    <w:rsid w:val="00194637"/>
    <w:rsid w:val="00194690"/>
    <w:rsid w:val="00194974"/>
    <w:rsid w:val="00194D40"/>
    <w:rsid w:val="001955D8"/>
    <w:rsid w:val="001959D5"/>
    <w:rsid w:val="00195C5B"/>
    <w:rsid w:val="00196B3A"/>
    <w:rsid w:val="00196FDB"/>
    <w:rsid w:val="001976C9"/>
    <w:rsid w:val="00197E20"/>
    <w:rsid w:val="001A026E"/>
    <w:rsid w:val="001A0638"/>
    <w:rsid w:val="001A08F8"/>
    <w:rsid w:val="001A0AF4"/>
    <w:rsid w:val="001A1420"/>
    <w:rsid w:val="001A1508"/>
    <w:rsid w:val="001A1D0F"/>
    <w:rsid w:val="001A207F"/>
    <w:rsid w:val="001A29BD"/>
    <w:rsid w:val="001A2A77"/>
    <w:rsid w:val="001A3391"/>
    <w:rsid w:val="001A35EF"/>
    <w:rsid w:val="001A3DE0"/>
    <w:rsid w:val="001A41B1"/>
    <w:rsid w:val="001A459F"/>
    <w:rsid w:val="001A5A63"/>
    <w:rsid w:val="001A61F4"/>
    <w:rsid w:val="001A78E8"/>
    <w:rsid w:val="001A7985"/>
    <w:rsid w:val="001A7EDE"/>
    <w:rsid w:val="001B013B"/>
    <w:rsid w:val="001B11D1"/>
    <w:rsid w:val="001B128D"/>
    <w:rsid w:val="001B1471"/>
    <w:rsid w:val="001B1640"/>
    <w:rsid w:val="001B16F1"/>
    <w:rsid w:val="001B1F14"/>
    <w:rsid w:val="001B2161"/>
    <w:rsid w:val="001B26DB"/>
    <w:rsid w:val="001B2895"/>
    <w:rsid w:val="001B29BC"/>
    <w:rsid w:val="001B3D1B"/>
    <w:rsid w:val="001B42F5"/>
    <w:rsid w:val="001B45C3"/>
    <w:rsid w:val="001B46DC"/>
    <w:rsid w:val="001B4990"/>
    <w:rsid w:val="001B4B40"/>
    <w:rsid w:val="001B4CAA"/>
    <w:rsid w:val="001B4DDD"/>
    <w:rsid w:val="001B4EB6"/>
    <w:rsid w:val="001B52FF"/>
    <w:rsid w:val="001B5608"/>
    <w:rsid w:val="001B5A37"/>
    <w:rsid w:val="001B5A65"/>
    <w:rsid w:val="001B5C50"/>
    <w:rsid w:val="001B64C9"/>
    <w:rsid w:val="001B6916"/>
    <w:rsid w:val="001B71EA"/>
    <w:rsid w:val="001B72EF"/>
    <w:rsid w:val="001B7A10"/>
    <w:rsid w:val="001B7ACB"/>
    <w:rsid w:val="001B7B63"/>
    <w:rsid w:val="001B7C7F"/>
    <w:rsid w:val="001C1A62"/>
    <w:rsid w:val="001C1EC7"/>
    <w:rsid w:val="001C23D9"/>
    <w:rsid w:val="001C28BC"/>
    <w:rsid w:val="001C30BE"/>
    <w:rsid w:val="001C3DD6"/>
    <w:rsid w:val="001C4E74"/>
    <w:rsid w:val="001C5200"/>
    <w:rsid w:val="001C55C3"/>
    <w:rsid w:val="001C5895"/>
    <w:rsid w:val="001C63AC"/>
    <w:rsid w:val="001C6AAA"/>
    <w:rsid w:val="001C6C24"/>
    <w:rsid w:val="001C6DAE"/>
    <w:rsid w:val="001C6E33"/>
    <w:rsid w:val="001C6EAC"/>
    <w:rsid w:val="001C6ECD"/>
    <w:rsid w:val="001C7416"/>
    <w:rsid w:val="001C7CB0"/>
    <w:rsid w:val="001D0449"/>
    <w:rsid w:val="001D0B3C"/>
    <w:rsid w:val="001D0DCC"/>
    <w:rsid w:val="001D1707"/>
    <w:rsid w:val="001D1C9F"/>
    <w:rsid w:val="001D28A3"/>
    <w:rsid w:val="001D3173"/>
    <w:rsid w:val="001D387B"/>
    <w:rsid w:val="001D3FEC"/>
    <w:rsid w:val="001D554B"/>
    <w:rsid w:val="001D56EF"/>
    <w:rsid w:val="001D5A40"/>
    <w:rsid w:val="001D5ADD"/>
    <w:rsid w:val="001D5DAE"/>
    <w:rsid w:val="001D63F1"/>
    <w:rsid w:val="001D6C26"/>
    <w:rsid w:val="001E175F"/>
    <w:rsid w:val="001E1DED"/>
    <w:rsid w:val="001E200C"/>
    <w:rsid w:val="001E2412"/>
    <w:rsid w:val="001E27A4"/>
    <w:rsid w:val="001E446B"/>
    <w:rsid w:val="001E4913"/>
    <w:rsid w:val="001E49AF"/>
    <w:rsid w:val="001E4FFC"/>
    <w:rsid w:val="001E5DAE"/>
    <w:rsid w:val="001E5F38"/>
    <w:rsid w:val="001E6F06"/>
    <w:rsid w:val="001E726A"/>
    <w:rsid w:val="001E7BB8"/>
    <w:rsid w:val="001F0164"/>
    <w:rsid w:val="001F03BB"/>
    <w:rsid w:val="001F0590"/>
    <w:rsid w:val="001F07D4"/>
    <w:rsid w:val="001F0830"/>
    <w:rsid w:val="001F0C83"/>
    <w:rsid w:val="001F118B"/>
    <w:rsid w:val="001F11A0"/>
    <w:rsid w:val="001F1C80"/>
    <w:rsid w:val="001F1F95"/>
    <w:rsid w:val="001F2700"/>
    <w:rsid w:val="001F29E7"/>
    <w:rsid w:val="001F3B5A"/>
    <w:rsid w:val="001F3BD1"/>
    <w:rsid w:val="001F4110"/>
    <w:rsid w:val="001F41E4"/>
    <w:rsid w:val="001F52AE"/>
    <w:rsid w:val="001F542B"/>
    <w:rsid w:val="001F5553"/>
    <w:rsid w:val="001F593B"/>
    <w:rsid w:val="001F59C8"/>
    <w:rsid w:val="001F60ED"/>
    <w:rsid w:val="001F62DA"/>
    <w:rsid w:val="001F674F"/>
    <w:rsid w:val="001F6BD5"/>
    <w:rsid w:val="001F7037"/>
    <w:rsid w:val="001F7CEF"/>
    <w:rsid w:val="0020066F"/>
    <w:rsid w:val="0020157D"/>
    <w:rsid w:val="002016D0"/>
    <w:rsid w:val="002026F2"/>
    <w:rsid w:val="00202720"/>
    <w:rsid w:val="002036E7"/>
    <w:rsid w:val="0020423B"/>
    <w:rsid w:val="00204818"/>
    <w:rsid w:val="0020515B"/>
    <w:rsid w:val="00205557"/>
    <w:rsid w:val="00205AB1"/>
    <w:rsid w:val="00205CC8"/>
    <w:rsid w:val="00205EA0"/>
    <w:rsid w:val="00206E7A"/>
    <w:rsid w:val="00207664"/>
    <w:rsid w:val="00207A99"/>
    <w:rsid w:val="00207F47"/>
    <w:rsid w:val="00210136"/>
    <w:rsid w:val="002108C3"/>
    <w:rsid w:val="00210FAD"/>
    <w:rsid w:val="002113CD"/>
    <w:rsid w:val="002115B7"/>
    <w:rsid w:val="00211B45"/>
    <w:rsid w:val="00211E59"/>
    <w:rsid w:val="00211F19"/>
    <w:rsid w:val="00212018"/>
    <w:rsid w:val="0021354A"/>
    <w:rsid w:val="002135F1"/>
    <w:rsid w:val="00214208"/>
    <w:rsid w:val="002142E1"/>
    <w:rsid w:val="00214347"/>
    <w:rsid w:val="00214507"/>
    <w:rsid w:val="002145B1"/>
    <w:rsid w:val="00214867"/>
    <w:rsid w:val="00214FF5"/>
    <w:rsid w:val="00215263"/>
    <w:rsid w:val="00215BAD"/>
    <w:rsid w:val="00215CCF"/>
    <w:rsid w:val="002163D7"/>
    <w:rsid w:val="00216D7A"/>
    <w:rsid w:val="002179CA"/>
    <w:rsid w:val="00217A52"/>
    <w:rsid w:val="00217B1E"/>
    <w:rsid w:val="00217C3E"/>
    <w:rsid w:val="0022028A"/>
    <w:rsid w:val="002203F2"/>
    <w:rsid w:val="00220B61"/>
    <w:rsid w:val="002218AB"/>
    <w:rsid w:val="002219B5"/>
    <w:rsid w:val="00221DB7"/>
    <w:rsid w:val="00222168"/>
    <w:rsid w:val="00222A83"/>
    <w:rsid w:val="00222EFC"/>
    <w:rsid w:val="00223229"/>
    <w:rsid w:val="0022348F"/>
    <w:rsid w:val="002238A6"/>
    <w:rsid w:val="00223C9F"/>
    <w:rsid w:val="00223D4D"/>
    <w:rsid w:val="0022413F"/>
    <w:rsid w:val="002241FC"/>
    <w:rsid w:val="00224F84"/>
    <w:rsid w:val="00225918"/>
    <w:rsid w:val="002265E8"/>
    <w:rsid w:val="002267D2"/>
    <w:rsid w:val="00226D91"/>
    <w:rsid w:val="002271A9"/>
    <w:rsid w:val="00227CAB"/>
    <w:rsid w:val="0023013D"/>
    <w:rsid w:val="002306FC"/>
    <w:rsid w:val="00230A7F"/>
    <w:rsid w:val="0023101E"/>
    <w:rsid w:val="00232284"/>
    <w:rsid w:val="00232363"/>
    <w:rsid w:val="002323C2"/>
    <w:rsid w:val="00232840"/>
    <w:rsid w:val="00232893"/>
    <w:rsid w:val="00232F9C"/>
    <w:rsid w:val="0023564F"/>
    <w:rsid w:val="0023683D"/>
    <w:rsid w:val="002373DE"/>
    <w:rsid w:val="00237649"/>
    <w:rsid w:val="00237773"/>
    <w:rsid w:val="00237C9E"/>
    <w:rsid w:val="00237CFC"/>
    <w:rsid w:val="0024074E"/>
    <w:rsid w:val="00240956"/>
    <w:rsid w:val="0024123E"/>
    <w:rsid w:val="002423CC"/>
    <w:rsid w:val="002426DB"/>
    <w:rsid w:val="00242B0F"/>
    <w:rsid w:val="00242E83"/>
    <w:rsid w:val="00243D23"/>
    <w:rsid w:val="00244361"/>
    <w:rsid w:val="0024484D"/>
    <w:rsid w:val="00244C9D"/>
    <w:rsid w:val="00244D43"/>
    <w:rsid w:val="00244E8F"/>
    <w:rsid w:val="002456C8"/>
    <w:rsid w:val="00245B6C"/>
    <w:rsid w:val="00245DF0"/>
    <w:rsid w:val="002461C1"/>
    <w:rsid w:val="00246410"/>
    <w:rsid w:val="00246971"/>
    <w:rsid w:val="00246C7C"/>
    <w:rsid w:val="002471DC"/>
    <w:rsid w:val="00247445"/>
    <w:rsid w:val="0025104D"/>
    <w:rsid w:val="00251D5F"/>
    <w:rsid w:val="0025227A"/>
    <w:rsid w:val="00252315"/>
    <w:rsid w:val="00252597"/>
    <w:rsid w:val="0025321D"/>
    <w:rsid w:val="002533D7"/>
    <w:rsid w:val="00253B68"/>
    <w:rsid w:val="00254082"/>
    <w:rsid w:val="00254138"/>
    <w:rsid w:val="00254470"/>
    <w:rsid w:val="002554DF"/>
    <w:rsid w:val="0025596C"/>
    <w:rsid w:val="00255E03"/>
    <w:rsid w:val="002576DF"/>
    <w:rsid w:val="002619C2"/>
    <w:rsid w:val="00261BEF"/>
    <w:rsid w:val="00261F6A"/>
    <w:rsid w:val="00263523"/>
    <w:rsid w:val="00263846"/>
    <w:rsid w:val="00263DDB"/>
    <w:rsid w:val="00264242"/>
    <w:rsid w:val="0026486B"/>
    <w:rsid w:val="00264F56"/>
    <w:rsid w:val="00265089"/>
    <w:rsid w:val="00265251"/>
    <w:rsid w:val="00265373"/>
    <w:rsid w:val="0026556D"/>
    <w:rsid w:val="00265973"/>
    <w:rsid w:val="00265C11"/>
    <w:rsid w:val="00265CB6"/>
    <w:rsid w:val="00265D5A"/>
    <w:rsid w:val="002660DE"/>
    <w:rsid w:val="0026628B"/>
    <w:rsid w:val="00266919"/>
    <w:rsid w:val="00266AC9"/>
    <w:rsid w:val="00266AE4"/>
    <w:rsid w:val="00266E7C"/>
    <w:rsid w:val="00267264"/>
    <w:rsid w:val="002674AA"/>
    <w:rsid w:val="002675CB"/>
    <w:rsid w:val="00267C9E"/>
    <w:rsid w:val="00267E2B"/>
    <w:rsid w:val="00271FAF"/>
    <w:rsid w:val="00272217"/>
    <w:rsid w:val="00272B19"/>
    <w:rsid w:val="0027362C"/>
    <w:rsid w:val="00273A43"/>
    <w:rsid w:val="00273E64"/>
    <w:rsid w:val="00274F64"/>
    <w:rsid w:val="00275503"/>
    <w:rsid w:val="00275A0F"/>
    <w:rsid w:val="00275A7B"/>
    <w:rsid w:val="002765D7"/>
    <w:rsid w:val="002768A6"/>
    <w:rsid w:val="00276DC5"/>
    <w:rsid w:val="00277044"/>
    <w:rsid w:val="002770A9"/>
    <w:rsid w:val="002772F9"/>
    <w:rsid w:val="00277B98"/>
    <w:rsid w:val="0028002D"/>
    <w:rsid w:val="00281E2E"/>
    <w:rsid w:val="00282170"/>
    <w:rsid w:val="002822FA"/>
    <w:rsid w:val="0028261E"/>
    <w:rsid w:val="00282B47"/>
    <w:rsid w:val="002835F9"/>
    <w:rsid w:val="00283B8A"/>
    <w:rsid w:val="00284274"/>
    <w:rsid w:val="002848DC"/>
    <w:rsid w:val="0028498E"/>
    <w:rsid w:val="00284C9E"/>
    <w:rsid w:val="002850B4"/>
    <w:rsid w:val="002850C8"/>
    <w:rsid w:val="0028599B"/>
    <w:rsid w:val="00285ECE"/>
    <w:rsid w:val="00286075"/>
    <w:rsid w:val="00286819"/>
    <w:rsid w:val="00286D00"/>
    <w:rsid w:val="00287C29"/>
    <w:rsid w:val="002905CE"/>
    <w:rsid w:val="00290720"/>
    <w:rsid w:val="0029121C"/>
    <w:rsid w:val="00291643"/>
    <w:rsid w:val="002921AD"/>
    <w:rsid w:val="002928F8"/>
    <w:rsid w:val="00292F09"/>
    <w:rsid w:val="002943CF"/>
    <w:rsid w:val="00294A52"/>
    <w:rsid w:val="00295974"/>
    <w:rsid w:val="002960BB"/>
    <w:rsid w:val="00296120"/>
    <w:rsid w:val="00296351"/>
    <w:rsid w:val="002970AC"/>
    <w:rsid w:val="002974D1"/>
    <w:rsid w:val="0029760F"/>
    <w:rsid w:val="00297A61"/>
    <w:rsid w:val="002A002F"/>
    <w:rsid w:val="002A049E"/>
    <w:rsid w:val="002A0730"/>
    <w:rsid w:val="002A1181"/>
    <w:rsid w:val="002A202E"/>
    <w:rsid w:val="002A2E30"/>
    <w:rsid w:val="002A2FEA"/>
    <w:rsid w:val="002A3BC3"/>
    <w:rsid w:val="002A3D18"/>
    <w:rsid w:val="002A3F4F"/>
    <w:rsid w:val="002A4FFC"/>
    <w:rsid w:val="002A5821"/>
    <w:rsid w:val="002A5939"/>
    <w:rsid w:val="002A5D84"/>
    <w:rsid w:val="002A6E71"/>
    <w:rsid w:val="002A7800"/>
    <w:rsid w:val="002A7892"/>
    <w:rsid w:val="002B1095"/>
    <w:rsid w:val="002B1105"/>
    <w:rsid w:val="002B17C5"/>
    <w:rsid w:val="002B1910"/>
    <w:rsid w:val="002B2B1C"/>
    <w:rsid w:val="002B2CD0"/>
    <w:rsid w:val="002B32AB"/>
    <w:rsid w:val="002B32B0"/>
    <w:rsid w:val="002B4C67"/>
    <w:rsid w:val="002B4CF7"/>
    <w:rsid w:val="002B4EF8"/>
    <w:rsid w:val="002B516E"/>
    <w:rsid w:val="002B525E"/>
    <w:rsid w:val="002B5517"/>
    <w:rsid w:val="002B585B"/>
    <w:rsid w:val="002B5D10"/>
    <w:rsid w:val="002B6369"/>
    <w:rsid w:val="002B6A93"/>
    <w:rsid w:val="002B6CBD"/>
    <w:rsid w:val="002B6E93"/>
    <w:rsid w:val="002B6F2E"/>
    <w:rsid w:val="002C0181"/>
    <w:rsid w:val="002C04E4"/>
    <w:rsid w:val="002C05A4"/>
    <w:rsid w:val="002C09C4"/>
    <w:rsid w:val="002C106F"/>
    <w:rsid w:val="002C135A"/>
    <w:rsid w:val="002C1405"/>
    <w:rsid w:val="002C14BF"/>
    <w:rsid w:val="002C1CBA"/>
    <w:rsid w:val="002C2502"/>
    <w:rsid w:val="002C2C01"/>
    <w:rsid w:val="002C3308"/>
    <w:rsid w:val="002C3844"/>
    <w:rsid w:val="002C3A86"/>
    <w:rsid w:val="002C3D17"/>
    <w:rsid w:val="002C3E47"/>
    <w:rsid w:val="002C4759"/>
    <w:rsid w:val="002C4E05"/>
    <w:rsid w:val="002C5209"/>
    <w:rsid w:val="002C54CB"/>
    <w:rsid w:val="002C5888"/>
    <w:rsid w:val="002C6237"/>
    <w:rsid w:val="002C70EC"/>
    <w:rsid w:val="002C7AF2"/>
    <w:rsid w:val="002C7E2A"/>
    <w:rsid w:val="002D1400"/>
    <w:rsid w:val="002D1B67"/>
    <w:rsid w:val="002D29D0"/>
    <w:rsid w:val="002D300D"/>
    <w:rsid w:val="002D4809"/>
    <w:rsid w:val="002D4F62"/>
    <w:rsid w:val="002D6023"/>
    <w:rsid w:val="002D6721"/>
    <w:rsid w:val="002D6877"/>
    <w:rsid w:val="002D69BD"/>
    <w:rsid w:val="002D6C87"/>
    <w:rsid w:val="002D7129"/>
    <w:rsid w:val="002E02B1"/>
    <w:rsid w:val="002E0E25"/>
    <w:rsid w:val="002E111C"/>
    <w:rsid w:val="002E11B9"/>
    <w:rsid w:val="002E154F"/>
    <w:rsid w:val="002E230A"/>
    <w:rsid w:val="002E2320"/>
    <w:rsid w:val="002E2441"/>
    <w:rsid w:val="002E2E4B"/>
    <w:rsid w:val="002E2F76"/>
    <w:rsid w:val="002E35A3"/>
    <w:rsid w:val="002E3C35"/>
    <w:rsid w:val="002E3DFC"/>
    <w:rsid w:val="002E4AE1"/>
    <w:rsid w:val="002E5773"/>
    <w:rsid w:val="002E58A6"/>
    <w:rsid w:val="002E59E6"/>
    <w:rsid w:val="002E5B50"/>
    <w:rsid w:val="002E63AB"/>
    <w:rsid w:val="002E6D1B"/>
    <w:rsid w:val="002E72A2"/>
    <w:rsid w:val="002E7407"/>
    <w:rsid w:val="002E7EF2"/>
    <w:rsid w:val="002E7F0A"/>
    <w:rsid w:val="002F06E0"/>
    <w:rsid w:val="002F0B58"/>
    <w:rsid w:val="002F12F9"/>
    <w:rsid w:val="002F176E"/>
    <w:rsid w:val="002F1953"/>
    <w:rsid w:val="002F2332"/>
    <w:rsid w:val="002F2AA6"/>
    <w:rsid w:val="002F3087"/>
    <w:rsid w:val="002F3DA6"/>
    <w:rsid w:val="002F411E"/>
    <w:rsid w:val="002F42E8"/>
    <w:rsid w:val="002F4ECA"/>
    <w:rsid w:val="002F5303"/>
    <w:rsid w:val="002F6D87"/>
    <w:rsid w:val="002F7353"/>
    <w:rsid w:val="002F777C"/>
    <w:rsid w:val="002F7ABA"/>
    <w:rsid w:val="0030001B"/>
    <w:rsid w:val="00301015"/>
    <w:rsid w:val="0030190A"/>
    <w:rsid w:val="00301A85"/>
    <w:rsid w:val="00301A93"/>
    <w:rsid w:val="00301C1D"/>
    <w:rsid w:val="003020A9"/>
    <w:rsid w:val="00302941"/>
    <w:rsid w:val="00303058"/>
    <w:rsid w:val="0030347D"/>
    <w:rsid w:val="003037F9"/>
    <w:rsid w:val="00303982"/>
    <w:rsid w:val="00304129"/>
    <w:rsid w:val="00304210"/>
    <w:rsid w:val="00304351"/>
    <w:rsid w:val="003052E5"/>
    <w:rsid w:val="003057D9"/>
    <w:rsid w:val="00305B03"/>
    <w:rsid w:val="00305B4E"/>
    <w:rsid w:val="0030657F"/>
    <w:rsid w:val="00306C2B"/>
    <w:rsid w:val="00307129"/>
    <w:rsid w:val="0030720A"/>
    <w:rsid w:val="003076AF"/>
    <w:rsid w:val="0031101B"/>
    <w:rsid w:val="00311A0C"/>
    <w:rsid w:val="00311A84"/>
    <w:rsid w:val="00311CB7"/>
    <w:rsid w:val="00311ECE"/>
    <w:rsid w:val="00312100"/>
    <w:rsid w:val="003125BE"/>
    <w:rsid w:val="003128FF"/>
    <w:rsid w:val="00312E0A"/>
    <w:rsid w:val="00313B53"/>
    <w:rsid w:val="003140EB"/>
    <w:rsid w:val="0031440E"/>
    <w:rsid w:val="0031594E"/>
    <w:rsid w:val="0031608F"/>
    <w:rsid w:val="003168AE"/>
    <w:rsid w:val="00317F6A"/>
    <w:rsid w:val="00320609"/>
    <w:rsid w:val="00320E84"/>
    <w:rsid w:val="003215D6"/>
    <w:rsid w:val="00322A93"/>
    <w:rsid w:val="00322E52"/>
    <w:rsid w:val="003236BA"/>
    <w:rsid w:val="00323D1B"/>
    <w:rsid w:val="0032405D"/>
    <w:rsid w:val="0032465C"/>
    <w:rsid w:val="00324F2A"/>
    <w:rsid w:val="00325053"/>
    <w:rsid w:val="003255E5"/>
    <w:rsid w:val="003258CE"/>
    <w:rsid w:val="003261CA"/>
    <w:rsid w:val="003264EB"/>
    <w:rsid w:val="00326E3A"/>
    <w:rsid w:val="00326F47"/>
    <w:rsid w:val="003277EB"/>
    <w:rsid w:val="0032785C"/>
    <w:rsid w:val="00327D8E"/>
    <w:rsid w:val="00330511"/>
    <w:rsid w:val="003305CF"/>
    <w:rsid w:val="00330F67"/>
    <w:rsid w:val="0033152E"/>
    <w:rsid w:val="00331653"/>
    <w:rsid w:val="00331F0E"/>
    <w:rsid w:val="00332A6E"/>
    <w:rsid w:val="00332EBB"/>
    <w:rsid w:val="003335B6"/>
    <w:rsid w:val="0033383E"/>
    <w:rsid w:val="00333BC7"/>
    <w:rsid w:val="0033466C"/>
    <w:rsid w:val="00334830"/>
    <w:rsid w:val="00334C4D"/>
    <w:rsid w:val="00334E90"/>
    <w:rsid w:val="0033630D"/>
    <w:rsid w:val="0033658E"/>
    <w:rsid w:val="0033780B"/>
    <w:rsid w:val="00337EC9"/>
    <w:rsid w:val="0034025E"/>
    <w:rsid w:val="00340988"/>
    <w:rsid w:val="00340CCF"/>
    <w:rsid w:val="00342A4E"/>
    <w:rsid w:val="003438D0"/>
    <w:rsid w:val="00343B64"/>
    <w:rsid w:val="00343EFF"/>
    <w:rsid w:val="00344136"/>
    <w:rsid w:val="003444D5"/>
    <w:rsid w:val="00344B81"/>
    <w:rsid w:val="003454E4"/>
    <w:rsid w:val="00345A07"/>
    <w:rsid w:val="00346A82"/>
    <w:rsid w:val="00346F36"/>
    <w:rsid w:val="0034723D"/>
    <w:rsid w:val="003474A3"/>
    <w:rsid w:val="003502C7"/>
    <w:rsid w:val="0035088B"/>
    <w:rsid w:val="003508FA"/>
    <w:rsid w:val="00351C38"/>
    <w:rsid w:val="00351D18"/>
    <w:rsid w:val="0035268C"/>
    <w:rsid w:val="0035321F"/>
    <w:rsid w:val="00353481"/>
    <w:rsid w:val="00353668"/>
    <w:rsid w:val="00354342"/>
    <w:rsid w:val="003546E2"/>
    <w:rsid w:val="00354837"/>
    <w:rsid w:val="003549C9"/>
    <w:rsid w:val="003552DC"/>
    <w:rsid w:val="003572E0"/>
    <w:rsid w:val="003573E6"/>
    <w:rsid w:val="00357BFE"/>
    <w:rsid w:val="00357E09"/>
    <w:rsid w:val="00357FD6"/>
    <w:rsid w:val="003606D8"/>
    <w:rsid w:val="00360C32"/>
    <w:rsid w:val="00361088"/>
    <w:rsid w:val="00361486"/>
    <w:rsid w:val="00361926"/>
    <w:rsid w:val="00361C90"/>
    <w:rsid w:val="00361D4B"/>
    <w:rsid w:val="00361D67"/>
    <w:rsid w:val="00361EDC"/>
    <w:rsid w:val="00361F8B"/>
    <w:rsid w:val="0036200C"/>
    <w:rsid w:val="0036210D"/>
    <w:rsid w:val="003622CD"/>
    <w:rsid w:val="00364299"/>
    <w:rsid w:val="00364393"/>
    <w:rsid w:val="003648B2"/>
    <w:rsid w:val="00364CD1"/>
    <w:rsid w:val="003654D2"/>
    <w:rsid w:val="003658A9"/>
    <w:rsid w:val="00365A74"/>
    <w:rsid w:val="00365D6D"/>
    <w:rsid w:val="00366232"/>
    <w:rsid w:val="0036665D"/>
    <w:rsid w:val="003668E9"/>
    <w:rsid w:val="003671F5"/>
    <w:rsid w:val="00367441"/>
    <w:rsid w:val="00367744"/>
    <w:rsid w:val="00367C2B"/>
    <w:rsid w:val="00367E04"/>
    <w:rsid w:val="00367E96"/>
    <w:rsid w:val="00370C42"/>
    <w:rsid w:val="00371081"/>
    <w:rsid w:val="00371B64"/>
    <w:rsid w:val="00371DAD"/>
    <w:rsid w:val="0037256F"/>
    <w:rsid w:val="00372B79"/>
    <w:rsid w:val="00372EC3"/>
    <w:rsid w:val="0037349E"/>
    <w:rsid w:val="003737FE"/>
    <w:rsid w:val="003738FF"/>
    <w:rsid w:val="00373D89"/>
    <w:rsid w:val="003747F7"/>
    <w:rsid w:val="00374832"/>
    <w:rsid w:val="003748DB"/>
    <w:rsid w:val="003750B6"/>
    <w:rsid w:val="003756B1"/>
    <w:rsid w:val="00375785"/>
    <w:rsid w:val="0037584D"/>
    <w:rsid w:val="00375A2B"/>
    <w:rsid w:val="00376DAC"/>
    <w:rsid w:val="00377BF1"/>
    <w:rsid w:val="00377DFF"/>
    <w:rsid w:val="003815FF"/>
    <w:rsid w:val="0038192D"/>
    <w:rsid w:val="003819F3"/>
    <w:rsid w:val="00382FF6"/>
    <w:rsid w:val="00383E81"/>
    <w:rsid w:val="00384513"/>
    <w:rsid w:val="003847EB"/>
    <w:rsid w:val="00384A1C"/>
    <w:rsid w:val="00384FF3"/>
    <w:rsid w:val="00385341"/>
    <w:rsid w:val="003854B2"/>
    <w:rsid w:val="003859AD"/>
    <w:rsid w:val="00385C6F"/>
    <w:rsid w:val="00385D4E"/>
    <w:rsid w:val="0038644A"/>
    <w:rsid w:val="003864C3"/>
    <w:rsid w:val="00386502"/>
    <w:rsid w:val="003865B2"/>
    <w:rsid w:val="0038663B"/>
    <w:rsid w:val="00386927"/>
    <w:rsid w:val="00386C8E"/>
    <w:rsid w:val="00386E20"/>
    <w:rsid w:val="00387396"/>
    <w:rsid w:val="00387750"/>
    <w:rsid w:val="003903D0"/>
    <w:rsid w:val="00390703"/>
    <w:rsid w:val="00390F23"/>
    <w:rsid w:val="00391269"/>
    <w:rsid w:val="00391A51"/>
    <w:rsid w:val="00391EA4"/>
    <w:rsid w:val="00392379"/>
    <w:rsid w:val="00393068"/>
    <w:rsid w:val="003935E5"/>
    <w:rsid w:val="00393C45"/>
    <w:rsid w:val="00393D39"/>
    <w:rsid w:val="003947D1"/>
    <w:rsid w:val="00394F52"/>
    <w:rsid w:val="00394FAB"/>
    <w:rsid w:val="003958F1"/>
    <w:rsid w:val="003961FA"/>
    <w:rsid w:val="00396AB2"/>
    <w:rsid w:val="003A05F1"/>
    <w:rsid w:val="003A0720"/>
    <w:rsid w:val="003A0D29"/>
    <w:rsid w:val="003A1C4C"/>
    <w:rsid w:val="003A2553"/>
    <w:rsid w:val="003A3425"/>
    <w:rsid w:val="003A3903"/>
    <w:rsid w:val="003A4AD0"/>
    <w:rsid w:val="003A4BB5"/>
    <w:rsid w:val="003A52E5"/>
    <w:rsid w:val="003A56FE"/>
    <w:rsid w:val="003A6B2B"/>
    <w:rsid w:val="003A7405"/>
    <w:rsid w:val="003A78AC"/>
    <w:rsid w:val="003A7BE3"/>
    <w:rsid w:val="003B01C6"/>
    <w:rsid w:val="003B04F0"/>
    <w:rsid w:val="003B0510"/>
    <w:rsid w:val="003B0839"/>
    <w:rsid w:val="003B0A8D"/>
    <w:rsid w:val="003B1002"/>
    <w:rsid w:val="003B103E"/>
    <w:rsid w:val="003B16FA"/>
    <w:rsid w:val="003B1C1E"/>
    <w:rsid w:val="003B2163"/>
    <w:rsid w:val="003B3F0F"/>
    <w:rsid w:val="003B3F11"/>
    <w:rsid w:val="003B5183"/>
    <w:rsid w:val="003B5281"/>
    <w:rsid w:val="003B6066"/>
    <w:rsid w:val="003B61AD"/>
    <w:rsid w:val="003B62A7"/>
    <w:rsid w:val="003B62ED"/>
    <w:rsid w:val="003B762E"/>
    <w:rsid w:val="003B7A6D"/>
    <w:rsid w:val="003C0466"/>
    <w:rsid w:val="003C0761"/>
    <w:rsid w:val="003C0EC6"/>
    <w:rsid w:val="003C0FCC"/>
    <w:rsid w:val="003C107A"/>
    <w:rsid w:val="003C18D7"/>
    <w:rsid w:val="003C190D"/>
    <w:rsid w:val="003C2369"/>
    <w:rsid w:val="003C2ED0"/>
    <w:rsid w:val="003C37C3"/>
    <w:rsid w:val="003C3872"/>
    <w:rsid w:val="003C4802"/>
    <w:rsid w:val="003C484D"/>
    <w:rsid w:val="003C549D"/>
    <w:rsid w:val="003C54C1"/>
    <w:rsid w:val="003C5914"/>
    <w:rsid w:val="003C5D49"/>
    <w:rsid w:val="003C60C0"/>
    <w:rsid w:val="003C66B1"/>
    <w:rsid w:val="003C6E94"/>
    <w:rsid w:val="003C7340"/>
    <w:rsid w:val="003C7490"/>
    <w:rsid w:val="003C7A34"/>
    <w:rsid w:val="003D04D4"/>
    <w:rsid w:val="003D0717"/>
    <w:rsid w:val="003D0A74"/>
    <w:rsid w:val="003D13AD"/>
    <w:rsid w:val="003D1987"/>
    <w:rsid w:val="003D1A2D"/>
    <w:rsid w:val="003D1AFC"/>
    <w:rsid w:val="003D256B"/>
    <w:rsid w:val="003D28FF"/>
    <w:rsid w:val="003D3811"/>
    <w:rsid w:val="003D398F"/>
    <w:rsid w:val="003D3E20"/>
    <w:rsid w:val="003D4B84"/>
    <w:rsid w:val="003D5ACD"/>
    <w:rsid w:val="003D5FF9"/>
    <w:rsid w:val="003D6052"/>
    <w:rsid w:val="003D6E2F"/>
    <w:rsid w:val="003D6E39"/>
    <w:rsid w:val="003D70A2"/>
    <w:rsid w:val="003D70FD"/>
    <w:rsid w:val="003D729D"/>
    <w:rsid w:val="003E1270"/>
    <w:rsid w:val="003E16DC"/>
    <w:rsid w:val="003E1D98"/>
    <w:rsid w:val="003E20B3"/>
    <w:rsid w:val="003E253E"/>
    <w:rsid w:val="003E3031"/>
    <w:rsid w:val="003E39A9"/>
    <w:rsid w:val="003E3A08"/>
    <w:rsid w:val="003E3D31"/>
    <w:rsid w:val="003E432A"/>
    <w:rsid w:val="003E468D"/>
    <w:rsid w:val="003E489D"/>
    <w:rsid w:val="003E4A6C"/>
    <w:rsid w:val="003E4D84"/>
    <w:rsid w:val="003E4FA3"/>
    <w:rsid w:val="003E53D3"/>
    <w:rsid w:val="003E5E95"/>
    <w:rsid w:val="003E64B3"/>
    <w:rsid w:val="003F0248"/>
    <w:rsid w:val="003F0530"/>
    <w:rsid w:val="003F0944"/>
    <w:rsid w:val="003F0D6F"/>
    <w:rsid w:val="003F0E63"/>
    <w:rsid w:val="003F1262"/>
    <w:rsid w:val="003F1726"/>
    <w:rsid w:val="003F1E41"/>
    <w:rsid w:val="003F2808"/>
    <w:rsid w:val="003F289F"/>
    <w:rsid w:val="003F2D29"/>
    <w:rsid w:val="003F2DA7"/>
    <w:rsid w:val="003F30B7"/>
    <w:rsid w:val="003F345D"/>
    <w:rsid w:val="003F3AA5"/>
    <w:rsid w:val="003F4347"/>
    <w:rsid w:val="003F4390"/>
    <w:rsid w:val="003F44DD"/>
    <w:rsid w:val="003F5531"/>
    <w:rsid w:val="003F58B9"/>
    <w:rsid w:val="003F5D31"/>
    <w:rsid w:val="003F5E1D"/>
    <w:rsid w:val="003F63D2"/>
    <w:rsid w:val="003F675F"/>
    <w:rsid w:val="003F6839"/>
    <w:rsid w:val="003F697B"/>
    <w:rsid w:val="003F69E8"/>
    <w:rsid w:val="003F6D76"/>
    <w:rsid w:val="003F7642"/>
    <w:rsid w:val="003F7E42"/>
    <w:rsid w:val="003F7F41"/>
    <w:rsid w:val="0040055B"/>
    <w:rsid w:val="00400B1D"/>
    <w:rsid w:val="00400E37"/>
    <w:rsid w:val="00400E79"/>
    <w:rsid w:val="0040151B"/>
    <w:rsid w:val="00401B25"/>
    <w:rsid w:val="00401F3F"/>
    <w:rsid w:val="00402385"/>
    <w:rsid w:val="004023F5"/>
    <w:rsid w:val="00402628"/>
    <w:rsid w:val="00402BEC"/>
    <w:rsid w:val="00402FCB"/>
    <w:rsid w:val="0040348D"/>
    <w:rsid w:val="00404017"/>
    <w:rsid w:val="00404ED7"/>
    <w:rsid w:val="004050A9"/>
    <w:rsid w:val="0040600D"/>
    <w:rsid w:val="00406500"/>
    <w:rsid w:val="00407D59"/>
    <w:rsid w:val="004119CD"/>
    <w:rsid w:val="004119FF"/>
    <w:rsid w:val="00411B31"/>
    <w:rsid w:val="00411B9E"/>
    <w:rsid w:val="00412C87"/>
    <w:rsid w:val="0041455D"/>
    <w:rsid w:val="00414EEF"/>
    <w:rsid w:val="00415625"/>
    <w:rsid w:val="00416773"/>
    <w:rsid w:val="004168C8"/>
    <w:rsid w:val="00416C0F"/>
    <w:rsid w:val="00416CE3"/>
    <w:rsid w:val="00416E94"/>
    <w:rsid w:val="0041708F"/>
    <w:rsid w:val="0041721C"/>
    <w:rsid w:val="004177D9"/>
    <w:rsid w:val="00417AA5"/>
    <w:rsid w:val="00417ADB"/>
    <w:rsid w:val="0042011D"/>
    <w:rsid w:val="0042139F"/>
    <w:rsid w:val="004215B7"/>
    <w:rsid w:val="00422A7F"/>
    <w:rsid w:val="004234E2"/>
    <w:rsid w:val="00423722"/>
    <w:rsid w:val="00423B1F"/>
    <w:rsid w:val="00423B71"/>
    <w:rsid w:val="00423B9E"/>
    <w:rsid w:val="0042457E"/>
    <w:rsid w:val="004246C2"/>
    <w:rsid w:val="00424A1D"/>
    <w:rsid w:val="00424B97"/>
    <w:rsid w:val="00425EFF"/>
    <w:rsid w:val="00426220"/>
    <w:rsid w:val="0042661E"/>
    <w:rsid w:val="00426CF7"/>
    <w:rsid w:val="00427246"/>
    <w:rsid w:val="00427454"/>
    <w:rsid w:val="00430A39"/>
    <w:rsid w:val="004310BC"/>
    <w:rsid w:val="0043286F"/>
    <w:rsid w:val="00432A5E"/>
    <w:rsid w:val="00432B96"/>
    <w:rsid w:val="004331D0"/>
    <w:rsid w:val="00434B61"/>
    <w:rsid w:val="00434F3D"/>
    <w:rsid w:val="00434FFF"/>
    <w:rsid w:val="00435A16"/>
    <w:rsid w:val="00435A42"/>
    <w:rsid w:val="0043666A"/>
    <w:rsid w:val="00436980"/>
    <w:rsid w:val="00437241"/>
    <w:rsid w:val="004378B7"/>
    <w:rsid w:val="00440D86"/>
    <w:rsid w:val="00440E9B"/>
    <w:rsid w:val="004412EC"/>
    <w:rsid w:val="0044169C"/>
    <w:rsid w:val="004420C3"/>
    <w:rsid w:val="00442520"/>
    <w:rsid w:val="00442784"/>
    <w:rsid w:val="00442B7E"/>
    <w:rsid w:val="00442CB8"/>
    <w:rsid w:val="00443274"/>
    <w:rsid w:val="00443E09"/>
    <w:rsid w:val="004441BD"/>
    <w:rsid w:val="00444568"/>
    <w:rsid w:val="004447FF"/>
    <w:rsid w:val="00445C0F"/>
    <w:rsid w:val="0044602D"/>
    <w:rsid w:val="00446137"/>
    <w:rsid w:val="0044735E"/>
    <w:rsid w:val="004473EC"/>
    <w:rsid w:val="00447D2B"/>
    <w:rsid w:val="00450165"/>
    <w:rsid w:val="004503BA"/>
    <w:rsid w:val="004505FE"/>
    <w:rsid w:val="00450E72"/>
    <w:rsid w:val="00451397"/>
    <w:rsid w:val="004514F6"/>
    <w:rsid w:val="00451523"/>
    <w:rsid w:val="00452FC1"/>
    <w:rsid w:val="00453A8C"/>
    <w:rsid w:val="00453AE2"/>
    <w:rsid w:val="004550BC"/>
    <w:rsid w:val="0045582F"/>
    <w:rsid w:val="004558D6"/>
    <w:rsid w:val="00455E20"/>
    <w:rsid w:val="0045615C"/>
    <w:rsid w:val="004565A5"/>
    <w:rsid w:val="00456EEA"/>
    <w:rsid w:val="00457A9E"/>
    <w:rsid w:val="00457C90"/>
    <w:rsid w:val="00460B68"/>
    <w:rsid w:val="00460DFB"/>
    <w:rsid w:val="00460E7A"/>
    <w:rsid w:val="00461981"/>
    <w:rsid w:val="00461E52"/>
    <w:rsid w:val="00462119"/>
    <w:rsid w:val="00462145"/>
    <w:rsid w:val="00462984"/>
    <w:rsid w:val="00462E30"/>
    <w:rsid w:val="00462ECD"/>
    <w:rsid w:val="00463771"/>
    <w:rsid w:val="00463C98"/>
    <w:rsid w:val="004648D1"/>
    <w:rsid w:val="00464CAB"/>
    <w:rsid w:val="004651DD"/>
    <w:rsid w:val="004655DA"/>
    <w:rsid w:val="00465CC1"/>
    <w:rsid w:val="004661A7"/>
    <w:rsid w:val="004665DB"/>
    <w:rsid w:val="00467055"/>
    <w:rsid w:val="004672BE"/>
    <w:rsid w:val="0046759F"/>
    <w:rsid w:val="004678E9"/>
    <w:rsid w:val="00467906"/>
    <w:rsid w:val="004713D3"/>
    <w:rsid w:val="004714AF"/>
    <w:rsid w:val="0047208A"/>
    <w:rsid w:val="004726CB"/>
    <w:rsid w:val="00472743"/>
    <w:rsid w:val="00472D44"/>
    <w:rsid w:val="00473B6E"/>
    <w:rsid w:val="00473DE5"/>
    <w:rsid w:val="0047458B"/>
    <w:rsid w:val="004746D9"/>
    <w:rsid w:val="00474BF7"/>
    <w:rsid w:val="00475735"/>
    <w:rsid w:val="00475CF2"/>
    <w:rsid w:val="00476182"/>
    <w:rsid w:val="0047630F"/>
    <w:rsid w:val="004776E5"/>
    <w:rsid w:val="00480B9F"/>
    <w:rsid w:val="00480F40"/>
    <w:rsid w:val="00481273"/>
    <w:rsid w:val="004812BD"/>
    <w:rsid w:val="00482B99"/>
    <w:rsid w:val="00483A96"/>
    <w:rsid w:val="00483AD1"/>
    <w:rsid w:val="0048432C"/>
    <w:rsid w:val="00484872"/>
    <w:rsid w:val="004849A2"/>
    <w:rsid w:val="0048504A"/>
    <w:rsid w:val="004850AC"/>
    <w:rsid w:val="0048555D"/>
    <w:rsid w:val="00485744"/>
    <w:rsid w:val="00485C63"/>
    <w:rsid w:val="004874DE"/>
    <w:rsid w:val="00487571"/>
    <w:rsid w:val="00487951"/>
    <w:rsid w:val="00487A45"/>
    <w:rsid w:val="00490B90"/>
    <w:rsid w:val="00490BFE"/>
    <w:rsid w:val="00490E03"/>
    <w:rsid w:val="00490E7A"/>
    <w:rsid w:val="00490FBF"/>
    <w:rsid w:val="00491346"/>
    <w:rsid w:val="0049135F"/>
    <w:rsid w:val="004917EA"/>
    <w:rsid w:val="004918F4"/>
    <w:rsid w:val="0049191A"/>
    <w:rsid w:val="00492039"/>
    <w:rsid w:val="00492DDE"/>
    <w:rsid w:val="00493875"/>
    <w:rsid w:val="004939C0"/>
    <w:rsid w:val="00493CC1"/>
    <w:rsid w:val="0049417A"/>
    <w:rsid w:val="004945CF"/>
    <w:rsid w:val="004947C0"/>
    <w:rsid w:val="004957BA"/>
    <w:rsid w:val="004958B6"/>
    <w:rsid w:val="004958D1"/>
    <w:rsid w:val="00496585"/>
    <w:rsid w:val="00496923"/>
    <w:rsid w:val="00496926"/>
    <w:rsid w:val="00497283"/>
    <w:rsid w:val="004A1396"/>
    <w:rsid w:val="004A1993"/>
    <w:rsid w:val="004A2CFD"/>
    <w:rsid w:val="004A317A"/>
    <w:rsid w:val="004A3460"/>
    <w:rsid w:val="004A40AA"/>
    <w:rsid w:val="004A422D"/>
    <w:rsid w:val="004A48AA"/>
    <w:rsid w:val="004A59B1"/>
    <w:rsid w:val="004A5A2B"/>
    <w:rsid w:val="004A5A53"/>
    <w:rsid w:val="004A5DF8"/>
    <w:rsid w:val="004A5FDF"/>
    <w:rsid w:val="004A6687"/>
    <w:rsid w:val="004A6AFE"/>
    <w:rsid w:val="004A6EDF"/>
    <w:rsid w:val="004A72B9"/>
    <w:rsid w:val="004A7C06"/>
    <w:rsid w:val="004A7EAF"/>
    <w:rsid w:val="004B04C1"/>
    <w:rsid w:val="004B0937"/>
    <w:rsid w:val="004B0B39"/>
    <w:rsid w:val="004B1813"/>
    <w:rsid w:val="004B206C"/>
    <w:rsid w:val="004B2082"/>
    <w:rsid w:val="004B21F8"/>
    <w:rsid w:val="004B2747"/>
    <w:rsid w:val="004B2CA4"/>
    <w:rsid w:val="004B320D"/>
    <w:rsid w:val="004B33FA"/>
    <w:rsid w:val="004B4A97"/>
    <w:rsid w:val="004B4C4D"/>
    <w:rsid w:val="004B50E5"/>
    <w:rsid w:val="004B58AC"/>
    <w:rsid w:val="004B5F0D"/>
    <w:rsid w:val="004B6074"/>
    <w:rsid w:val="004B6092"/>
    <w:rsid w:val="004B6133"/>
    <w:rsid w:val="004B6541"/>
    <w:rsid w:val="004B728C"/>
    <w:rsid w:val="004B7E0E"/>
    <w:rsid w:val="004B7FA3"/>
    <w:rsid w:val="004C0162"/>
    <w:rsid w:val="004C01FE"/>
    <w:rsid w:val="004C0233"/>
    <w:rsid w:val="004C0350"/>
    <w:rsid w:val="004C0934"/>
    <w:rsid w:val="004C0A2D"/>
    <w:rsid w:val="004C1852"/>
    <w:rsid w:val="004C1AC1"/>
    <w:rsid w:val="004C28F8"/>
    <w:rsid w:val="004C2A3D"/>
    <w:rsid w:val="004C2AD5"/>
    <w:rsid w:val="004C2B9B"/>
    <w:rsid w:val="004C309D"/>
    <w:rsid w:val="004C3A81"/>
    <w:rsid w:val="004C3C57"/>
    <w:rsid w:val="004C3E28"/>
    <w:rsid w:val="004C4629"/>
    <w:rsid w:val="004C4FA8"/>
    <w:rsid w:val="004C5838"/>
    <w:rsid w:val="004C6019"/>
    <w:rsid w:val="004C6108"/>
    <w:rsid w:val="004C6398"/>
    <w:rsid w:val="004C7034"/>
    <w:rsid w:val="004C7902"/>
    <w:rsid w:val="004C7DC3"/>
    <w:rsid w:val="004D0737"/>
    <w:rsid w:val="004D0D7A"/>
    <w:rsid w:val="004D0EF0"/>
    <w:rsid w:val="004D1476"/>
    <w:rsid w:val="004D14D4"/>
    <w:rsid w:val="004D17ED"/>
    <w:rsid w:val="004D1B18"/>
    <w:rsid w:val="004D1BD1"/>
    <w:rsid w:val="004D20C0"/>
    <w:rsid w:val="004D26AA"/>
    <w:rsid w:val="004D2EBF"/>
    <w:rsid w:val="004D2EF9"/>
    <w:rsid w:val="004D30AD"/>
    <w:rsid w:val="004D359F"/>
    <w:rsid w:val="004D3A67"/>
    <w:rsid w:val="004D3B5E"/>
    <w:rsid w:val="004D3C9D"/>
    <w:rsid w:val="004D4124"/>
    <w:rsid w:val="004D4289"/>
    <w:rsid w:val="004D4883"/>
    <w:rsid w:val="004D5565"/>
    <w:rsid w:val="004D556C"/>
    <w:rsid w:val="004D5BA3"/>
    <w:rsid w:val="004D5D26"/>
    <w:rsid w:val="004D7B16"/>
    <w:rsid w:val="004D7D32"/>
    <w:rsid w:val="004E1C2A"/>
    <w:rsid w:val="004E21E8"/>
    <w:rsid w:val="004E2A99"/>
    <w:rsid w:val="004E2BD1"/>
    <w:rsid w:val="004E3334"/>
    <w:rsid w:val="004E38BC"/>
    <w:rsid w:val="004E3C44"/>
    <w:rsid w:val="004E3CBB"/>
    <w:rsid w:val="004E3DCA"/>
    <w:rsid w:val="004E493C"/>
    <w:rsid w:val="004E4A1D"/>
    <w:rsid w:val="004E5763"/>
    <w:rsid w:val="004E5AE7"/>
    <w:rsid w:val="004E5CA3"/>
    <w:rsid w:val="004E6228"/>
    <w:rsid w:val="004E62D9"/>
    <w:rsid w:val="004E70C7"/>
    <w:rsid w:val="004E7E08"/>
    <w:rsid w:val="004E7E40"/>
    <w:rsid w:val="004F0278"/>
    <w:rsid w:val="004F0586"/>
    <w:rsid w:val="004F08F7"/>
    <w:rsid w:val="004F1019"/>
    <w:rsid w:val="004F1072"/>
    <w:rsid w:val="004F1193"/>
    <w:rsid w:val="004F1A40"/>
    <w:rsid w:val="004F1CCB"/>
    <w:rsid w:val="004F1D2C"/>
    <w:rsid w:val="004F1EBF"/>
    <w:rsid w:val="004F1FA6"/>
    <w:rsid w:val="004F2A9C"/>
    <w:rsid w:val="004F2BF5"/>
    <w:rsid w:val="004F2C1E"/>
    <w:rsid w:val="004F306E"/>
    <w:rsid w:val="004F3428"/>
    <w:rsid w:val="004F380A"/>
    <w:rsid w:val="004F3A33"/>
    <w:rsid w:val="004F3FF7"/>
    <w:rsid w:val="004F473C"/>
    <w:rsid w:val="004F5110"/>
    <w:rsid w:val="004F53B7"/>
    <w:rsid w:val="004F54E0"/>
    <w:rsid w:val="004F5697"/>
    <w:rsid w:val="004F59C4"/>
    <w:rsid w:val="004F5CF0"/>
    <w:rsid w:val="004F7253"/>
    <w:rsid w:val="004F7A6D"/>
    <w:rsid w:val="004F7B6F"/>
    <w:rsid w:val="004F7CFF"/>
    <w:rsid w:val="004F7E34"/>
    <w:rsid w:val="005001A1"/>
    <w:rsid w:val="00500304"/>
    <w:rsid w:val="00500B61"/>
    <w:rsid w:val="00501020"/>
    <w:rsid w:val="005011DD"/>
    <w:rsid w:val="00502276"/>
    <w:rsid w:val="0050292B"/>
    <w:rsid w:val="00502CA8"/>
    <w:rsid w:val="00502FDE"/>
    <w:rsid w:val="005033A9"/>
    <w:rsid w:val="00503565"/>
    <w:rsid w:val="00503647"/>
    <w:rsid w:val="005039FE"/>
    <w:rsid w:val="00503B76"/>
    <w:rsid w:val="0050499C"/>
    <w:rsid w:val="00504BC0"/>
    <w:rsid w:val="00504C69"/>
    <w:rsid w:val="005050C5"/>
    <w:rsid w:val="0050574F"/>
    <w:rsid w:val="00505DEC"/>
    <w:rsid w:val="0050652F"/>
    <w:rsid w:val="005066DD"/>
    <w:rsid w:val="0050717E"/>
    <w:rsid w:val="005071C1"/>
    <w:rsid w:val="00507251"/>
    <w:rsid w:val="00510035"/>
    <w:rsid w:val="005103FB"/>
    <w:rsid w:val="00510DBC"/>
    <w:rsid w:val="00511C4D"/>
    <w:rsid w:val="005126E6"/>
    <w:rsid w:val="00514268"/>
    <w:rsid w:val="0051465D"/>
    <w:rsid w:val="0051547A"/>
    <w:rsid w:val="0051558F"/>
    <w:rsid w:val="005155FF"/>
    <w:rsid w:val="00515F14"/>
    <w:rsid w:val="005162B8"/>
    <w:rsid w:val="0051635A"/>
    <w:rsid w:val="005164D8"/>
    <w:rsid w:val="00516620"/>
    <w:rsid w:val="00516D9D"/>
    <w:rsid w:val="005173E7"/>
    <w:rsid w:val="005178E7"/>
    <w:rsid w:val="00517A16"/>
    <w:rsid w:val="00520222"/>
    <w:rsid w:val="00520D73"/>
    <w:rsid w:val="00520F86"/>
    <w:rsid w:val="00520FE9"/>
    <w:rsid w:val="005222FA"/>
    <w:rsid w:val="00522B74"/>
    <w:rsid w:val="00523130"/>
    <w:rsid w:val="00523D4F"/>
    <w:rsid w:val="00523E4C"/>
    <w:rsid w:val="00524CE3"/>
    <w:rsid w:val="00524F96"/>
    <w:rsid w:val="005251D5"/>
    <w:rsid w:val="00525C8B"/>
    <w:rsid w:val="005263AE"/>
    <w:rsid w:val="0052660A"/>
    <w:rsid w:val="005271BC"/>
    <w:rsid w:val="005273CE"/>
    <w:rsid w:val="005278BE"/>
    <w:rsid w:val="00527936"/>
    <w:rsid w:val="00527C24"/>
    <w:rsid w:val="0053061B"/>
    <w:rsid w:val="005310F2"/>
    <w:rsid w:val="0053124A"/>
    <w:rsid w:val="00531F3F"/>
    <w:rsid w:val="00531FCC"/>
    <w:rsid w:val="00532D90"/>
    <w:rsid w:val="005337BF"/>
    <w:rsid w:val="00533915"/>
    <w:rsid w:val="00533CB7"/>
    <w:rsid w:val="0053432D"/>
    <w:rsid w:val="00534E72"/>
    <w:rsid w:val="00534EBA"/>
    <w:rsid w:val="00535567"/>
    <w:rsid w:val="00535667"/>
    <w:rsid w:val="0053580C"/>
    <w:rsid w:val="00536259"/>
    <w:rsid w:val="00536458"/>
    <w:rsid w:val="00537039"/>
    <w:rsid w:val="00537705"/>
    <w:rsid w:val="00537853"/>
    <w:rsid w:val="00540C30"/>
    <w:rsid w:val="00541026"/>
    <w:rsid w:val="00541068"/>
    <w:rsid w:val="00541B79"/>
    <w:rsid w:val="00542518"/>
    <w:rsid w:val="00542B26"/>
    <w:rsid w:val="00542F38"/>
    <w:rsid w:val="00543589"/>
    <w:rsid w:val="00543B44"/>
    <w:rsid w:val="00543BBF"/>
    <w:rsid w:val="00543D7D"/>
    <w:rsid w:val="0054436B"/>
    <w:rsid w:val="00544767"/>
    <w:rsid w:val="00544865"/>
    <w:rsid w:val="0054491E"/>
    <w:rsid w:val="00544BAE"/>
    <w:rsid w:val="00544E90"/>
    <w:rsid w:val="00544FDB"/>
    <w:rsid w:val="0054502D"/>
    <w:rsid w:val="005455E5"/>
    <w:rsid w:val="00545923"/>
    <w:rsid w:val="005475C6"/>
    <w:rsid w:val="005479AF"/>
    <w:rsid w:val="00550942"/>
    <w:rsid w:val="00551EF6"/>
    <w:rsid w:val="00551F37"/>
    <w:rsid w:val="00552B97"/>
    <w:rsid w:val="00552E52"/>
    <w:rsid w:val="00552E89"/>
    <w:rsid w:val="0055313A"/>
    <w:rsid w:val="00553320"/>
    <w:rsid w:val="0055358E"/>
    <w:rsid w:val="005537DF"/>
    <w:rsid w:val="005537EC"/>
    <w:rsid w:val="00554582"/>
    <w:rsid w:val="00555D50"/>
    <w:rsid w:val="00555E13"/>
    <w:rsid w:val="00556044"/>
    <w:rsid w:val="00556AB4"/>
    <w:rsid w:val="00556B20"/>
    <w:rsid w:val="00556C56"/>
    <w:rsid w:val="00556E94"/>
    <w:rsid w:val="005572C4"/>
    <w:rsid w:val="00557A3A"/>
    <w:rsid w:val="00557EE4"/>
    <w:rsid w:val="00562CEE"/>
    <w:rsid w:val="00563086"/>
    <w:rsid w:val="00563411"/>
    <w:rsid w:val="00563C66"/>
    <w:rsid w:val="00564342"/>
    <w:rsid w:val="00564510"/>
    <w:rsid w:val="00564901"/>
    <w:rsid w:val="00566153"/>
    <w:rsid w:val="005668DF"/>
    <w:rsid w:val="005669E4"/>
    <w:rsid w:val="0056737F"/>
    <w:rsid w:val="005677DA"/>
    <w:rsid w:val="0056789B"/>
    <w:rsid w:val="005700AB"/>
    <w:rsid w:val="00570345"/>
    <w:rsid w:val="00570501"/>
    <w:rsid w:val="005705FD"/>
    <w:rsid w:val="005707CD"/>
    <w:rsid w:val="005709ED"/>
    <w:rsid w:val="00570B67"/>
    <w:rsid w:val="00571137"/>
    <w:rsid w:val="005713D4"/>
    <w:rsid w:val="00572BAE"/>
    <w:rsid w:val="00572CD6"/>
    <w:rsid w:val="00573327"/>
    <w:rsid w:val="005735E2"/>
    <w:rsid w:val="00573BA5"/>
    <w:rsid w:val="00573C05"/>
    <w:rsid w:val="00573C7F"/>
    <w:rsid w:val="005740EE"/>
    <w:rsid w:val="00574B55"/>
    <w:rsid w:val="0057507D"/>
    <w:rsid w:val="005764BD"/>
    <w:rsid w:val="00576E49"/>
    <w:rsid w:val="00577070"/>
    <w:rsid w:val="0057731B"/>
    <w:rsid w:val="0058007F"/>
    <w:rsid w:val="005804B1"/>
    <w:rsid w:val="0058134B"/>
    <w:rsid w:val="005813F5"/>
    <w:rsid w:val="005818F4"/>
    <w:rsid w:val="00581C27"/>
    <w:rsid w:val="005825CD"/>
    <w:rsid w:val="00582971"/>
    <w:rsid w:val="005829D6"/>
    <w:rsid w:val="00582E97"/>
    <w:rsid w:val="0058391B"/>
    <w:rsid w:val="00584946"/>
    <w:rsid w:val="00584CA0"/>
    <w:rsid w:val="00584FDE"/>
    <w:rsid w:val="005857E1"/>
    <w:rsid w:val="005858B5"/>
    <w:rsid w:val="005861DA"/>
    <w:rsid w:val="00586AEA"/>
    <w:rsid w:val="0058732D"/>
    <w:rsid w:val="00587E3C"/>
    <w:rsid w:val="00590200"/>
    <w:rsid w:val="0059023A"/>
    <w:rsid w:val="005912A5"/>
    <w:rsid w:val="00591E37"/>
    <w:rsid w:val="005924A9"/>
    <w:rsid w:val="0059258A"/>
    <w:rsid w:val="0059298C"/>
    <w:rsid w:val="00592CE1"/>
    <w:rsid w:val="005930FA"/>
    <w:rsid w:val="00593806"/>
    <w:rsid w:val="005942EA"/>
    <w:rsid w:val="005945DD"/>
    <w:rsid w:val="0059469C"/>
    <w:rsid w:val="00594940"/>
    <w:rsid w:val="00594CDE"/>
    <w:rsid w:val="005952CF"/>
    <w:rsid w:val="00595310"/>
    <w:rsid w:val="005955FE"/>
    <w:rsid w:val="00595895"/>
    <w:rsid w:val="00596B13"/>
    <w:rsid w:val="005A0CD8"/>
    <w:rsid w:val="005A0E01"/>
    <w:rsid w:val="005A1CBC"/>
    <w:rsid w:val="005A1D87"/>
    <w:rsid w:val="005A27D6"/>
    <w:rsid w:val="005A3121"/>
    <w:rsid w:val="005A3661"/>
    <w:rsid w:val="005A3A9F"/>
    <w:rsid w:val="005A3F5A"/>
    <w:rsid w:val="005A40EB"/>
    <w:rsid w:val="005A5A81"/>
    <w:rsid w:val="005A5FD5"/>
    <w:rsid w:val="005A668E"/>
    <w:rsid w:val="005A7366"/>
    <w:rsid w:val="005A75F6"/>
    <w:rsid w:val="005A7756"/>
    <w:rsid w:val="005A7C68"/>
    <w:rsid w:val="005A7F0B"/>
    <w:rsid w:val="005B019D"/>
    <w:rsid w:val="005B0BF2"/>
    <w:rsid w:val="005B1BE4"/>
    <w:rsid w:val="005B1EF0"/>
    <w:rsid w:val="005B26DE"/>
    <w:rsid w:val="005B3471"/>
    <w:rsid w:val="005B3EF5"/>
    <w:rsid w:val="005B42E2"/>
    <w:rsid w:val="005B43E5"/>
    <w:rsid w:val="005B4594"/>
    <w:rsid w:val="005B49F5"/>
    <w:rsid w:val="005B4ABD"/>
    <w:rsid w:val="005B55D9"/>
    <w:rsid w:val="005B576A"/>
    <w:rsid w:val="005B5AD6"/>
    <w:rsid w:val="005B5EA0"/>
    <w:rsid w:val="005B6987"/>
    <w:rsid w:val="005B6D5E"/>
    <w:rsid w:val="005B7853"/>
    <w:rsid w:val="005C0703"/>
    <w:rsid w:val="005C09E2"/>
    <w:rsid w:val="005C10ED"/>
    <w:rsid w:val="005C1441"/>
    <w:rsid w:val="005C2231"/>
    <w:rsid w:val="005C2698"/>
    <w:rsid w:val="005C27C8"/>
    <w:rsid w:val="005C290D"/>
    <w:rsid w:val="005C295E"/>
    <w:rsid w:val="005C30E9"/>
    <w:rsid w:val="005C33ED"/>
    <w:rsid w:val="005C34E9"/>
    <w:rsid w:val="005C363D"/>
    <w:rsid w:val="005C3A24"/>
    <w:rsid w:val="005C42C2"/>
    <w:rsid w:val="005C4518"/>
    <w:rsid w:val="005C4656"/>
    <w:rsid w:val="005C4755"/>
    <w:rsid w:val="005C5342"/>
    <w:rsid w:val="005C5693"/>
    <w:rsid w:val="005C6A0A"/>
    <w:rsid w:val="005C6B4D"/>
    <w:rsid w:val="005C718F"/>
    <w:rsid w:val="005D0576"/>
    <w:rsid w:val="005D06E7"/>
    <w:rsid w:val="005D08C5"/>
    <w:rsid w:val="005D13E6"/>
    <w:rsid w:val="005D1B08"/>
    <w:rsid w:val="005D1F92"/>
    <w:rsid w:val="005D2699"/>
    <w:rsid w:val="005D3A0B"/>
    <w:rsid w:val="005D42EA"/>
    <w:rsid w:val="005D4412"/>
    <w:rsid w:val="005D49C1"/>
    <w:rsid w:val="005D4BDD"/>
    <w:rsid w:val="005D6387"/>
    <w:rsid w:val="005D660A"/>
    <w:rsid w:val="005D7C90"/>
    <w:rsid w:val="005D7F80"/>
    <w:rsid w:val="005E0259"/>
    <w:rsid w:val="005E09F6"/>
    <w:rsid w:val="005E1413"/>
    <w:rsid w:val="005E1803"/>
    <w:rsid w:val="005E1D28"/>
    <w:rsid w:val="005E2334"/>
    <w:rsid w:val="005E25CB"/>
    <w:rsid w:val="005E2651"/>
    <w:rsid w:val="005E2F53"/>
    <w:rsid w:val="005E344A"/>
    <w:rsid w:val="005E3CC7"/>
    <w:rsid w:val="005E4034"/>
    <w:rsid w:val="005E4896"/>
    <w:rsid w:val="005E4D35"/>
    <w:rsid w:val="005E4DFF"/>
    <w:rsid w:val="005E4E8D"/>
    <w:rsid w:val="005E4F14"/>
    <w:rsid w:val="005E5156"/>
    <w:rsid w:val="005E593B"/>
    <w:rsid w:val="005E5B2B"/>
    <w:rsid w:val="005E6241"/>
    <w:rsid w:val="005E63E9"/>
    <w:rsid w:val="005E6625"/>
    <w:rsid w:val="005E69F3"/>
    <w:rsid w:val="005F0490"/>
    <w:rsid w:val="005F0908"/>
    <w:rsid w:val="005F0A18"/>
    <w:rsid w:val="005F0A68"/>
    <w:rsid w:val="005F100F"/>
    <w:rsid w:val="005F25AC"/>
    <w:rsid w:val="005F270A"/>
    <w:rsid w:val="005F288C"/>
    <w:rsid w:val="005F28B4"/>
    <w:rsid w:val="005F2D34"/>
    <w:rsid w:val="005F36A7"/>
    <w:rsid w:val="005F3764"/>
    <w:rsid w:val="005F3849"/>
    <w:rsid w:val="005F3A15"/>
    <w:rsid w:val="005F4274"/>
    <w:rsid w:val="005F4DA3"/>
    <w:rsid w:val="005F4E61"/>
    <w:rsid w:val="005F4F7C"/>
    <w:rsid w:val="005F546E"/>
    <w:rsid w:val="005F553D"/>
    <w:rsid w:val="005F57DF"/>
    <w:rsid w:val="005F599A"/>
    <w:rsid w:val="005F5E82"/>
    <w:rsid w:val="005F65BE"/>
    <w:rsid w:val="005F67E6"/>
    <w:rsid w:val="005F72D3"/>
    <w:rsid w:val="005F7B48"/>
    <w:rsid w:val="0060072F"/>
    <w:rsid w:val="00602160"/>
    <w:rsid w:val="00602536"/>
    <w:rsid w:val="00602B9E"/>
    <w:rsid w:val="00602C72"/>
    <w:rsid w:val="00603160"/>
    <w:rsid w:val="00603999"/>
    <w:rsid w:val="00603EDA"/>
    <w:rsid w:val="00604076"/>
    <w:rsid w:val="00604E76"/>
    <w:rsid w:val="0060507B"/>
    <w:rsid w:val="006054B0"/>
    <w:rsid w:val="006054EA"/>
    <w:rsid w:val="006058DA"/>
    <w:rsid w:val="00605D62"/>
    <w:rsid w:val="0060641E"/>
    <w:rsid w:val="006064B1"/>
    <w:rsid w:val="00606BA0"/>
    <w:rsid w:val="00606BCD"/>
    <w:rsid w:val="006076F4"/>
    <w:rsid w:val="0060776B"/>
    <w:rsid w:val="00607EA1"/>
    <w:rsid w:val="0061070E"/>
    <w:rsid w:val="00610769"/>
    <w:rsid w:val="006107EC"/>
    <w:rsid w:val="006108F6"/>
    <w:rsid w:val="00613154"/>
    <w:rsid w:val="0061364A"/>
    <w:rsid w:val="00613C64"/>
    <w:rsid w:val="00613FCB"/>
    <w:rsid w:val="00614104"/>
    <w:rsid w:val="0061411A"/>
    <w:rsid w:val="006158B9"/>
    <w:rsid w:val="00616008"/>
    <w:rsid w:val="00616695"/>
    <w:rsid w:val="0061794F"/>
    <w:rsid w:val="006209B4"/>
    <w:rsid w:val="00620B27"/>
    <w:rsid w:val="00620DB3"/>
    <w:rsid w:val="00620EAE"/>
    <w:rsid w:val="006216FF"/>
    <w:rsid w:val="00622494"/>
    <w:rsid w:val="0062284D"/>
    <w:rsid w:val="0062294E"/>
    <w:rsid w:val="00623A14"/>
    <w:rsid w:val="00623B4F"/>
    <w:rsid w:val="00623EED"/>
    <w:rsid w:val="00624887"/>
    <w:rsid w:val="00624F36"/>
    <w:rsid w:val="006250A9"/>
    <w:rsid w:val="00625694"/>
    <w:rsid w:val="0062631E"/>
    <w:rsid w:val="00626D35"/>
    <w:rsid w:val="00626D7E"/>
    <w:rsid w:val="00627464"/>
    <w:rsid w:val="006275C8"/>
    <w:rsid w:val="006300FE"/>
    <w:rsid w:val="0063017D"/>
    <w:rsid w:val="00630725"/>
    <w:rsid w:val="006307E2"/>
    <w:rsid w:val="00630947"/>
    <w:rsid w:val="00630982"/>
    <w:rsid w:val="00630C53"/>
    <w:rsid w:val="006310C2"/>
    <w:rsid w:val="006327C9"/>
    <w:rsid w:val="00633DBC"/>
    <w:rsid w:val="0063446A"/>
    <w:rsid w:val="0063477D"/>
    <w:rsid w:val="006349BA"/>
    <w:rsid w:val="0063520E"/>
    <w:rsid w:val="00635DD5"/>
    <w:rsid w:val="00635E9F"/>
    <w:rsid w:val="00635F52"/>
    <w:rsid w:val="00635F54"/>
    <w:rsid w:val="00636F89"/>
    <w:rsid w:val="00636FA8"/>
    <w:rsid w:val="00637467"/>
    <w:rsid w:val="00640439"/>
    <w:rsid w:val="00640496"/>
    <w:rsid w:val="006406BC"/>
    <w:rsid w:val="00640974"/>
    <w:rsid w:val="00641203"/>
    <w:rsid w:val="0064134E"/>
    <w:rsid w:val="006413D5"/>
    <w:rsid w:val="0064190F"/>
    <w:rsid w:val="00641FE2"/>
    <w:rsid w:val="00642E25"/>
    <w:rsid w:val="00643348"/>
    <w:rsid w:val="00643769"/>
    <w:rsid w:val="00643E49"/>
    <w:rsid w:val="006448DD"/>
    <w:rsid w:val="00644D39"/>
    <w:rsid w:val="006459D8"/>
    <w:rsid w:val="006463D9"/>
    <w:rsid w:val="0064667A"/>
    <w:rsid w:val="0064762B"/>
    <w:rsid w:val="0064790A"/>
    <w:rsid w:val="0065015B"/>
    <w:rsid w:val="006501B0"/>
    <w:rsid w:val="006502EB"/>
    <w:rsid w:val="0065059C"/>
    <w:rsid w:val="00650A64"/>
    <w:rsid w:val="00651068"/>
    <w:rsid w:val="00651970"/>
    <w:rsid w:val="006522E3"/>
    <w:rsid w:val="0065276E"/>
    <w:rsid w:val="00653018"/>
    <w:rsid w:val="00653978"/>
    <w:rsid w:val="00653A40"/>
    <w:rsid w:val="00653D41"/>
    <w:rsid w:val="0065406B"/>
    <w:rsid w:val="006540C0"/>
    <w:rsid w:val="00654AE0"/>
    <w:rsid w:val="0065530A"/>
    <w:rsid w:val="0065538F"/>
    <w:rsid w:val="00655CC9"/>
    <w:rsid w:val="006565D8"/>
    <w:rsid w:val="006579DB"/>
    <w:rsid w:val="00657BDE"/>
    <w:rsid w:val="00657CDB"/>
    <w:rsid w:val="0066007B"/>
    <w:rsid w:val="00660713"/>
    <w:rsid w:val="00660BFC"/>
    <w:rsid w:val="00660F39"/>
    <w:rsid w:val="006615E6"/>
    <w:rsid w:val="00661A13"/>
    <w:rsid w:val="00661EE6"/>
    <w:rsid w:val="006624BA"/>
    <w:rsid w:val="00662EAA"/>
    <w:rsid w:val="00662F75"/>
    <w:rsid w:val="006634C3"/>
    <w:rsid w:val="00663E2A"/>
    <w:rsid w:val="006643F9"/>
    <w:rsid w:val="006645BA"/>
    <w:rsid w:val="006647F9"/>
    <w:rsid w:val="00664E32"/>
    <w:rsid w:val="006650B4"/>
    <w:rsid w:val="00666953"/>
    <w:rsid w:val="00666F70"/>
    <w:rsid w:val="00667B86"/>
    <w:rsid w:val="00667DAC"/>
    <w:rsid w:val="00670423"/>
    <w:rsid w:val="00670A0B"/>
    <w:rsid w:val="00670C17"/>
    <w:rsid w:val="00671229"/>
    <w:rsid w:val="00671D59"/>
    <w:rsid w:val="0067241E"/>
    <w:rsid w:val="0067297B"/>
    <w:rsid w:val="00672D2E"/>
    <w:rsid w:val="006730D8"/>
    <w:rsid w:val="00673100"/>
    <w:rsid w:val="006735C5"/>
    <w:rsid w:val="0067377E"/>
    <w:rsid w:val="0067498A"/>
    <w:rsid w:val="006750E1"/>
    <w:rsid w:val="00675616"/>
    <w:rsid w:val="0067575E"/>
    <w:rsid w:val="00675805"/>
    <w:rsid w:val="00675845"/>
    <w:rsid w:val="0067625D"/>
    <w:rsid w:val="00676B5D"/>
    <w:rsid w:val="00676BE9"/>
    <w:rsid w:val="00676EAF"/>
    <w:rsid w:val="006776AC"/>
    <w:rsid w:val="00677F66"/>
    <w:rsid w:val="006801C9"/>
    <w:rsid w:val="00681F0B"/>
    <w:rsid w:val="006820C3"/>
    <w:rsid w:val="0068229A"/>
    <w:rsid w:val="00682EA2"/>
    <w:rsid w:val="00683308"/>
    <w:rsid w:val="00684805"/>
    <w:rsid w:val="0068564A"/>
    <w:rsid w:val="006859B8"/>
    <w:rsid w:val="00685BC6"/>
    <w:rsid w:val="0068650F"/>
    <w:rsid w:val="0068694A"/>
    <w:rsid w:val="00686BD7"/>
    <w:rsid w:val="00687142"/>
    <w:rsid w:val="006874BF"/>
    <w:rsid w:val="006875D2"/>
    <w:rsid w:val="00687D2C"/>
    <w:rsid w:val="006902F9"/>
    <w:rsid w:val="00691279"/>
    <w:rsid w:val="0069178F"/>
    <w:rsid w:val="00691C71"/>
    <w:rsid w:val="00692E59"/>
    <w:rsid w:val="0069326C"/>
    <w:rsid w:val="006932F4"/>
    <w:rsid w:val="00693A69"/>
    <w:rsid w:val="00693AEC"/>
    <w:rsid w:val="00693D7B"/>
    <w:rsid w:val="00694298"/>
    <w:rsid w:val="00694BB8"/>
    <w:rsid w:val="00694EA5"/>
    <w:rsid w:val="006950BC"/>
    <w:rsid w:val="006958D0"/>
    <w:rsid w:val="00696CD6"/>
    <w:rsid w:val="006977E7"/>
    <w:rsid w:val="00697950"/>
    <w:rsid w:val="00697BCE"/>
    <w:rsid w:val="006A04D3"/>
    <w:rsid w:val="006A0945"/>
    <w:rsid w:val="006A0C6C"/>
    <w:rsid w:val="006A0CD5"/>
    <w:rsid w:val="006A182D"/>
    <w:rsid w:val="006A2957"/>
    <w:rsid w:val="006A2AED"/>
    <w:rsid w:val="006A32E5"/>
    <w:rsid w:val="006A3568"/>
    <w:rsid w:val="006A40EC"/>
    <w:rsid w:val="006A4217"/>
    <w:rsid w:val="006A473E"/>
    <w:rsid w:val="006A4FD4"/>
    <w:rsid w:val="006A5441"/>
    <w:rsid w:val="006A5949"/>
    <w:rsid w:val="006A5D25"/>
    <w:rsid w:val="006A65C8"/>
    <w:rsid w:val="006A67BF"/>
    <w:rsid w:val="006B0043"/>
    <w:rsid w:val="006B008B"/>
    <w:rsid w:val="006B0DF7"/>
    <w:rsid w:val="006B18FD"/>
    <w:rsid w:val="006B19D9"/>
    <w:rsid w:val="006B1CEC"/>
    <w:rsid w:val="006B2B86"/>
    <w:rsid w:val="006B2B99"/>
    <w:rsid w:val="006B2EFF"/>
    <w:rsid w:val="006B3C70"/>
    <w:rsid w:val="006B4107"/>
    <w:rsid w:val="006B418A"/>
    <w:rsid w:val="006B44B0"/>
    <w:rsid w:val="006B4575"/>
    <w:rsid w:val="006B4E0D"/>
    <w:rsid w:val="006B52AE"/>
    <w:rsid w:val="006B5EE3"/>
    <w:rsid w:val="006B65B7"/>
    <w:rsid w:val="006B6882"/>
    <w:rsid w:val="006B6B5F"/>
    <w:rsid w:val="006B6C1E"/>
    <w:rsid w:val="006B7550"/>
    <w:rsid w:val="006B7E1E"/>
    <w:rsid w:val="006C0194"/>
    <w:rsid w:val="006C0330"/>
    <w:rsid w:val="006C0583"/>
    <w:rsid w:val="006C0917"/>
    <w:rsid w:val="006C16A4"/>
    <w:rsid w:val="006C1AAD"/>
    <w:rsid w:val="006C2543"/>
    <w:rsid w:val="006C2D3F"/>
    <w:rsid w:val="006C319B"/>
    <w:rsid w:val="006C374C"/>
    <w:rsid w:val="006C375A"/>
    <w:rsid w:val="006C4041"/>
    <w:rsid w:val="006C41BC"/>
    <w:rsid w:val="006C440D"/>
    <w:rsid w:val="006C4CEF"/>
    <w:rsid w:val="006C4D96"/>
    <w:rsid w:val="006C591C"/>
    <w:rsid w:val="006C5BB4"/>
    <w:rsid w:val="006C5BC1"/>
    <w:rsid w:val="006C63C5"/>
    <w:rsid w:val="006C7359"/>
    <w:rsid w:val="006C7450"/>
    <w:rsid w:val="006C7676"/>
    <w:rsid w:val="006C7683"/>
    <w:rsid w:val="006C788C"/>
    <w:rsid w:val="006C7945"/>
    <w:rsid w:val="006C7FAF"/>
    <w:rsid w:val="006D011E"/>
    <w:rsid w:val="006D06C0"/>
    <w:rsid w:val="006D0A6F"/>
    <w:rsid w:val="006D1741"/>
    <w:rsid w:val="006D20FB"/>
    <w:rsid w:val="006D2350"/>
    <w:rsid w:val="006D2935"/>
    <w:rsid w:val="006D2C14"/>
    <w:rsid w:val="006D2E31"/>
    <w:rsid w:val="006D3A80"/>
    <w:rsid w:val="006D42DA"/>
    <w:rsid w:val="006D4CB2"/>
    <w:rsid w:val="006D5214"/>
    <w:rsid w:val="006D654A"/>
    <w:rsid w:val="006D654F"/>
    <w:rsid w:val="006D6DE6"/>
    <w:rsid w:val="006D7472"/>
    <w:rsid w:val="006D781A"/>
    <w:rsid w:val="006D78CE"/>
    <w:rsid w:val="006E041E"/>
    <w:rsid w:val="006E0651"/>
    <w:rsid w:val="006E1226"/>
    <w:rsid w:val="006E19A0"/>
    <w:rsid w:val="006E1D8D"/>
    <w:rsid w:val="006E2D66"/>
    <w:rsid w:val="006E2FE0"/>
    <w:rsid w:val="006E31A5"/>
    <w:rsid w:val="006E34A3"/>
    <w:rsid w:val="006E403B"/>
    <w:rsid w:val="006E494A"/>
    <w:rsid w:val="006E49C2"/>
    <w:rsid w:val="006E5B5B"/>
    <w:rsid w:val="006E664F"/>
    <w:rsid w:val="006E6C77"/>
    <w:rsid w:val="006E6D2F"/>
    <w:rsid w:val="006E6FF3"/>
    <w:rsid w:val="006E7133"/>
    <w:rsid w:val="006E737A"/>
    <w:rsid w:val="006F0DEF"/>
    <w:rsid w:val="006F1490"/>
    <w:rsid w:val="006F1815"/>
    <w:rsid w:val="006F1A27"/>
    <w:rsid w:val="006F1AD2"/>
    <w:rsid w:val="006F2323"/>
    <w:rsid w:val="006F2AAD"/>
    <w:rsid w:val="006F2ABC"/>
    <w:rsid w:val="006F2E48"/>
    <w:rsid w:val="006F3659"/>
    <w:rsid w:val="006F581D"/>
    <w:rsid w:val="006F58C4"/>
    <w:rsid w:val="006F5B15"/>
    <w:rsid w:val="006F5DD1"/>
    <w:rsid w:val="006F62C2"/>
    <w:rsid w:val="006F655F"/>
    <w:rsid w:val="006F6973"/>
    <w:rsid w:val="006F6F27"/>
    <w:rsid w:val="006F75D7"/>
    <w:rsid w:val="00700FCC"/>
    <w:rsid w:val="00701CD5"/>
    <w:rsid w:val="00701D43"/>
    <w:rsid w:val="00702714"/>
    <w:rsid w:val="00702BC2"/>
    <w:rsid w:val="00703043"/>
    <w:rsid w:val="00703304"/>
    <w:rsid w:val="007036C7"/>
    <w:rsid w:val="00704087"/>
    <w:rsid w:val="00704439"/>
    <w:rsid w:val="007046CA"/>
    <w:rsid w:val="00704C07"/>
    <w:rsid w:val="00704FB4"/>
    <w:rsid w:val="00705207"/>
    <w:rsid w:val="00705444"/>
    <w:rsid w:val="00705815"/>
    <w:rsid w:val="00705D86"/>
    <w:rsid w:val="00707178"/>
    <w:rsid w:val="00710014"/>
    <w:rsid w:val="0071145B"/>
    <w:rsid w:val="00712612"/>
    <w:rsid w:val="00712BA4"/>
    <w:rsid w:val="00713A55"/>
    <w:rsid w:val="00714407"/>
    <w:rsid w:val="00715340"/>
    <w:rsid w:val="007162A5"/>
    <w:rsid w:val="00716453"/>
    <w:rsid w:val="00716483"/>
    <w:rsid w:val="0071707D"/>
    <w:rsid w:val="00717593"/>
    <w:rsid w:val="00717932"/>
    <w:rsid w:val="00717A26"/>
    <w:rsid w:val="00717D98"/>
    <w:rsid w:val="007201F2"/>
    <w:rsid w:val="0072152E"/>
    <w:rsid w:val="00721954"/>
    <w:rsid w:val="00721BB5"/>
    <w:rsid w:val="00721E9E"/>
    <w:rsid w:val="00721FB9"/>
    <w:rsid w:val="00722D11"/>
    <w:rsid w:val="0072387B"/>
    <w:rsid w:val="00724151"/>
    <w:rsid w:val="007247B8"/>
    <w:rsid w:val="00724902"/>
    <w:rsid w:val="00724C44"/>
    <w:rsid w:val="00724D0C"/>
    <w:rsid w:val="00724ECD"/>
    <w:rsid w:val="007254C3"/>
    <w:rsid w:val="00725708"/>
    <w:rsid w:val="00725B1D"/>
    <w:rsid w:val="00725C53"/>
    <w:rsid w:val="00726876"/>
    <w:rsid w:val="00726FB2"/>
    <w:rsid w:val="007273C4"/>
    <w:rsid w:val="007279D3"/>
    <w:rsid w:val="00727D15"/>
    <w:rsid w:val="00731C9B"/>
    <w:rsid w:val="007325ED"/>
    <w:rsid w:val="00732645"/>
    <w:rsid w:val="007347EB"/>
    <w:rsid w:val="00735366"/>
    <w:rsid w:val="0073559B"/>
    <w:rsid w:val="007356A5"/>
    <w:rsid w:val="00735A11"/>
    <w:rsid w:val="00735C1D"/>
    <w:rsid w:val="00736183"/>
    <w:rsid w:val="00736502"/>
    <w:rsid w:val="00736CF9"/>
    <w:rsid w:val="00736ED5"/>
    <w:rsid w:val="00736EF4"/>
    <w:rsid w:val="007406EA"/>
    <w:rsid w:val="007407BE"/>
    <w:rsid w:val="00740C70"/>
    <w:rsid w:val="00740E20"/>
    <w:rsid w:val="00741197"/>
    <w:rsid w:val="00741260"/>
    <w:rsid w:val="0074177B"/>
    <w:rsid w:val="00741EF4"/>
    <w:rsid w:val="007425C1"/>
    <w:rsid w:val="00742887"/>
    <w:rsid w:val="00742961"/>
    <w:rsid w:val="00742DE2"/>
    <w:rsid w:val="00742F2A"/>
    <w:rsid w:val="007432B9"/>
    <w:rsid w:val="007441E0"/>
    <w:rsid w:val="00744746"/>
    <w:rsid w:val="00745ABF"/>
    <w:rsid w:val="0074603A"/>
    <w:rsid w:val="00746B0A"/>
    <w:rsid w:val="00746FDF"/>
    <w:rsid w:val="00747176"/>
    <w:rsid w:val="00747E8F"/>
    <w:rsid w:val="007507A4"/>
    <w:rsid w:val="00751076"/>
    <w:rsid w:val="00751594"/>
    <w:rsid w:val="007518C4"/>
    <w:rsid w:val="007525DA"/>
    <w:rsid w:val="0075274B"/>
    <w:rsid w:val="0075320D"/>
    <w:rsid w:val="00753A94"/>
    <w:rsid w:val="00753C8F"/>
    <w:rsid w:val="0075412F"/>
    <w:rsid w:val="00754659"/>
    <w:rsid w:val="007547FD"/>
    <w:rsid w:val="00754C5D"/>
    <w:rsid w:val="00754DA2"/>
    <w:rsid w:val="0075577E"/>
    <w:rsid w:val="0075590B"/>
    <w:rsid w:val="0075615C"/>
    <w:rsid w:val="007569AE"/>
    <w:rsid w:val="007576F1"/>
    <w:rsid w:val="00757FE2"/>
    <w:rsid w:val="0076050B"/>
    <w:rsid w:val="00760E58"/>
    <w:rsid w:val="00761807"/>
    <w:rsid w:val="00761EB7"/>
    <w:rsid w:val="00762392"/>
    <w:rsid w:val="007624A6"/>
    <w:rsid w:val="007624A7"/>
    <w:rsid w:val="0076305D"/>
    <w:rsid w:val="0076319B"/>
    <w:rsid w:val="0076355D"/>
    <w:rsid w:val="00764BAB"/>
    <w:rsid w:val="00764BC7"/>
    <w:rsid w:val="00765CBF"/>
    <w:rsid w:val="00766859"/>
    <w:rsid w:val="007672A9"/>
    <w:rsid w:val="007673DA"/>
    <w:rsid w:val="0076767C"/>
    <w:rsid w:val="00770B31"/>
    <w:rsid w:val="00770BE2"/>
    <w:rsid w:val="007711AF"/>
    <w:rsid w:val="0077166F"/>
    <w:rsid w:val="007723BD"/>
    <w:rsid w:val="00772614"/>
    <w:rsid w:val="007729F0"/>
    <w:rsid w:val="00772E9D"/>
    <w:rsid w:val="00773087"/>
    <w:rsid w:val="00773660"/>
    <w:rsid w:val="00773D3D"/>
    <w:rsid w:val="00774538"/>
    <w:rsid w:val="0077456C"/>
    <w:rsid w:val="007746E7"/>
    <w:rsid w:val="007748A3"/>
    <w:rsid w:val="00774D36"/>
    <w:rsid w:val="00774FEA"/>
    <w:rsid w:val="007754BB"/>
    <w:rsid w:val="00775840"/>
    <w:rsid w:val="00775A57"/>
    <w:rsid w:val="00775C26"/>
    <w:rsid w:val="00775D1F"/>
    <w:rsid w:val="0077672C"/>
    <w:rsid w:val="0077677F"/>
    <w:rsid w:val="007768E1"/>
    <w:rsid w:val="007769E1"/>
    <w:rsid w:val="00776E47"/>
    <w:rsid w:val="00777309"/>
    <w:rsid w:val="007773A1"/>
    <w:rsid w:val="00777894"/>
    <w:rsid w:val="00780BD9"/>
    <w:rsid w:val="00780F30"/>
    <w:rsid w:val="00781777"/>
    <w:rsid w:val="00781900"/>
    <w:rsid w:val="00781D00"/>
    <w:rsid w:val="0078200B"/>
    <w:rsid w:val="00782A64"/>
    <w:rsid w:val="00782D9B"/>
    <w:rsid w:val="00782FD2"/>
    <w:rsid w:val="0078340F"/>
    <w:rsid w:val="007835F3"/>
    <w:rsid w:val="00783BC5"/>
    <w:rsid w:val="00783D7C"/>
    <w:rsid w:val="00783F1F"/>
    <w:rsid w:val="00784438"/>
    <w:rsid w:val="00784A82"/>
    <w:rsid w:val="00784AC9"/>
    <w:rsid w:val="00785922"/>
    <w:rsid w:val="007863ED"/>
    <w:rsid w:val="00786622"/>
    <w:rsid w:val="00786DCE"/>
    <w:rsid w:val="007872C0"/>
    <w:rsid w:val="00787F03"/>
    <w:rsid w:val="00790300"/>
    <w:rsid w:val="00790E6E"/>
    <w:rsid w:val="00791758"/>
    <w:rsid w:val="007918E0"/>
    <w:rsid w:val="00792258"/>
    <w:rsid w:val="0079239E"/>
    <w:rsid w:val="00792780"/>
    <w:rsid w:val="00792823"/>
    <w:rsid w:val="0079308C"/>
    <w:rsid w:val="0079350E"/>
    <w:rsid w:val="0079367D"/>
    <w:rsid w:val="00793A28"/>
    <w:rsid w:val="0079439B"/>
    <w:rsid w:val="007945C5"/>
    <w:rsid w:val="00794CC5"/>
    <w:rsid w:val="00794D6C"/>
    <w:rsid w:val="0079520F"/>
    <w:rsid w:val="00795DDD"/>
    <w:rsid w:val="00796076"/>
    <w:rsid w:val="00797346"/>
    <w:rsid w:val="00797584"/>
    <w:rsid w:val="00797B62"/>
    <w:rsid w:val="00797BD5"/>
    <w:rsid w:val="007A019D"/>
    <w:rsid w:val="007A0625"/>
    <w:rsid w:val="007A10ED"/>
    <w:rsid w:val="007A1D78"/>
    <w:rsid w:val="007A281D"/>
    <w:rsid w:val="007A2E3F"/>
    <w:rsid w:val="007A2F7D"/>
    <w:rsid w:val="007A3BC7"/>
    <w:rsid w:val="007A3C6E"/>
    <w:rsid w:val="007A48B5"/>
    <w:rsid w:val="007A5268"/>
    <w:rsid w:val="007A5AA5"/>
    <w:rsid w:val="007A615D"/>
    <w:rsid w:val="007A655E"/>
    <w:rsid w:val="007A69FE"/>
    <w:rsid w:val="007A6E2E"/>
    <w:rsid w:val="007A7333"/>
    <w:rsid w:val="007A74C5"/>
    <w:rsid w:val="007A79B9"/>
    <w:rsid w:val="007A7D13"/>
    <w:rsid w:val="007B0263"/>
    <w:rsid w:val="007B0710"/>
    <w:rsid w:val="007B0D3F"/>
    <w:rsid w:val="007B1484"/>
    <w:rsid w:val="007B1496"/>
    <w:rsid w:val="007B166B"/>
    <w:rsid w:val="007B1BDB"/>
    <w:rsid w:val="007B2374"/>
    <w:rsid w:val="007B24D2"/>
    <w:rsid w:val="007B2E2C"/>
    <w:rsid w:val="007B3850"/>
    <w:rsid w:val="007B4513"/>
    <w:rsid w:val="007B49FA"/>
    <w:rsid w:val="007B4ABA"/>
    <w:rsid w:val="007B4CC4"/>
    <w:rsid w:val="007B5019"/>
    <w:rsid w:val="007B53E1"/>
    <w:rsid w:val="007B57BB"/>
    <w:rsid w:val="007B5E85"/>
    <w:rsid w:val="007B5FAA"/>
    <w:rsid w:val="007B67FC"/>
    <w:rsid w:val="007B6A2A"/>
    <w:rsid w:val="007B6BBE"/>
    <w:rsid w:val="007B6D1A"/>
    <w:rsid w:val="007B7119"/>
    <w:rsid w:val="007C0B9E"/>
    <w:rsid w:val="007C0C06"/>
    <w:rsid w:val="007C124B"/>
    <w:rsid w:val="007C176B"/>
    <w:rsid w:val="007C1A22"/>
    <w:rsid w:val="007C27A5"/>
    <w:rsid w:val="007C2B76"/>
    <w:rsid w:val="007C4456"/>
    <w:rsid w:val="007C47E9"/>
    <w:rsid w:val="007C4BF2"/>
    <w:rsid w:val="007C505B"/>
    <w:rsid w:val="007C52AD"/>
    <w:rsid w:val="007C56E4"/>
    <w:rsid w:val="007C5A9C"/>
    <w:rsid w:val="007C5D3D"/>
    <w:rsid w:val="007C60A4"/>
    <w:rsid w:val="007C61F1"/>
    <w:rsid w:val="007C63F1"/>
    <w:rsid w:val="007C6A6F"/>
    <w:rsid w:val="007C780B"/>
    <w:rsid w:val="007C7839"/>
    <w:rsid w:val="007C7877"/>
    <w:rsid w:val="007C7A73"/>
    <w:rsid w:val="007C7E29"/>
    <w:rsid w:val="007C7ECC"/>
    <w:rsid w:val="007C7F28"/>
    <w:rsid w:val="007C7F45"/>
    <w:rsid w:val="007D01FE"/>
    <w:rsid w:val="007D03AB"/>
    <w:rsid w:val="007D26D6"/>
    <w:rsid w:val="007D2837"/>
    <w:rsid w:val="007D2AEB"/>
    <w:rsid w:val="007D2FC6"/>
    <w:rsid w:val="007D3ED4"/>
    <w:rsid w:val="007D40F0"/>
    <w:rsid w:val="007D457A"/>
    <w:rsid w:val="007D4DD6"/>
    <w:rsid w:val="007D55C6"/>
    <w:rsid w:val="007D5611"/>
    <w:rsid w:val="007D5639"/>
    <w:rsid w:val="007D5E9C"/>
    <w:rsid w:val="007D7782"/>
    <w:rsid w:val="007D7EC5"/>
    <w:rsid w:val="007E0109"/>
    <w:rsid w:val="007E1429"/>
    <w:rsid w:val="007E1EEB"/>
    <w:rsid w:val="007E1EED"/>
    <w:rsid w:val="007E253D"/>
    <w:rsid w:val="007E30DE"/>
    <w:rsid w:val="007E36A8"/>
    <w:rsid w:val="007E438F"/>
    <w:rsid w:val="007E4531"/>
    <w:rsid w:val="007E456C"/>
    <w:rsid w:val="007E4C51"/>
    <w:rsid w:val="007E4CCB"/>
    <w:rsid w:val="007E51E7"/>
    <w:rsid w:val="007E5340"/>
    <w:rsid w:val="007E5438"/>
    <w:rsid w:val="007E5A4E"/>
    <w:rsid w:val="007E5FAC"/>
    <w:rsid w:val="007E6512"/>
    <w:rsid w:val="007E670C"/>
    <w:rsid w:val="007E68D8"/>
    <w:rsid w:val="007E739A"/>
    <w:rsid w:val="007E73B5"/>
    <w:rsid w:val="007F02ED"/>
    <w:rsid w:val="007F0730"/>
    <w:rsid w:val="007F0A1F"/>
    <w:rsid w:val="007F134B"/>
    <w:rsid w:val="007F1983"/>
    <w:rsid w:val="007F27D8"/>
    <w:rsid w:val="007F2F03"/>
    <w:rsid w:val="007F309F"/>
    <w:rsid w:val="007F3766"/>
    <w:rsid w:val="007F3BAE"/>
    <w:rsid w:val="007F4633"/>
    <w:rsid w:val="007F4D7B"/>
    <w:rsid w:val="007F55C6"/>
    <w:rsid w:val="007F55FC"/>
    <w:rsid w:val="007F571C"/>
    <w:rsid w:val="007F5863"/>
    <w:rsid w:val="007F5BAC"/>
    <w:rsid w:val="007F5C8D"/>
    <w:rsid w:val="007F5E31"/>
    <w:rsid w:val="007F6144"/>
    <w:rsid w:val="007F62A6"/>
    <w:rsid w:val="007F635F"/>
    <w:rsid w:val="007F65EF"/>
    <w:rsid w:val="007F66B1"/>
    <w:rsid w:val="007F73A2"/>
    <w:rsid w:val="007F79C5"/>
    <w:rsid w:val="007F79DB"/>
    <w:rsid w:val="007F7D90"/>
    <w:rsid w:val="00800FAF"/>
    <w:rsid w:val="00801D74"/>
    <w:rsid w:val="008023A6"/>
    <w:rsid w:val="0080298D"/>
    <w:rsid w:val="008029F6"/>
    <w:rsid w:val="00802B71"/>
    <w:rsid w:val="00802CA7"/>
    <w:rsid w:val="00803A8A"/>
    <w:rsid w:val="00803AB5"/>
    <w:rsid w:val="00803ECF"/>
    <w:rsid w:val="00804569"/>
    <w:rsid w:val="00804AC4"/>
    <w:rsid w:val="00805626"/>
    <w:rsid w:val="00805C85"/>
    <w:rsid w:val="00806331"/>
    <w:rsid w:val="00806E5D"/>
    <w:rsid w:val="00807A65"/>
    <w:rsid w:val="008106E2"/>
    <w:rsid w:val="008109C8"/>
    <w:rsid w:val="00810B1A"/>
    <w:rsid w:val="00810F8E"/>
    <w:rsid w:val="00811229"/>
    <w:rsid w:val="00811569"/>
    <w:rsid w:val="0081170B"/>
    <w:rsid w:val="00811AA3"/>
    <w:rsid w:val="00811E1E"/>
    <w:rsid w:val="008124CC"/>
    <w:rsid w:val="008127A6"/>
    <w:rsid w:val="00812BC6"/>
    <w:rsid w:val="00812C38"/>
    <w:rsid w:val="00812CDA"/>
    <w:rsid w:val="008130A3"/>
    <w:rsid w:val="00813A88"/>
    <w:rsid w:val="00813B78"/>
    <w:rsid w:val="00813C58"/>
    <w:rsid w:val="008141A3"/>
    <w:rsid w:val="0081517A"/>
    <w:rsid w:val="00815FE1"/>
    <w:rsid w:val="0081760C"/>
    <w:rsid w:val="0081783A"/>
    <w:rsid w:val="00817B3D"/>
    <w:rsid w:val="00820283"/>
    <w:rsid w:val="00820449"/>
    <w:rsid w:val="0082061B"/>
    <w:rsid w:val="00820C04"/>
    <w:rsid w:val="00821508"/>
    <w:rsid w:val="00821C1A"/>
    <w:rsid w:val="00821CFD"/>
    <w:rsid w:val="008221E4"/>
    <w:rsid w:val="0082229C"/>
    <w:rsid w:val="008224E4"/>
    <w:rsid w:val="00822C96"/>
    <w:rsid w:val="00823234"/>
    <w:rsid w:val="0082339D"/>
    <w:rsid w:val="008239AD"/>
    <w:rsid w:val="00823A88"/>
    <w:rsid w:val="00823E64"/>
    <w:rsid w:val="00823F4A"/>
    <w:rsid w:val="00824EB8"/>
    <w:rsid w:val="00825AED"/>
    <w:rsid w:val="008261CD"/>
    <w:rsid w:val="008263A0"/>
    <w:rsid w:val="0082680A"/>
    <w:rsid w:val="0082731A"/>
    <w:rsid w:val="0082776D"/>
    <w:rsid w:val="008278B9"/>
    <w:rsid w:val="00827908"/>
    <w:rsid w:val="00827F24"/>
    <w:rsid w:val="00830351"/>
    <w:rsid w:val="00830491"/>
    <w:rsid w:val="008307A7"/>
    <w:rsid w:val="00830FB8"/>
    <w:rsid w:val="00831D72"/>
    <w:rsid w:val="00832685"/>
    <w:rsid w:val="00832A94"/>
    <w:rsid w:val="00834262"/>
    <w:rsid w:val="00834891"/>
    <w:rsid w:val="008349D2"/>
    <w:rsid w:val="008349D8"/>
    <w:rsid w:val="00835132"/>
    <w:rsid w:val="00835DD6"/>
    <w:rsid w:val="00836028"/>
    <w:rsid w:val="008360AE"/>
    <w:rsid w:val="00837F25"/>
    <w:rsid w:val="00840313"/>
    <w:rsid w:val="008404CB"/>
    <w:rsid w:val="008408BB"/>
    <w:rsid w:val="00840984"/>
    <w:rsid w:val="00840B97"/>
    <w:rsid w:val="00840F42"/>
    <w:rsid w:val="0084144F"/>
    <w:rsid w:val="008419CB"/>
    <w:rsid w:val="00841FC8"/>
    <w:rsid w:val="008425F4"/>
    <w:rsid w:val="008429AA"/>
    <w:rsid w:val="00842CED"/>
    <w:rsid w:val="0084347D"/>
    <w:rsid w:val="00843DA7"/>
    <w:rsid w:val="00844355"/>
    <w:rsid w:val="00844361"/>
    <w:rsid w:val="0084462D"/>
    <w:rsid w:val="0084559B"/>
    <w:rsid w:val="00845908"/>
    <w:rsid w:val="00845CBB"/>
    <w:rsid w:val="00847245"/>
    <w:rsid w:val="00847506"/>
    <w:rsid w:val="00847BD7"/>
    <w:rsid w:val="00847E3D"/>
    <w:rsid w:val="00850627"/>
    <w:rsid w:val="00850FE1"/>
    <w:rsid w:val="00850FF6"/>
    <w:rsid w:val="008523A6"/>
    <w:rsid w:val="00852BA5"/>
    <w:rsid w:val="00852E12"/>
    <w:rsid w:val="0085358C"/>
    <w:rsid w:val="0085366E"/>
    <w:rsid w:val="00853CCF"/>
    <w:rsid w:val="00854667"/>
    <w:rsid w:val="008548A4"/>
    <w:rsid w:val="0085509A"/>
    <w:rsid w:val="008550F5"/>
    <w:rsid w:val="008552C2"/>
    <w:rsid w:val="00855DD6"/>
    <w:rsid w:val="00856BEB"/>
    <w:rsid w:val="0085740D"/>
    <w:rsid w:val="00857652"/>
    <w:rsid w:val="00860392"/>
    <w:rsid w:val="00860576"/>
    <w:rsid w:val="00860932"/>
    <w:rsid w:val="0086100E"/>
    <w:rsid w:val="00861022"/>
    <w:rsid w:val="00861B5D"/>
    <w:rsid w:val="00861BC4"/>
    <w:rsid w:val="00862A71"/>
    <w:rsid w:val="00863047"/>
    <w:rsid w:val="00863899"/>
    <w:rsid w:val="00863D3A"/>
    <w:rsid w:val="00864019"/>
    <w:rsid w:val="008648D8"/>
    <w:rsid w:val="00864BC2"/>
    <w:rsid w:val="00865BCD"/>
    <w:rsid w:val="00866A2C"/>
    <w:rsid w:val="00866D93"/>
    <w:rsid w:val="00867F9F"/>
    <w:rsid w:val="00870192"/>
    <w:rsid w:val="00870ABA"/>
    <w:rsid w:val="00871A2A"/>
    <w:rsid w:val="00871B48"/>
    <w:rsid w:val="00871E6D"/>
    <w:rsid w:val="0087266F"/>
    <w:rsid w:val="00872D0A"/>
    <w:rsid w:val="00872DB2"/>
    <w:rsid w:val="00873A94"/>
    <w:rsid w:val="00874065"/>
    <w:rsid w:val="00874322"/>
    <w:rsid w:val="00875085"/>
    <w:rsid w:val="00875125"/>
    <w:rsid w:val="00875C61"/>
    <w:rsid w:val="008761C7"/>
    <w:rsid w:val="00876BAB"/>
    <w:rsid w:val="00876CBA"/>
    <w:rsid w:val="00877396"/>
    <w:rsid w:val="00877509"/>
    <w:rsid w:val="00877551"/>
    <w:rsid w:val="0087767E"/>
    <w:rsid w:val="008776CA"/>
    <w:rsid w:val="00880FBE"/>
    <w:rsid w:val="008813B5"/>
    <w:rsid w:val="0088176E"/>
    <w:rsid w:val="00882365"/>
    <w:rsid w:val="00882755"/>
    <w:rsid w:val="0088282E"/>
    <w:rsid w:val="00882D5F"/>
    <w:rsid w:val="00884ADD"/>
    <w:rsid w:val="00884E1E"/>
    <w:rsid w:val="00884F9A"/>
    <w:rsid w:val="0088513D"/>
    <w:rsid w:val="0088561C"/>
    <w:rsid w:val="00885AC6"/>
    <w:rsid w:val="00885F39"/>
    <w:rsid w:val="008863AF"/>
    <w:rsid w:val="0088715A"/>
    <w:rsid w:val="0088798D"/>
    <w:rsid w:val="00887DC0"/>
    <w:rsid w:val="00891198"/>
    <w:rsid w:val="00891437"/>
    <w:rsid w:val="00891D8C"/>
    <w:rsid w:val="00891ECA"/>
    <w:rsid w:val="00891F0F"/>
    <w:rsid w:val="008930E6"/>
    <w:rsid w:val="0089313E"/>
    <w:rsid w:val="00893C6F"/>
    <w:rsid w:val="00893D2D"/>
    <w:rsid w:val="00895581"/>
    <w:rsid w:val="00895888"/>
    <w:rsid w:val="00895EE8"/>
    <w:rsid w:val="00895F7F"/>
    <w:rsid w:val="00896CDA"/>
    <w:rsid w:val="00897AA7"/>
    <w:rsid w:val="00897CBD"/>
    <w:rsid w:val="008A01D0"/>
    <w:rsid w:val="008A05C9"/>
    <w:rsid w:val="008A0D8F"/>
    <w:rsid w:val="008A1079"/>
    <w:rsid w:val="008A1305"/>
    <w:rsid w:val="008A18A3"/>
    <w:rsid w:val="008A1CEB"/>
    <w:rsid w:val="008A2240"/>
    <w:rsid w:val="008A24AE"/>
    <w:rsid w:val="008A24DE"/>
    <w:rsid w:val="008A2B33"/>
    <w:rsid w:val="008A31D1"/>
    <w:rsid w:val="008A3583"/>
    <w:rsid w:val="008A36D1"/>
    <w:rsid w:val="008A3881"/>
    <w:rsid w:val="008A3A7D"/>
    <w:rsid w:val="008A3FB2"/>
    <w:rsid w:val="008A4CF2"/>
    <w:rsid w:val="008A523A"/>
    <w:rsid w:val="008A5908"/>
    <w:rsid w:val="008A604B"/>
    <w:rsid w:val="008A6C22"/>
    <w:rsid w:val="008A749A"/>
    <w:rsid w:val="008A7D2A"/>
    <w:rsid w:val="008A7EE0"/>
    <w:rsid w:val="008B0CD3"/>
    <w:rsid w:val="008B0DF6"/>
    <w:rsid w:val="008B0F0B"/>
    <w:rsid w:val="008B1124"/>
    <w:rsid w:val="008B15CE"/>
    <w:rsid w:val="008B23CB"/>
    <w:rsid w:val="008B26EC"/>
    <w:rsid w:val="008B3187"/>
    <w:rsid w:val="008B3574"/>
    <w:rsid w:val="008B37D2"/>
    <w:rsid w:val="008B3889"/>
    <w:rsid w:val="008B3C59"/>
    <w:rsid w:val="008B3DA7"/>
    <w:rsid w:val="008B4668"/>
    <w:rsid w:val="008B51B2"/>
    <w:rsid w:val="008B52F9"/>
    <w:rsid w:val="008B66F6"/>
    <w:rsid w:val="008B7409"/>
    <w:rsid w:val="008B7855"/>
    <w:rsid w:val="008B78D3"/>
    <w:rsid w:val="008B7FB9"/>
    <w:rsid w:val="008C0D0A"/>
    <w:rsid w:val="008C1777"/>
    <w:rsid w:val="008C1B0F"/>
    <w:rsid w:val="008C22A4"/>
    <w:rsid w:val="008C34C7"/>
    <w:rsid w:val="008C4280"/>
    <w:rsid w:val="008C4574"/>
    <w:rsid w:val="008C4914"/>
    <w:rsid w:val="008C6C7B"/>
    <w:rsid w:val="008C709C"/>
    <w:rsid w:val="008C7357"/>
    <w:rsid w:val="008C77DA"/>
    <w:rsid w:val="008C7D90"/>
    <w:rsid w:val="008D05CC"/>
    <w:rsid w:val="008D1017"/>
    <w:rsid w:val="008D1E2E"/>
    <w:rsid w:val="008D20D7"/>
    <w:rsid w:val="008D20E8"/>
    <w:rsid w:val="008D2C51"/>
    <w:rsid w:val="008D3504"/>
    <w:rsid w:val="008D36A0"/>
    <w:rsid w:val="008D38A7"/>
    <w:rsid w:val="008D3F01"/>
    <w:rsid w:val="008D42BB"/>
    <w:rsid w:val="008D51CB"/>
    <w:rsid w:val="008D5410"/>
    <w:rsid w:val="008D542F"/>
    <w:rsid w:val="008D5D05"/>
    <w:rsid w:val="008D602F"/>
    <w:rsid w:val="008D6503"/>
    <w:rsid w:val="008D6A0A"/>
    <w:rsid w:val="008D713E"/>
    <w:rsid w:val="008D7190"/>
    <w:rsid w:val="008D71F7"/>
    <w:rsid w:val="008E0596"/>
    <w:rsid w:val="008E0ECF"/>
    <w:rsid w:val="008E1095"/>
    <w:rsid w:val="008E1447"/>
    <w:rsid w:val="008E1ABC"/>
    <w:rsid w:val="008E1D8F"/>
    <w:rsid w:val="008E21BC"/>
    <w:rsid w:val="008E273C"/>
    <w:rsid w:val="008E2A84"/>
    <w:rsid w:val="008E2AB4"/>
    <w:rsid w:val="008E2B62"/>
    <w:rsid w:val="008E316E"/>
    <w:rsid w:val="008E37C5"/>
    <w:rsid w:val="008E3A2A"/>
    <w:rsid w:val="008E4B2C"/>
    <w:rsid w:val="008E558E"/>
    <w:rsid w:val="008E690F"/>
    <w:rsid w:val="008E7E49"/>
    <w:rsid w:val="008E7EE5"/>
    <w:rsid w:val="008F0240"/>
    <w:rsid w:val="008F0823"/>
    <w:rsid w:val="008F0D12"/>
    <w:rsid w:val="008F0E84"/>
    <w:rsid w:val="008F1F22"/>
    <w:rsid w:val="008F2902"/>
    <w:rsid w:val="008F296F"/>
    <w:rsid w:val="008F2CAD"/>
    <w:rsid w:val="008F2D80"/>
    <w:rsid w:val="008F31DE"/>
    <w:rsid w:val="008F3250"/>
    <w:rsid w:val="008F3CDD"/>
    <w:rsid w:val="008F4B6F"/>
    <w:rsid w:val="008F512A"/>
    <w:rsid w:val="008F621B"/>
    <w:rsid w:val="008F6226"/>
    <w:rsid w:val="008F642C"/>
    <w:rsid w:val="008F6569"/>
    <w:rsid w:val="008F6828"/>
    <w:rsid w:val="008F6A97"/>
    <w:rsid w:val="008F71C6"/>
    <w:rsid w:val="008F7AA2"/>
    <w:rsid w:val="008F7F57"/>
    <w:rsid w:val="00900673"/>
    <w:rsid w:val="00900778"/>
    <w:rsid w:val="00900883"/>
    <w:rsid w:val="00901352"/>
    <w:rsid w:val="00901AF8"/>
    <w:rsid w:val="0090233B"/>
    <w:rsid w:val="009023CD"/>
    <w:rsid w:val="00902450"/>
    <w:rsid w:val="009026BA"/>
    <w:rsid w:val="00902806"/>
    <w:rsid w:val="00902DB0"/>
    <w:rsid w:val="009031DC"/>
    <w:rsid w:val="00903333"/>
    <w:rsid w:val="00903BAA"/>
    <w:rsid w:val="00904534"/>
    <w:rsid w:val="00904826"/>
    <w:rsid w:val="009048B6"/>
    <w:rsid w:val="00904A5A"/>
    <w:rsid w:val="0090517B"/>
    <w:rsid w:val="009058B5"/>
    <w:rsid w:val="00905B71"/>
    <w:rsid w:val="00905C28"/>
    <w:rsid w:val="0090657C"/>
    <w:rsid w:val="00906C03"/>
    <w:rsid w:val="00906EDC"/>
    <w:rsid w:val="00907571"/>
    <w:rsid w:val="00907661"/>
    <w:rsid w:val="00907997"/>
    <w:rsid w:val="00907F0D"/>
    <w:rsid w:val="00907F9D"/>
    <w:rsid w:val="00910575"/>
    <w:rsid w:val="00910EA3"/>
    <w:rsid w:val="00911C56"/>
    <w:rsid w:val="00911DD6"/>
    <w:rsid w:val="009122DF"/>
    <w:rsid w:val="009130EA"/>
    <w:rsid w:val="009135DB"/>
    <w:rsid w:val="00913A61"/>
    <w:rsid w:val="00913F77"/>
    <w:rsid w:val="0091455E"/>
    <w:rsid w:val="009149EB"/>
    <w:rsid w:val="0091556C"/>
    <w:rsid w:val="0091569D"/>
    <w:rsid w:val="0091618C"/>
    <w:rsid w:val="00916817"/>
    <w:rsid w:val="00916BA8"/>
    <w:rsid w:val="00917934"/>
    <w:rsid w:val="009200E7"/>
    <w:rsid w:val="00920220"/>
    <w:rsid w:val="0092044D"/>
    <w:rsid w:val="00920526"/>
    <w:rsid w:val="009208CF"/>
    <w:rsid w:val="00920C8C"/>
    <w:rsid w:val="00920DA9"/>
    <w:rsid w:val="0092117B"/>
    <w:rsid w:val="00921C78"/>
    <w:rsid w:val="00921C79"/>
    <w:rsid w:val="00921E44"/>
    <w:rsid w:val="009225FF"/>
    <w:rsid w:val="00922B8C"/>
    <w:rsid w:val="00922F8E"/>
    <w:rsid w:val="0092317C"/>
    <w:rsid w:val="0092575E"/>
    <w:rsid w:val="009257D1"/>
    <w:rsid w:val="009259B8"/>
    <w:rsid w:val="00925B0A"/>
    <w:rsid w:val="0092623F"/>
    <w:rsid w:val="009271D3"/>
    <w:rsid w:val="0092771F"/>
    <w:rsid w:val="00927B83"/>
    <w:rsid w:val="0093005C"/>
    <w:rsid w:val="00930166"/>
    <w:rsid w:val="00930469"/>
    <w:rsid w:val="0093067B"/>
    <w:rsid w:val="00930D43"/>
    <w:rsid w:val="0093142E"/>
    <w:rsid w:val="00931641"/>
    <w:rsid w:val="0093172E"/>
    <w:rsid w:val="00932107"/>
    <w:rsid w:val="009324D1"/>
    <w:rsid w:val="00932AC6"/>
    <w:rsid w:val="00933BB9"/>
    <w:rsid w:val="00933CD5"/>
    <w:rsid w:val="00934193"/>
    <w:rsid w:val="0093456B"/>
    <w:rsid w:val="009350B0"/>
    <w:rsid w:val="009350B9"/>
    <w:rsid w:val="00935903"/>
    <w:rsid w:val="00935B8C"/>
    <w:rsid w:val="00935D35"/>
    <w:rsid w:val="009361E3"/>
    <w:rsid w:val="00936833"/>
    <w:rsid w:val="0093733F"/>
    <w:rsid w:val="009379C7"/>
    <w:rsid w:val="00937AF9"/>
    <w:rsid w:val="00937DC3"/>
    <w:rsid w:val="009410FD"/>
    <w:rsid w:val="009421F2"/>
    <w:rsid w:val="009421FA"/>
    <w:rsid w:val="00943032"/>
    <w:rsid w:val="009430CD"/>
    <w:rsid w:val="009439E5"/>
    <w:rsid w:val="00944389"/>
    <w:rsid w:val="009450A9"/>
    <w:rsid w:val="0094524E"/>
    <w:rsid w:val="0094531C"/>
    <w:rsid w:val="0094579D"/>
    <w:rsid w:val="00945CDE"/>
    <w:rsid w:val="009462ED"/>
    <w:rsid w:val="00946585"/>
    <w:rsid w:val="009467E7"/>
    <w:rsid w:val="00946CCB"/>
    <w:rsid w:val="00946D2F"/>
    <w:rsid w:val="009471FE"/>
    <w:rsid w:val="00950AEC"/>
    <w:rsid w:val="00951867"/>
    <w:rsid w:val="00952644"/>
    <w:rsid w:val="00952C66"/>
    <w:rsid w:val="0095343E"/>
    <w:rsid w:val="00953BAC"/>
    <w:rsid w:val="00954120"/>
    <w:rsid w:val="00954899"/>
    <w:rsid w:val="00954B00"/>
    <w:rsid w:val="00955D6E"/>
    <w:rsid w:val="00956524"/>
    <w:rsid w:val="0095719B"/>
    <w:rsid w:val="00957224"/>
    <w:rsid w:val="009576FA"/>
    <w:rsid w:val="009601FF"/>
    <w:rsid w:val="00960C70"/>
    <w:rsid w:val="00960E03"/>
    <w:rsid w:val="0096123E"/>
    <w:rsid w:val="0096142A"/>
    <w:rsid w:val="009617D9"/>
    <w:rsid w:val="00961B01"/>
    <w:rsid w:val="00962360"/>
    <w:rsid w:val="009628E6"/>
    <w:rsid w:val="00962A58"/>
    <w:rsid w:val="00962E49"/>
    <w:rsid w:val="00962FA3"/>
    <w:rsid w:val="00963503"/>
    <w:rsid w:val="00963AA5"/>
    <w:rsid w:val="00964ED8"/>
    <w:rsid w:val="009653EE"/>
    <w:rsid w:val="0096613A"/>
    <w:rsid w:val="00966351"/>
    <w:rsid w:val="00966B75"/>
    <w:rsid w:val="00966C5A"/>
    <w:rsid w:val="00966F3B"/>
    <w:rsid w:val="00970450"/>
    <w:rsid w:val="00970A47"/>
    <w:rsid w:val="00970EFC"/>
    <w:rsid w:val="00970FCA"/>
    <w:rsid w:val="009713F7"/>
    <w:rsid w:val="009717C6"/>
    <w:rsid w:val="00972963"/>
    <w:rsid w:val="00972ABA"/>
    <w:rsid w:val="00973910"/>
    <w:rsid w:val="00973BF1"/>
    <w:rsid w:val="0097455C"/>
    <w:rsid w:val="00974576"/>
    <w:rsid w:val="009750ED"/>
    <w:rsid w:val="009752AC"/>
    <w:rsid w:val="00975BA1"/>
    <w:rsid w:val="009762F1"/>
    <w:rsid w:val="00976419"/>
    <w:rsid w:val="00976D2B"/>
    <w:rsid w:val="0097722E"/>
    <w:rsid w:val="0097776B"/>
    <w:rsid w:val="009778C2"/>
    <w:rsid w:val="00980330"/>
    <w:rsid w:val="009805F5"/>
    <w:rsid w:val="00980A9D"/>
    <w:rsid w:val="00980ADA"/>
    <w:rsid w:val="00980B10"/>
    <w:rsid w:val="00981507"/>
    <w:rsid w:val="00981553"/>
    <w:rsid w:val="0098179F"/>
    <w:rsid w:val="0098201F"/>
    <w:rsid w:val="00982A01"/>
    <w:rsid w:val="0098325C"/>
    <w:rsid w:val="00983FD0"/>
    <w:rsid w:val="00984187"/>
    <w:rsid w:val="0098474F"/>
    <w:rsid w:val="00984855"/>
    <w:rsid w:val="0098516A"/>
    <w:rsid w:val="0098576A"/>
    <w:rsid w:val="009857DF"/>
    <w:rsid w:val="00985C1F"/>
    <w:rsid w:val="0098669C"/>
    <w:rsid w:val="00986C23"/>
    <w:rsid w:val="009870A4"/>
    <w:rsid w:val="0098786D"/>
    <w:rsid w:val="00987DF3"/>
    <w:rsid w:val="00990DBA"/>
    <w:rsid w:val="0099133E"/>
    <w:rsid w:val="009927DA"/>
    <w:rsid w:val="00992A6E"/>
    <w:rsid w:val="00992C7F"/>
    <w:rsid w:val="00992FAC"/>
    <w:rsid w:val="00993523"/>
    <w:rsid w:val="0099419A"/>
    <w:rsid w:val="00994B3F"/>
    <w:rsid w:val="00995850"/>
    <w:rsid w:val="00995F1F"/>
    <w:rsid w:val="0099644F"/>
    <w:rsid w:val="00996565"/>
    <w:rsid w:val="0099710F"/>
    <w:rsid w:val="00997110"/>
    <w:rsid w:val="0099743F"/>
    <w:rsid w:val="00997EC5"/>
    <w:rsid w:val="009A0CD7"/>
    <w:rsid w:val="009A0EB4"/>
    <w:rsid w:val="009A3790"/>
    <w:rsid w:val="009A3F45"/>
    <w:rsid w:val="009A47C5"/>
    <w:rsid w:val="009A5393"/>
    <w:rsid w:val="009A5A24"/>
    <w:rsid w:val="009A5E41"/>
    <w:rsid w:val="009A5FD6"/>
    <w:rsid w:val="009A61EA"/>
    <w:rsid w:val="009A628D"/>
    <w:rsid w:val="009A68F8"/>
    <w:rsid w:val="009A71F5"/>
    <w:rsid w:val="009A7AB6"/>
    <w:rsid w:val="009A7F38"/>
    <w:rsid w:val="009B06DE"/>
    <w:rsid w:val="009B0E4C"/>
    <w:rsid w:val="009B12B9"/>
    <w:rsid w:val="009B1BE5"/>
    <w:rsid w:val="009B201D"/>
    <w:rsid w:val="009B217A"/>
    <w:rsid w:val="009B258E"/>
    <w:rsid w:val="009B297B"/>
    <w:rsid w:val="009B30F5"/>
    <w:rsid w:val="009B31C7"/>
    <w:rsid w:val="009B5714"/>
    <w:rsid w:val="009B71B7"/>
    <w:rsid w:val="009B74BA"/>
    <w:rsid w:val="009B75D7"/>
    <w:rsid w:val="009C02DA"/>
    <w:rsid w:val="009C031F"/>
    <w:rsid w:val="009C0410"/>
    <w:rsid w:val="009C1776"/>
    <w:rsid w:val="009C1A48"/>
    <w:rsid w:val="009C1B82"/>
    <w:rsid w:val="009C204D"/>
    <w:rsid w:val="009C21B8"/>
    <w:rsid w:val="009C2F89"/>
    <w:rsid w:val="009C3100"/>
    <w:rsid w:val="009C49AD"/>
    <w:rsid w:val="009C4A70"/>
    <w:rsid w:val="009C58CD"/>
    <w:rsid w:val="009C6304"/>
    <w:rsid w:val="009C693D"/>
    <w:rsid w:val="009C6D10"/>
    <w:rsid w:val="009C7028"/>
    <w:rsid w:val="009C792E"/>
    <w:rsid w:val="009C7AF5"/>
    <w:rsid w:val="009D01FB"/>
    <w:rsid w:val="009D0BA7"/>
    <w:rsid w:val="009D0C69"/>
    <w:rsid w:val="009D14E8"/>
    <w:rsid w:val="009D30FF"/>
    <w:rsid w:val="009D33E5"/>
    <w:rsid w:val="009D36A4"/>
    <w:rsid w:val="009D3AA7"/>
    <w:rsid w:val="009D3BD5"/>
    <w:rsid w:val="009D4C42"/>
    <w:rsid w:val="009D5EF4"/>
    <w:rsid w:val="009D5F79"/>
    <w:rsid w:val="009D615B"/>
    <w:rsid w:val="009D6D1F"/>
    <w:rsid w:val="009D751F"/>
    <w:rsid w:val="009D7D2D"/>
    <w:rsid w:val="009E2654"/>
    <w:rsid w:val="009E27A2"/>
    <w:rsid w:val="009E2B7C"/>
    <w:rsid w:val="009E3DCC"/>
    <w:rsid w:val="009E45F0"/>
    <w:rsid w:val="009E4D37"/>
    <w:rsid w:val="009E5650"/>
    <w:rsid w:val="009E5D5E"/>
    <w:rsid w:val="009E605F"/>
    <w:rsid w:val="009E61A4"/>
    <w:rsid w:val="009E6283"/>
    <w:rsid w:val="009E6A9F"/>
    <w:rsid w:val="009E7130"/>
    <w:rsid w:val="009E7451"/>
    <w:rsid w:val="009E7CDA"/>
    <w:rsid w:val="009F0156"/>
    <w:rsid w:val="009F046C"/>
    <w:rsid w:val="009F05C9"/>
    <w:rsid w:val="009F060D"/>
    <w:rsid w:val="009F07E3"/>
    <w:rsid w:val="009F0B99"/>
    <w:rsid w:val="009F1718"/>
    <w:rsid w:val="009F17E5"/>
    <w:rsid w:val="009F1DB5"/>
    <w:rsid w:val="009F22CF"/>
    <w:rsid w:val="009F2302"/>
    <w:rsid w:val="009F2399"/>
    <w:rsid w:val="009F253C"/>
    <w:rsid w:val="009F2564"/>
    <w:rsid w:val="009F27A6"/>
    <w:rsid w:val="009F344F"/>
    <w:rsid w:val="009F35A1"/>
    <w:rsid w:val="009F3B79"/>
    <w:rsid w:val="009F3CC4"/>
    <w:rsid w:val="009F4D7B"/>
    <w:rsid w:val="009F50F4"/>
    <w:rsid w:val="009F5EF2"/>
    <w:rsid w:val="009F5F71"/>
    <w:rsid w:val="009F668D"/>
    <w:rsid w:val="009F674F"/>
    <w:rsid w:val="009F7244"/>
    <w:rsid w:val="009F75A9"/>
    <w:rsid w:val="00A0031F"/>
    <w:rsid w:val="00A0062C"/>
    <w:rsid w:val="00A00909"/>
    <w:rsid w:val="00A00CBD"/>
    <w:rsid w:val="00A01047"/>
    <w:rsid w:val="00A011F6"/>
    <w:rsid w:val="00A0192F"/>
    <w:rsid w:val="00A01DC6"/>
    <w:rsid w:val="00A01F91"/>
    <w:rsid w:val="00A02270"/>
    <w:rsid w:val="00A026AA"/>
    <w:rsid w:val="00A02B9D"/>
    <w:rsid w:val="00A02E87"/>
    <w:rsid w:val="00A03890"/>
    <w:rsid w:val="00A03B76"/>
    <w:rsid w:val="00A03E78"/>
    <w:rsid w:val="00A04461"/>
    <w:rsid w:val="00A04623"/>
    <w:rsid w:val="00A04838"/>
    <w:rsid w:val="00A04C37"/>
    <w:rsid w:val="00A05F31"/>
    <w:rsid w:val="00A071E4"/>
    <w:rsid w:val="00A07704"/>
    <w:rsid w:val="00A078F0"/>
    <w:rsid w:val="00A07DE7"/>
    <w:rsid w:val="00A10329"/>
    <w:rsid w:val="00A10830"/>
    <w:rsid w:val="00A10E29"/>
    <w:rsid w:val="00A1140C"/>
    <w:rsid w:val="00A11818"/>
    <w:rsid w:val="00A11C67"/>
    <w:rsid w:val="00A1240E"/>
    <w:rsid w:val="00A12BE5"/>
    <w:rsid w:val="00A12DF1"/>
    <w:rsid w:val="00A13060"/>
    <w:rsid w:val="00A13589"/>
    <w:rsid w:val="00A13FC2"/>
    <w:rsid w:val="00A141C7"/>
    <w:rsid w:val="00A147C9"/>
    <w:rsid w:val="00A14991"/>
    <w:rsid w:val="00A15164"/>
    <w:rsid w:val="00A151D5"/>
    <w:rsid w:val="00A156A6"/>
    <w:rsid w:val="00A15AEB"/>
    <w:rsid w:val="00A15EDB"/>
    <w:rsid w:val="00A168FD"/>
    <w:rsid w:val="00A16CEA"/>
    <w:rsid w:val="00A171B6"/>
    <w:rsid w:val="00A207F2"/>
    <w:rsid w:val="00A20AB3"/>
    <w:rsid w:val="00A20D58"/>
    <w:rsid w:val="00A220BC"/>
    <w:rsid w:val="00A22384"/>
    <w:rsid w:val="00A22C99"/>
    <w:rsid w:val="00A23091"/>
    <w:rsid w:val="00A23289"/>
    <w:rsid w:val="00A23E95"/>
    <w:rsid w:val="00A247AC"/>
    <w:rsid w:val="00A2524B"/>
    <w:rsid w:val="00A2586B"/>
    <w:rsid w:val="00A25A49"/>
    <w:rsid w:val="00A25BA8"/>
    <w:rsid w:val="00A25DEF"/>
    <w:rsid w:val="00A267C9"/>
    <w:rsid w:val="00A2685F"/>
    <w:rsid w:val="00A26E78"/>
    <w:rsid w:val="00A2717B"/>
    <w:rsid w:val="00A271E3"/>
    <w:rsid w:val="00A275F1"/>
    <w:rsid w:val="00A277B9"/>
    <w:rsid w:val="00A27872"/>
    <w:rsid w:val="00A27AA5"/>
    <w:rsid w:val="00A27D01"/>
    <w:rsid w:val="00A3052B"/>
    <w:rsid w:val="00A3056D"/>
    <w:rsid w:val="00A310A0"/>
    <w:rsid w:val="00A3138D"/>
    <w:rsid w:val="00A31EDE"/>
    <w:rsid w:val="00A321D4"/>
    <w:rsid w:val="00A32416"/>
    <w:rsid w:val="00A329A6"/>
    <w:rsid w:val="00A32D57"/>
    <w:rsid w:val="00A3343C"/>
    <w:rsid w:val="00A33E82"/>
    <w:rsid w:val="00A340B5"/>
    <w:rsid w:val="00A34759"/>
    <w:rsid w:val="00A35B17"/>
    <w:rsid w:val="00A35F7B"/>
    <w:rsid w:val="00A3669A"/>
    <w:rsid w:val="00A36975"/>
    <w:rsid w:val="00A36B98"/>
    <w:rsid w:val="00A36FA0"/>
    <w:rsid w:val="00A37200"/>
    <w:rsid w:val="00A37E51"/>
    <w:rsid w:val="00A402B7"/>
    <w:rsid w:val="00A4062C"/>
    <w:rsid w:val="00A408CA"/>
    <w:rsid w:val="00A40A8D"/>
    <w:rsid w:val="00A41A6E"/>
    <w:rsid w:val="00A41AD4"/>
    <w:rsid w:val="00A4232D"/>
    <w:rsid w:val="00A42355"/>
    <w:rsid w:val="00A42518"/>
    <w:rsid w:val="00A4279F"/>
    <w:rsid w:val="00A432B6"/>
    <w:rsid w:val="00A43420"/>
    <w:rsid w:val="00A4384E"/>
    <w:rsid w:val="00A44F16"/>
    <w:rsid w:val="00A45AB0"/>
    <w:rsid w:val="00A47279"/>
    <w:rsid w:val="00A4749F"/>
    <w:rsid w:val="00A4765E"/>
    <w:rsid w:val="00A47879"/>
    <w:rsid w:val="00A506E5"/>
    <w:rsid w:val="00A50BA1"/>
    <w:rsid w:val="00A51110"/>
    <w:rsid w:val="00A512EC"/>
    <w:rsid w:val="00A51EB0"/>
    <w:rsid w:val="00A5215C"/>
    <w:rsid w:val="00A52B01"/>
    <w:rsid w:val="00A5359D"/>
    <w:rsid w:val="00A55570"/>
    <w:rsid w:val="00A55729"/>
    <w:rsid w:val="00A55D60"/>
    <w:rsid w:val="00A56113"/>
    <w:rsid w:val="00A5629E"/>
    <w:rsid w:val="00A56693"/>
    <w:rsid w:val="00A56717"/>
    <w:rsid w:val="00A5743C"/>
    <w:rsid w:val="00A57A2A"/>
    <w:rsid w:val="00A57FB8"/>
    <w:rsid w:val="00A60126"/>
    <w:rsid w:val="00A60347"/>
    <w:rsid w:val="00A60572"/>
    <w:rsid w:val="00A615FC"/>
    <w:rsid w:val="00A61621"/>
    <w:rsid w:val="00A61BC9"/>
    <w:rsid w:val="00A61D1C"/>
    <w:rsid w:val="00A61E07"/>
    <w:rsid w:val="00A61EE5"/>
    <w:rsid w:val="00A62081"/>
    <w:rsid w:val="00A62083"/>
    <w:rsid w:val="00A62330"/>
    <w:rsid w:val="00A62444"/>
    <w:rsid w:val="00A6248C"/>
    <w:rsid w:val="00A6409D"/>
    <w:rsid w:val="00A64789"/>
    <w:rsid w:val="00A64BD9"/>
    <w:rsid w:val="00A65AF1"/>
    <w:rsid w:val="00A65C71"/>
    <w:rsid w:val="00A66242"/>
    <w:rsid w:val="00A664C4"/>
    <w:rsid w:val="00A665BB"/>
    <w:rsid w:val="00A66E57"/>
    <w:rsid w:val="00A670E1"/>
    <w:rsid w:val="00A675DA"/>
    <w:rsid w:val="00A70B38"/>
    <w:rsid w:val="00A70DE1"/>
    <w:rsid w:val="00A7169B"/>
    <w:rsid w:val="00A7179E"/>
    <w:rsid w:val="00A71C30"/>
    <w:rsid w:val="00A7351F"/>
    <w:rsid w:val="00A73E52"/>
    <w:rsid w:val="00A7423B"/>
    <w:rsid w:val="00A74647"/>
    <w:rsid w:val="00A74A44"/>
    <w:rsid w:val="00A751B1"/>
    <w:rsid w:val="00A754E8"/>
    <w:rsid w:val="00A75AD9"/>
    <w:rsid w:val="00A75B3D"/>
    <w:rsid w:val="00A75CE6"/>
    <w:rsid w:val="00A75D1B"/>
    <w:rsid w:val="00A7667A"/>
    <w:rsid w:val="00A7686B"/>
    <w:rsid w:val="00A76B01"/>
    <w:rsid w:val="00A81AA2"/>
    <w:rsid w:val="00A81DF3"/>
    <w:rsid w:val="00A82897"/>
    <w:rsid w:val="00A831B7"/>
    <w:rsid w:val="00A83700"/>
    <w:rsid w:val="00A8370C"/>
    <w:rsid w:val="00A83869"/>
    <w:rsid w:val="00A83E61"/>
    <w:rsid w:val="00A84245"/>
    <w:rsid w:val="00A846E8"/>
    <w:rsid w:val="00A851FE"/>
    <w:rsid w:val="00A85233"/>
    <w:rsid w:val="00A862F2"/>
    <w:rsid w:val="00A86846"/>
    <w:rsid w:val="00A869F6"/>
    <w:rsid w:val="00A86FD5"/>
    <w:rsid w:val="00A8700B"/>
    <w:rsid w:val="00A87021"/>
    <w:rsid w:val="00A87348"/>
    <w:rsid w:val="00A87E56"/>
    <w:rsid w:val="00A9082B"/>
    <w:rsid w:val="00A908D7"/>
    <w:rsid w:val="00A90C76"/>
    <w:rsid w:val="00A912A2"/>
    <w:rsid w:val="00A914B2"/>
    <w:rsid w:val="00A91D4F"/>
    <w:rsid w:val="00A91DE4"/>
    <w:rsid w:val="00A924DE"/>
    <w:rsid w:val="00A925F6"/>
    <w:rsid w:val="00A92A8A"/>
    <w:rsid w:val="00A92E5C"/>
    <w:rsid w:val="00A93165"/>
    <w:rsid w:val="00A931A7"/>
    <w:rsid w:val="00A93AD4"/>
    <w:rsid w:val="00A93D9A"/>
    <w:rsid w:val="00A944FC"/>
    <w:rsid w:val="00A947AB"/>
    <w:rsid w:val="00A94ADA"/>
    <w:rsid w:val="00A95E1A"/>
    <w:rsid w:val="00A9691F"/>
    <w:rsid w:val="00A97120"/>
    <w:rsid w:val="00A97915"/>
    <w:rsid w:val="00A97EED"/>
    <w:rsid w:val="00A97F41"/>
    <w:rsid w:val="00AA0098"/>
    <w:rsid w:val="00AA00E4"/>
    <w:rsid w:val="00AA02E3"/>
    <w:rsid w:val="00AA077F"/>
    <w:rsid w:val="00AA10DC"/>
    <w:rsid w:val="00AA1635"/>
    <w:rsid w:val="00AA208A"/>
    <w:rsid w:val="00AA266E"/>
    <w:rsid w:val="00AA28CA"/>
    <w:rsid w:val="00AA2906"/>
    <w:rsid w:val="00AA2A84"/>
    <w:rsid w:val="00AA3692"/>
    <w:rsid w:val="00AA38BA"/>
    <w:rsid w:val="00AA46A0"/>
    <w:rsid w:val="00AA486E"/>
    <w:rsid w:val="00AA558E"/>
    <w:rsid w:val="00AA5898"/>
    <w:rsid w:val="00AA5CB0"/>
    <w:rsid w:val="00AA5F3F"/>
    <w:rsid w:val="00AA5F66"/>
    <w:rsid w:val="00AA7387"/>
    <w:rsid w:val="00AA7A54"/>
    <w:rsid w:val="00AB00ED"/>
    <w:rsid w:val="00AB05DA"/>
    <w:rsid w:val="00AB0AC1"/>
    <w:rsid w:val="00AB0D06"/>
    <w:rsid w:val="00AB15CA"/>
    <w:rsid w:val="00AB1E5A"/>
    <w:rsid w:val="00AB267D"/>
    <w:rsid w:val="00AB3E57"/>
    <w:rsid w:val="00AB46C5"/>
    <w:rsid w:val="00AB532B"/>
    <w:rsid w:val="00AB57A6"/>
    <w:rsid w:val="00AB6484"/>
    <w:rsid w:val="00AB666B"/>
    <w:rsid w:val="00AB7763"/>
    <w:rsid w:val="00AB794E"/>
    <w:rsid w:val="00AB796D"/>
    <w:rsid w:val="00AC0110"/>
    <w:rsid w:val="00AC0210"/>
    <w:rsid w:val="00AC063E"/>
    <w:rsid w:val="00AC0BD5"/>
    <w:rsid w:val="00AC103B"/>
    <w:rsid w:val="00AC143E"/>
    <w:rsid w:val="00AC1493"/>
    <w:rsid w:val="00AC153D"/>
    <w:rsid w:val="00AC28FA"/>
    <w:rsid w:val="00AC2A4D"/>
    <w:rsid w:val="00AC3066"/>
    <w:rsid w:val="00AC3E62"/>
    <w:rsid w:val="00AC3EB0"/>
    <w:rsid w:val="00AC42A0"/>
    <w:rsid w:val="00AC4673"/>
    <w:rsid w:val="00AC48BF"/>
    <w:rsid w:val="00AC54FD"/>
    <w:rsid w:val="00AC64C5"/>
    <w:rsid w:val="00AC6539"/>
    <w:rsid w:val="00AC6706"/>
    <w:rsid w:val="00AC6DFD"/>
    <w:rsid w:val="00AC7CD5"/>
    <w:rsid w:val="00AC7D03"/>
    <w:rsid w:val="00AC7E56"/>
    <w:rsid w:val="00AD02C9"/>
    <w:rsid w:val="00AD04D6"/>
    <w:rsid w:val="00AD1131"/>
    <w:rsid w:val="00AD1404"/>
    <w:rsid w:val="00AD1CF7"/>
    <w:rsid w:val="00AD1D80"/>
    <w:rsid w:val="00AD3573"/>
    <w:rsid w:val="00AD3D95"/>
    <w:rsid w:val="00AD456B"/>
    <w:rsid w:val="00AD521D"/>
    <w:rsid w:val="00AD5262"/>
    <w:rsid w:val="00AD5605"/>
    <w:rsid w:val="00AD59B3"/>
    <w:rsid w:val="00AD5AEC"/>
    <w:rsid w:val="00AD60B6"/>
    <w:rsid w:val="00AD6738"/>
    <w:rsid w:val="00AD6C98"/>
    <w:rsid w:val="00AD7AE4"/>
    <w:rsid w:val="00AE02AE"/>
    <w:rsid w:val="00AE19FA"/>
    <w:rsid w:val="00AE25E4"/>
    <w:rsid w:val="00AE328B"/>
    <w:rsid w:val="00AE3C4A"/>
    <w:rsid w:val="00AE3FA8"/>
    <w:rsid w:val="00AE3FA9"/>
    <w:rsid w:val="00AE4D15"/>
    <w:rsid w:val="00AE5E82"/>
    <w:rsid w:val="00AE68C4"/>
    <w:rsid w:val="00AE6968"/>
    <w:rsid w:val="00AE6E64"/>
    <w:rsid w:val="00AE6FE9"/>
    <w:rsid w:val="00AE768F"/>
    <w:rsid w:val="00AE7B1A"/>
    <w:rsid w:val="00AE7D91"/>
    <w:rsid w:val="00AF13B4"/>
    <w:rsid w:val="00AF15CA"/>
    <w:rsid w:val="00AF15E0"/>
    <w:rsid w:val="00AF1711"/>
    <w:rsid w:val="00AF1837"/>
    <w:rsid w:val="00AF1B47"/>
    <w:rsid w:val="00AF226B"/>
    <w:rsid w:val="00AF3597"/>
    <w:rsid w:val="00AF3B68"/>
    <w:rsid w:val="00AF3E62"/>
    <w:rsid w:val="00AF400D"/>
    <w:rsid w:val="00AF418B"/>
    <w:rsid w:val="00AF4752"/>
    <w:rsid w:val="00AF4CD8"/>
    <w:rsid w:val="00AF552A"/>
    <w:rsid w:val="00AF592B"/>
    <w:rsid w:val="00AF6418"/>
    <w:rsid w:val="00AF6443"/>
    <w:rsid w:val="00AF693B"/>
    <w:rsid w:val="00AF70DE"/>
    <w:rsid w:val="00AF7602"/>
    <w:rsid w:val="00AF76D7"/>
    <w:rsid w:val="00AF789D"/>
    <w:rsid w:val="00B0179E"/>
    <w:rsid w:val="00B0182C"/>
    <w:rsid w:val="00B025FE"/>
    <w:rsid w:val="00B027DB"/>
    <w:rsid w:val="00B02FC0"/>
    <w:rsid w:val="00B03676"/>
    <w:rsid w:val="00B04258"/>
    <w:rsid w:val="00B04968"/>
    <w:rsid w:val="00B049B6"/>
    <w:rsid w:val="00B04BC9"/>
    <w:rsid w:val="00B06113"/>
    <w:rsid w:val="00B06B53"/>
    <w:rsid w:val="00B06ED8"/>
    <w:rsid w:val="00B0712C"/>
    <w:rsid w:val="00B075BF"/>
    <w:rsid w:val="00B07EDC"/>
    <w:rsid w:val="00B10070"/>
    <w:rsid w:val="00B10241"/>
    <w:rsid w:val="00B10426"/>
    <w:rsid w:val="00B10839"/>
    <w:rsid w:val="00B11051"/>
    <w:rsid w:val="00B1130D"/>
    <w:rsid w:val="00B113D4"/>
    <w:rsid w:val="00B1332F"/>
    <w:rsid w:val="00B13C8E"/>
    <w:rsid w:val="00B13E81"/>
    <w:rsid w:val="00B13F2B"/>
    <w:rsid w:val="00B14B3D"/>
    <w:rsid w:val="00B14CC5"/>
    <w:rsid w:val="00B156A0"/>
    <w:rsid w:val="00B16023"/>
    <w:rsid w:val="00B16C06"/>
    <w:rsid w:val="00B172A4"/>
    <w:rsid w:val="00B1789A"/>
    <w:rsid w:val="00B20A27"/>
    <w:rsid w:val="00B20EF4"/>
    <w:rsid w:val="00B21098"/>
    <w:rsid w:val="00B218E5"/>
    <w:rsid w:val="00B21B2B"/>
    <w:rsid w:val="00B21D8C"/>
    <w:rsid w:val="00B223FC"/>
    <w:rsid w:val="00B2242F"/>
    <w:rsid w:val="00B22463"/>
    <w:rsid w:val="00B22539"/>
    <w:rsid w:val="00B22A5A"/>
    <w:rsid w:val="00B23A6E"/>
    <w:rsid w:val="00B24F99"/>
    <w:rsid w:val="00B25106"/>
    <w:rsid w:val="00B26730"/>
    <w:rsid w:val="00B27234"/>
    <w:rsid w:val="00B2744C"/>
    <w:rsid w:val="00B274CA"/>
    <w:rsid w:val="00B27638"/>
    <w:rsid w:val="00B276B7"/>
    <w:rsid w:val="00B27AE2"/>
    <w:rsid w:val="00B27CE8"/>
    <w:rsid w:val="00B27DE9"/>
    <w:rsid w:val="00B27EB0"/>
    <w:rsid w:val="00B27FD9"/>
    <w:rsid w:val="00B30B47"/>
    <w:rsid w:val="00B30B84"/>
    <w:rsid w:val="00B30D11"/>
    <w:rsid w:val="00B314AA"/>
    <w:rsid w:val="00B316ED"/>
    <w:rsid w:val="00B3232B"/>
    <w:rsid w:val="00B324BB"/>
    <w:rsid w:val="00B325F8"/>
    <w:rsid w:val="00B32A90"/>
    <w:rsid w:val="00B33C0B"/>
    <w:rsid w:val="00B343CA"/>
    <w:rsid w:val="00B34A2A"/>
    <w:rsid w:val="00B34DF5"/>
    <w:rsid w:val="00B35A95"/>
    <w:rsid w:val="00B35CC1"/>
    <w:rsid w:val="00B35E39"/>
    <w:rsid w:val="00B363A5"/>
    <w:rsid w:val="00B36661"/>
    <w:rsid w:val="00B36CC5"/>
    <w:rsid w:val="00B37F6D"/>
    <w:rsid w:val="00B40505"/>
    <w:rsid w:val="00B4062D"/>
    <w:rsid w:val="00B40A6A"/>
    <w:rsid w:val="00B41486"/>
    <w:rsid w:val="00B41509"/>
    <w:rsid w:val="00B41C17"/>
    <w:rsid w:val="00B41CFD"/>
    <w:rsid w:val="00B41DE9"/>
    <w:rsid w:val="00B423E1"/>
    <w:rsid w:val="00B42A16"/>
    <w:rsid w:val="00B43F88"/>
    <w:rsid w:val="00B443F1"/>
    <w:rsid w:val="00B44FF4"/>
    <w:rsid w:val="00B45E94"/>
    <w:rsid w:val="00B46124"/>
    <w:rsid w:val="00B462D7"/>
    <w:rsid w:val="00B4661E"/>
    <w:rsid w:val="00B46DE9"/>
    <w:rsid w:val="00B47038"/>
    <w:rsid w:val="00B476DF"/>
    <w:rsid w:val="00B50706"/>
    <w:rsid w:val="00B513F9"/>
    <w:rsid w:val="00B51AED"/>
    <w:rsid w:val="00B51ED5"/>
    <w:rsid w:val="00B51F90"/>
    <w:rsid w:val="00B5219E"/>
    <w:rsid w:val="00B52619"/>
    <w:rsid w:val="00B530A8"/>
    <w:rsid w:val="00B5312F"/>
    <w:rsid w:val="00B53437"/>
    <w:rsid w:val="00B5395C"/>
    <w:rsid w:val="00B53BC0"/>
    <w:rsid w:val="00B548E4"/>
    <w:rsid w:val="00B55A81"/>
    <w:rsid w:val="00B55B1A"/>
    <w:rsid w:val="00B55E02"/>
    <w:rsid w:val="00B568F6"/>
    <w:rsid w:val="00B5711D"/>
    <w:rsid w:val="00B57192"/>
    <w:rsid w:val="00B57B57"/>
    <w:rsid w:val="00B6210E"/>
    <w:rsid w:val="00B634C1"/>
    <w:rsid w:val="00B63F97"/>
    <w:rsid w:val="00B65538"/>
    <w:rsid w:val="00B66A43"/>
    <w:rsid w:val="00B66F57"/>
    <w:rsid w:val="00B67036"/>
    <w:rsid w:val="00B672D2"/>
    <w:rsid w:val="00B675EB"/>
    <w:rsid w:val="00B67BF2"/>
    <w:rsid w:val="00B70413"/>
    <w:rsid w:val="00B70745"/>
    <w:rsid w:val="00B70BF2"/>
    <w:rsid w:val="00B71476"/>
    <w:rsid w:val="00B71D64"/>
    <w:rsid w:val="00B72042"/>
    <w:rsid w:val="00B72795"/>
    <w:rsid w:val="00B729D2"/>
    <w:rsid w:val="00B72D4A"/>
    <w:rsid w:val="00B732DD"/>
    <w:rsid w:val="00B738B6"/>
    <w:rsid w:val="00B74C22"/>
    <w:rsid w:val="00B75635"/>
    <w:rsid w:val="00B758C5"/>
    <w:rsid w:val="00B7633A"/>
    <w:rsid w:val="00B76B6E"/>
    <w:rsid w:val="00B76EA0"/>
    <w:rsid w:val="00B76EA5"/>
    <w:rsid w:val="00B7729E"/>
    <w:rsid w:val="00B776E9"/>
    <w:rsid w:val="00B802B3"/>
    <w:rsid w:val="00B81E9F"/>
    <w:rsid w:val="00B82FEB"/>
    <w:rsid w:val="00B8381C"/>
    <w:rsid w:val="00B84F4E"/>
    <w:rsid w:val="00B84FE9"/>
    <w:rsid w:val="00B856BA"/>
    <w:rsid w:val="00B858FA"/>
    <w:rsid w:val="00B85F9A"/>
    <w:rsid w:val="00B86CAB"/>
    <w:rsid w:val="00B86E04"/>
    <w:rsid w:val="00B870BA"/>
    <w:rsid w:val="00B875E0"/>
    <w:rsid w:val="00B8782D"/>
    <w:rsid w:val="00B87C94"/>
    <w:rsid w:val="00B87DC1"/>
    <w:rsid w:val="00B91450"/>
    <w:rsid w:val="00B9190F"/>
    <w:rsid w:val="00B919A4"/>
    <w:rsid w:val="00B920E1"/>
    <w:rsid w:val="00B92328"/>
    <w:rsid w:val="00B9267F"/>
    <w:rsid w:val="00B929E0"/>
    <w:rsid w:val="00B932D2"/>
    <w:rsid w:val="00B93BD3"/>
    <w:rsid w:val="00B93BED"/>
    <w:rsid w:val="00B94E6B"/>
    <w:rsid w:val="00B94EC7"/>
    <w:rsid w:val="00B950DE"/>
    <w:rsid w:val="00B95393"/>
    <w:rsid w:val="00B954E4"/>
    <w:rsid w:val="00B955A5"/>
    <w:rsid w:val="00B9561C"/>
    <w:rsid w:val="00B95893"/>
    <w:rsid w:val="00B95934"/>
    <w:rsid w:val="00B9628E"/>
    <w:rsid w:val="00B96458"/>
    <w:rsid w:val="00B96B84"/>
    <w:rsid w:val="00B96C60"/>
    <w:rsid w:val="00B97146"/>
    <w:rsid w:val="00B97567"/>
    <w:rsid w:val="00B97622"/>
    <w:rsid w:val="00BA0790"/>
    <w:rsid w:val="00BA0838"/>
    <w:rsid w:val="00BA145F"/>
    <w:rsid w:val="00BA1511"/>
    <w:rsid w:val="00BA152F"/>
    <w:rsid w:val="00BA168D"/>
    <w:rsid w:val="00BA1F5D"/>
    <w:rsid w:val="00BA201F"/>
    <w:rsid w:val="00BA23AA"/>
    <w:rsid w:val="00BA267F"/>
    <w:rsid w:val="00BA32EF"/>
    <w:rsid w:val="00BA3501"/>
    <w:rsid w:val="00BA3845"/>
    <w:rsid w:val="00BA45FF"/>
    <w:rsid w:val="00BA502D"/>
    <w:rsid w:val="00BA596B"/>
    <w:rsid w:val="00BA5BDC"/>
    <w:rsid w:val="00BA5D42"/>
    <w:rsid w:val="00BA615F"/>
    <w:rsid w:val="00BA741E"/>
    <w:rsid w:val="00BA79AD"/>
    <w:rsid w:val="00BB1A82"/>
    <w:rsid w:val="00BB1B7C"/>
    <w:rsid w:val="00BB1B91"/>
    <w:rsid w:val="00BB2293"/>
    <w:rsid w:val="00BB23EB"/>
    <w:rsid w:val="00BB2C21"/>
    <w:rsid w:val="00BB2F70"/>
    <w:rsid w:val="00BB31D2"/>
    <w:rsid w:val="00BB3790"/>
    <w:rsid w:val="00BB464D"/>
    <w:rsid w:val="00BB49E7"/>
    <w:rsid w:val="00BB4B5F"/>
    <w:rsid w:val="00BB52E1"/>
    <w:rsid w:val="00BB5725"/>
    <w:rsid w:val="00BB5A73"/>
    <w:rsid w:val="00BB7122"/>
    <w:rsid w:val="00BB753B"/>
    <w:rsid w:val="00BB7B62"/>
    <w:rsid w:val="00BB7C77"/>
    <w:rsid w:val="00BC0753"/>
    <w:rsid w:val="00BC13FA"/>
    <w:rsid w:val="00BC1AD3"/>
    <w:rsid w:val="00BC308C"/>
    <w:rsid w:val="00BC34F6"/>
    <w:rsid w:val="00BC38F7"/>
    <w:rsid w:val="00BC4B80"/>
    <w:rsid w:val="00BC5211"/>
    <w:rsid w:val="00BC5274"/>
    <w:rsid w:val="00BC6940"/>
    <w:rsid w:val="00BC6E1B"/>
    <w:rsid w:val="00BD0261"/>
    <w:rsid w:val="00BD0B20"/>
    <w:rsid w:val="00BD1363"/>
    <w:rsid w:val="00BD13E4"/>
    <w:rsid w:val="00BD185D"/>
    <w:rsid w:val="00BD185E"/>
    <w:rsid w:val="00BD222E"/>
    <w:rsid w:val="00BD2E88"/>
    <w:rsid w:val="00BD2F11"/>
    <w:rsid w:val="00BD30E2"/>
    <w:rsid w:val="00BD34FF"/>
    <w:rsid w:val="00BD3562"/>
    <w:rsid w:val="00BD3D64"/>
    <w:rsid w:val="00BD4085"/>
    <w:rsid w:val="00BD41BC"/>
    <w:rsid w:val="00BD420E"/>
    <w:rsid w:val="00BD45B7"/>
    <w:rsid w:val="00BD4AB2"/>
    <w:rsid w:val="00BD4AC0"/>
    <w:rsid w:val="00BD504C"/>
    <w:rsid w:val="00BD5149"/>
    <w:rsid w:val="00BD5431"/>
    <w:rsid w:val="00BD54AE"/>
    <w:rsid w:val="00BD54B9"/>
    <w:rsid w:val="00BD557B"/>
    <w:rsid w:val="00BD5954"/>
    <w:rsid w:val="00BD5C21"/>
    <w:rsid w:val="00BD612B"/>
    <w:rsid w:val="00BD7237"/>
    <w:rsid w:val="00BE0726"/>
    <w:rsid w:val="00BE0AD6"/>
    <w:rsid w:val="00BE0E89"/>
    <w:rsid w:val="00BE1021"/>
    <w:rsid w:val="00BE10EB"/>
    <w:rsid w:val="00BE1723"/>
    <w:rsid w:val="00BE2022"/>
    <w:rsid w:val="00BE22FB"/>
    <w:rsid w:val="00BE49E6"/>
    <w:rsid w:val="00BE5091"/>
    <w:rsid w:val="00BE528E"/>
    <w:rsid w:val="00BE5718"/>
    <w:rsid w:val="00BE5BC2"/>
    <w:rsid w:val="00BE5C61"/>
    <w:rsid w:val="00BE68CC"/>
    <w:rsid w:val="00BE7423"/>
    <w:rsid w:val="00BF03C6"/>
    <w:rsid w:val="00BF0538"/>
    <w:rsid w:val="00BF05BB"/>
    <w:rsid w:val="00BF1055"/>
    <w:rsid w:val="00BF1228"/>
    <w:rsid w:val="00BF1F0F"/>
    <w:rsid w:val="00BF2F20"/>
    <w:rsid w:val="00BF32FC"/>
    <w:rsid w:val="00BF3968"/>
    <w:rsid w:val="00BF4227"/>
    <w:rsid w:val="00BF43C3"/>
    <w:rsid w:val="00BF4710"/>
    <w:rsid w:val="00BF4934"/>
    <w:rsid w:val="00BF4DAC"/>
    <w:rsid w:val="00BF5495"/>
    <w:rsid w:val="00BF7490"/>
    <w:rsid w:val="00BF7722"/>
    <w:rsid w:val="00C00A38"/>
    <w:rsid w:val="00C00C2D"/>
    <w:rsid w:val="00C0107A"/>
    <w:rsid w:val="00C018AE"/>
    <w:rsid w:val="00C01B09"/>
    <w:rsid w:val="00C027FF"/>
    <w:rsid w:val="00C02BF0"/>
    <w:rsid w:val="00C02E3F"/>
    <w:rsid w:val="00C03F5E"/>
    <w:rsid w:val="00C04356"/>
    <w:rsid w:val="00C04575"/>
    <w:rsid w:val="00C04E35"/>
    <w:rsid w:val="00C050C6"/>
    <w:rsid w:val="00C05EAF"/>
    <w:rsid w:val="00C061DB"/>
    <w:rsid w:val="00C06A0F"/>
    <w:rsid w:val="00C06B69"/>
    <w:rsid w:val="00C06BC8"/>
    <w:rsid w:val="00C06CD5"/>
    <w:rsid w:val="00C0729F"/>
    <w:rsid w:val="00C07CD8"/>
    <w:rsid w:val="00C07F78"/>
    <w:rsid w:val="00C10AD4"/>
    <w:rsid w:val="00C10C6A"/>
    <w:rsid w:val="00C12082"/>
    <w:rsid w:val="00C121EA"/>
    <w:rsid w:val="00C1269C"/>
    <w:rsid w:val="00C1441F"/>
    <w:rsid w:val="00C14D53"/>
    <w:rsid w:val="00C15814"/>
    <w:rsid w:val="00C15E7E"/>
    <w:rsid w:val="00C15FAC"/>
    <w:rsid w:val="00C16B9C"/>
    <w:rsid w:val="00C206E7"/>
    <w:rsid w:val="00C21087"/>
    <w:rsid w:val="00C210AD"/>
    <w:rsid w:val="00C21D1F"/>
    <w:rsid w:val="00C224CA"/>
    <w:rsid w:val="00C2264D"/>
    <w:rsid w:val="00C23C9C"/>
    <w:rsid w:val="00C23FD6"/>
    <w:rsid w:val="00C23FD9"/>
    <w:rsid w:val="00C24167"/>
    <w:rsid w:val="00C24CE2"/>
    <w:rsid w:val="00C24E32"/>
    <w:rsid w:val="00C25E1A"/>
    <w:rsid w:val="00C25F1E"/>
    <w:rsid w:val="00C26508"/>
    <w:rsid w:val="00C2748D"/>
    <w:rsid w:val="00C2794E"/>
    <w:rsid w:val="00C30C46"/>
    <w:rsid w:val="00C30D39"/>
    <w:rsid w:val="00C312D7"/>
    <w:rsid w:val="00C319F2"/>
    <w:rsid w:val="00C31C39"/>
    <w:rsid w:val="00C333CD"/>
    <w:rsid w:val="00C33498"/>
    <w:rsid w:val="00C33721"/>
    <w:rsid w:val="00C341FA"/>
    <w:rsid w:val="00C34493"/>
    <w:rsid w:val="00C34620"/>
    <w:rsid w:val="00C3690D"/>
    <w:rsid w:val="00C36D50"/>
    <w:rsid w:val="00C37294"/>
    <w:rsid w:val="00C3760B"/>
    <w:rsid w:val="00C37689"/>
    <w:rsid w:val="00C37A7E"/>
    <w:rsid w:val="00C40C65"/>
    <w:rsid w:val="00C40D46"/>
    <w:rsid w:val="00C4185C"/>
    <w:rsid w:val="00C418D7"/>
    <w:rsid w:val="00C41D8D"/>
    <w:rsid w:val="00C42349"/>
    <w:rsid w:val="00C42887"/>
    <w:rsid w:val="00C42D1E"/>
    <w:rsid w:val="00C43E1C"/>
    <w:rsid w:val="00C442B1"/>
    <w:rsid w:val="00C4467C"/>
    <w:rsid w:val="00C44A3D"/>
    <w:rsid w:val="00C4541A"/>
    <w:rsid w:val="00C45A08"/>
    <w:rsid w:val="00C45D7C"/>
    <w:rsid w:val="00C466CC"/>
    <w:rsid w:val="00C46D2C"/>
    <w:rsid w:val="00C46E22"/>
    <w:rsid w:val="00C473CE"/>
    <w:rsid w:val="00C47607"/>
    <w:rsid w:val="00C4768B"/>
    <w:rsid w:val="00C4786C"/>
    <w:rsid w:val="00C47A5B"/>
    <w:rsid w:val="00C47E46"/>
    <w:rsid w:val="00C50177"/>
    <w:rsid w:val="00C50AF3"/>
    <w:rsid w:val="00C5109D"/>
    <w:rsid w:val="00C51570"/>
    <w:rsid w:val="00C51DA3"/>
    <w:rsid w:val="00C51F30"/>
    <w:rsid w:val="00C522F1"/>
    <w:rsid w:val="00C52444"/>
    <w:rsid w:val="00C52C87"/>
    <w:rsid w:val="00C52F6D"/>
    <w:rsid w:val="00C53B2C"/>
    <w:rsid w:val="00C542D6"/>
    <w:rsid w:val="00C545E3"/>
    <w:rsid w:val="00C546CB"/>
    <w:rsid w:val="00C55066"/>
    <w:rsid w:val="00C558EC"/>
    <w:rsid w:val="00C55A2A"/>
    <w:rsid w:val="00C55E6C"/>
    <w:rsid w:val="00C55E92"/>
    <w:rsid w:val="00C56665"/>
    <w:rsid w:val="00C56733"/>
    <w:rsid w:val="00C56D5F"/>
    <w:rsid w:val="00C56F8F"/>
    <w:rsid w:val="00C57CCE"/>
    <w:rsid w:val="00C60478"/>
    <w:rsid w:val="00C608E7"/>
    <w:rsid w:val="00C610FA"/>
    <w:rsid w:val="00C616D4"/>
    <w:rsid w:val="00C6186F"/>
    <w:rsid w:val="00C62026"/>
    <w:rsid w:val="00C6237F"/>
    <w:rsid w:val="00C625FF"/>
    <w:rsid w:val="00C62A30"/>
    <w:rsid w:val="00C62E9D"/>
    <w:rsid w:val="00C6357E"/>
    <w:rsid w:val="00C63A19"/>
    <w:rsid w:val="00C63BC5"/>
    <w:rsid w:val="00C63C44"/>
    <w:rsid w:val="00C642E7"/>
    <w:rsid w:val="00C64590"/>
    <w:rsid w:val="00C657B8"/>
    <w:rsid w:val="00C65889"/>
    <w:rsid w:val="00C65BA4"/>
    <w:rsid w:val="00C667AA"/>
    <w:rsid w:val="00C67ADE"/>
    <w:rsid w:val="00C70402"/>
    <w:rsid w:val="00C7045E"/>
    <w:rsid w:val="00C704B7"/>
    <w:rsid w:val="00C70A67"/>
    <w:rsid w:val="00C70E5F"/>
    <w:rsid w:val="00C70F80"/>
    <w:rsid w:val="00C70FF3"/>
    <w:rsid w:val="00C71882"/>
    <w:rsid w:val="00C71E46"/>
    <w:rsid w:val="00C71E89"/>
    <w:rsid w:val="00C71F81"/>
    <w:rsid w:val="00C7256B"/>
    <w:rsid w:val="00C72F04"/>
    <w:rsid w:val="00C73466"/>
    <w:rsid w:val="00C73A2E"/>
    <w:rsid w:val="00C74E92"/>
    <w:rsid w:val="00C75744"/>
    <w:rsid w:val="00C75B43"/>
    <w:rsid w:val="00C75CAC"/>
    <w:rsid w:val="00C75DBE"/>
    <w:rsid w:val="00C767B1"/>
    <w:rsid w:val="00C76804"/>
    <w:rsid w:val="00C76875"/>
    <w:rsid w:val="00C76876"/>
    <w:rsid w:val="00C76E5D"/>
    <w:rsid w:val="00C778B8"/>
    <w:rsid w:val="00C800BA"/>
    <w:rsid w:val="00C802FB"/>
    <w:rsid w:val="00C803E4"/>
    <w:rsid w:val="00C805F5"/>
    <w:rsid w:val="00C806FC"/>
    <w:rsid w:val="00C815F8"/>
    <w:rsid w:val="00C818EB"/>
    <w:rsid w:val="00C82AD3"/>
    <w:rsid w:val="00C8321B"/>
    <w:rsid w:val="00C83398"/>
    <w:rsid w:val="00C83980"/>
    <w:rsid w:val="00C83CC3"/>
    <w:rsid w:val="00C848E6"/>
    <w:rsid w:val="00C85A2A"/>
    <w:rsid w:val="00C86086"/>
    <w:rsid w:val="00C86233"/>
    <w:rsid w:val="00C86518"/>
    <w:rsid w:val="00C86536"/>
    <w:rsid w:val="00C867C8"/>
    <w:rsid w:val="00C86AF5"/>
    <w:rsid w:val="00C86D44"/>
    <w:rsid w:val="00C8725C"/>
    <w:rsid w:val="00C875C2"/>
    <w:rsid w:val="00C87F5A"/>
    <w:rsid w:val="00C90638"/>
    <w:rsid w:val="00C90D06"/>
    <w:rsid w:val="00C9100B"/>
    <w:rsid w:val="00C916B4"/>
    <w:rsid w:val="00C92021"/>
    <w:rsid w:val="00C92034"/>
    <w:rsid w:val="00C92E2B"/>
    <w:rsid w:val="00C932B5"/>
    <w:rsid w:val="00C94217"/>
    <w:rsid w:val="00C943EE"/>
    <w:rsid w:val="00C946CB"/>
    <w:rsid w:val="00C94C79"/>
    <w:rsid w:val="00C952B8"/>
    <w:rsid w:val="00C959E2"/>
    <w:rsid w:val="00C95A34"/>
    <w:rsid w:val="00C96B43"/>
    <w:rsid w:val="00C96FE7"/>
    <w:rsid w:val="00C97A8A"/>
    <w:rsid w:val="00C97B45"/>
    <w:rsid w:val="00C97BD7"/>
    <w:rsid w:val="00C97D85"/>
    <w:rsid w:val="00CA02EF"/>
    <w:rsid w:val="00CA0785"/>
    <w:rsid w:val="00CA095E"/>
    <w:rsid w:val="00CA11C0"/>
    <w:rsid w:val="00CA1BE5"/>
    <w:rsid w:val="00CA1F66"/>
    <w:rsid w:val="00CA2036"/>
    <w:rsid w:val="00CA2661"/>
    <w:rsid w:val="00CA2AD0"/>
    <w:rsid w:val="00CA2CD5"/>
    <w:rsid w:val="00CA2FBB"/>
    <w:rsid w:val="00CA3C9D"/>
    <w:rsid w:val="00CA481B"/>
    <w:rsid w:val="00CA59F6"/>
    <w:rsid w:val="00CA5F15"/>
    <w:rsid w:val="00CA6589"/>
    <w:rsid w:val="00CA687D"/>
    <w:rsid w:val="00CA6D75"/>
    <w:rsid w:val="00CA6DB4"/>
    <w:rsid w:val="00CA6EFE"/>
    <w:rsid w:val="00CA7917"/>
    <w:rsid w:val="00CA7A76"/>
    <w:rsid w:val="00CA7C3F"/>
    <w:rsid w:val="00CA7FC1"/>
    <w:rsid w:val="00CB056D"/>
    <w:rsid w:val="00CB07F8"/>
    <w:rsid w:val="00CB0855"/>
    <w:rsid w:val="00CB0877"/>
    <w:rsid w:val="00CB16A1"/>
    <w:rsid w:val="00CB170A"/>
    <w:rsid w:val="00CB1804"/>
    <w:rsid w:val="00CB19EC"/>
    <w:rsid w:val="00CB1D52"/>
    <w:rsid w:val="00CB2168"/>
    <w:rsid w:val="00CB303E"/>
    <w:rsid w:val="00CB37EB"/>
    <w:rsid w:val="00CB3E62"/>
    <w:rsid w:val="00CB4877"/>
    <w:rsid w:val="00CB4FA1"/>
    <w:rsid w:val="00CB5645"/>
    <w:rsid w:val="00CB5FC2"/>
    <w:rsid w:val="00CB6AD5"/>
    <w:rsid w:val="00CB6BB0"/>
    <w:rsid w:val="00CB6DDD"/>
    <w:rsid w:val="00CB6F13"/>
    <w:rsid w:val="00CB7AB1"/>
    <w:rsid w:val="00CB7C58"/>
    <w:rsid w:val="00CC050D"/>
    <w:rsid w:val="00CC05C8"/>
    <w:rsid w:val="00CC0B45"/>
    <w:rsid w:val="00CC1329"/>
    <w:rsid w:val="00CC14AF"/>
    <w:rsid w:val="00CC19A6"/>
    <w:rsid w:val="00CC22BD"/>
    <w:rsid w:val="00CC28FC"/>
    <w:rsid w:val="00CC3B03"/>
    <w:rsid w:val="00CC5725"/>
    <w:rsid w:val="00CC6957"/>
    <w:rsid w:val="00CC768B"/>
    <w:rsid w:val="00CC76F1"/>
    <w:rsid w:val="00CC7BD9"/>
    <w:rsid w:val="00CD03B4"/>
    <w:rsid w:val="00CD09F1"/>
    <w:rsid w:val="00CD1226"/>
    <w:rsid w:val="00CD1452"/>
    <w:rsid w:val="00CD17D1"/>
    <w:rsid w:val="00CD1C54"/>
    <w:rsid w:val="00CD228C"/>
    <w:rsid w:val="00CD29CB"/>
    <w:rsid w:val="00CD2CF6"/>
    <w:rsid w:val="00CD300C"/>
    <w:rsid w:val="00CD3D59"/>
    <w:rsid w:val="00CD4989"/>
    <w:rsid w:val="00CD542B"/>
    <w:rsid w:val="00CD570E"/>
    <w:rsid w:val="00CD5963"/>
    <w:rsid w:val="00CD59D6"/>
    <w:rsid w:val="00CD633D"/>
    <w:rsid w:val="00CD69E3"/>
    <w:rsid w:val="00CD6A91"/>
    <w:rsid w:val="00CD7127"/>
    <w:rsid w:val="00CD78F5"/>
    <w:rsid w:val="00CE0816"/>
    <w:rsid w:val="00CE0D1E"/>
    <w:rsid w:val="00CE0D63"/>
    <w:rsid w:val="00CE122C"/>
    <w:rsid w:val="00CE342D"/>
    <w:rsid w:val="00CE37DC"/>
    <w:rsid w:val="00CE42CB"/>
    <w:rsid w:val="00CE4740"/>
    <w:rsid w:val="00CE4FA3"/>
    <w:rsid w:val="00CE5092"/>
    <w:rsid w:val="00CE542C"/>
    <w:rsid w:val="00CE5BB7"/>
    <w:rsid w:val="00CE609B"/>
    <w:rsid w:val="00CE63C9"/>
    <w:rsid w:val="00CE64D5"/>
    <w:rsid w:val="00CE66D4"/>
    <w:rsid w:val="00CE67E2"/>
    <w:rsid w:val="00CE7247"/>
    <w:rsid w:val="00CE739A"/>
    <w:rsid w:val="00CE762D"/>
    <w:rsid w:val="00CE7752"/>
    <w:rsid w:val="00CE7E1B"/>
    <w:rsid w:val="00CE7EF0"/>
    <w:rsid w:val="00CE7FCD"/>
    <w:rsid w:val="00CF0575"/>
    <w:rsid w:val="00CF060E"/>
    <w:rsid w:val="00CF0B37"/>
    <w:rsid w:val="00CF0BF6"/>
    <w:rsid w:val="00CF2235"/>
    <w:rsid w:val="00CF2280"/>
    <w:rsid w:val="00CF2FDB"/>
    <w:rsid w:val="00CF3C8E"/>
    <w:rsid w:val="00CF3EE7"/>
    <w:rsid w:val="00CF41F7"/>
    <w:rsid w:val="00CF46F5"/>
    <w:rsid w:val="00CF47B0"/>
    <w:rsid w:val="00CF4870"/>
    <w:rsid w:val="00CF51BC"/>
    <w:rsid w:val="00CF5DFF"/>
    <w:rsid w:val="00CF7180"/>
    <w:rsid w:val="00CF730D"/>
    <w:rsid w:val="00CF75F9"/>
    <w:rsid w:val="00CF7F1A"/>
    <w:rsid w:val="00D001AA"/>
    <w:rsid w:val="00D005FA"/>
    <w:rsid w:val="00D006C5"/>
    <w:rsid w:val="00D00AD1"/>
    <w:rsid w:val="00D01028"/>
    <w:rsid w:val="00D017DE"/>
    <w:rsid w:val="00D01D97"/>
    <w:rsid w:val="00D02459"/>
    <w:rsid w:val="00D03A37"/>
    <w:rsid w:val="00D03A5F"/>
    <w:rsid w:val="00D03D79"/>
    <w:rsid w:val="00D03EE6"/>
    <w:rsid w:val="00D0468E"/>
    <w:rsid w:val="00D04E10"/>
    <w:rsid w:val="00D050E9"/>
    <w:rsid w:val="00D05524"/>
    <w:rsid w:val="00D059AE"/>
    <w:rsid w:val="00D0618B"/>
    <w:rsid w:val="00D076DC"/>
    <w:rsid w:val="00D07789"/>
    <w:rsid w:val="00D079A5"/>
    <w:rsid w:val="00D07C53"/>
    <w:rsid w:val="00D10BD5"/>
    <w:rsid w:val="00D10BE9"/>
    <w:rsid w:val="00D11763"/>
    <w:rsid w:val="00D11A87"/>
    <w:rsid w:val="00D11B3B"/>
    <w:rsid w:val="00D11FA1"/>
    <w:rsid w:val="00D12269"/>
    <w:rsid w:val="00D12A0B"/>
    <w:rsid w:val="00D12CEF"/>
    <w:rsid w:val="00D130B4"/>
    <w:rsid w:val="00D1364D"/>
    <w:rsid w:val="00D13B1D"/>
    <w:rsid w:val="00D144C7"/>
    <w:rsid w:val="00D1569E"/>
    <w:rsid w:val="00D15B46"/>
    <w:rsid w:val="00D172EC"/>
    <w:rsid w:val="00D174CD"/>
    <w:rsid w:val="00D17D9E"/>
    <w:rsid w:val="00D20F58"/>
    <w:rsid w:val="00D21AAC"/>
    <w:rsid w:val="00D21BC4"/>
    <w:rsid w:val="00D21CC2"/>
    <w:rsid w:val="00D21D9D"/>
    <w:rsid w:val="00D223AF"/>
    <w:rsid w:val="00D223C6"/>
    <w:rsid w:val="00D22516"/>
    <w:rsid w:val="00D228F5"/>
    <w:rsid w:val="00D229C2"/>
    <w:rsid w:val="00D2321D"/>
    <w:rsid w:val="00D233E8"/>
    <w:rsid w:val="00D233F3"/>
    <w:rsid w:val="00D23FB9"/>
    <w:rsid w:val="00D246A9"/>
    <w:rsid w:val="00D25132"/>
    <w:rsid w:val="00D25712"/>
    <w:rsid w:val="00D25BCC"/>
    <w:rsid w:val="00D2624B"/>
    <w:rsid w:val="00D266AC"/>
    <w:rsid w:val="00D26F0A"/>
    <w:rsid w:val="00D275F0"/>
    <w:rsid w:val="00D27A27"/>
    <w:rsid w:val="00D27B05"/>
    <w:rsid w:val="00D27EBD"/>
    <w:rsid w:val="00D301AD"/>
    <w:rsid w:val="00D30747"/>
    <w:rsid w:val="00D31DA5"/>
    <w:rsid w:val="00D32AB2"/>
    <w:rsid w:val="00D33A3D"/>
    <w:rsid w:val="00D33BDF"/>
    <w:rsid w:val="00D33E8F"/>
    <w:rsid w:val="00D33FA5"/>
    <w:rsid w:val="00D343FA"/>
    <w:rsid w:val="00D34874"/>
    <w:rsid w:val="00D34E8B"/>
    <w:rsid w:val="00D34F0F"/>
    <w:rsid w:val="00D34F3F"/>
    <w:rsid w:val="00D356D3"/>
    <w:rsid w:val="00D36445"/>
    <w:rsid w:val="00D37301"/>
    <w:rsid w:val="00D375E1"/>
    <w:rsid w:val="00D3796F"/>
    <w:rsid w:val="00D40036"/>
    <w:rsid w:val="00D40DDA"/>
    <w:rsid w:val="00D41BE1"/>
    <w:rsid w:val="00D41E29"/>
    <w:rsid w:val="00D42E00"/>
    <w:rsid w:val="00D43479"/>
    <w:rsid w:val="00D44714"/>
    <w:rsid w:val="00D4499B"/>
    <w:rsid w:val="00D44E9E"/>
    <w:rsid w:val="00D4552A"/>
    <w:rsid w:val="00D45717"/>
    <w:rsid w:val="00D46131"/>
    <w:rsid w:val="00D468FC"/>
    <w:rsid w:val="00D47206"/>
    <w:rsid w:val="00D5005C"/>
    <w:rsid w:val="00D5037F"/>
    <w:rsid w:val="00D507AE"/>
    <w:rsid w:val="00D50CD1"/>
    <w:rsid w:val="00D50D2D"/>
    <w:rsid w:val="00D50FD3"/>
    <w:rsid w:val="00D50FDB"/>
    <w:rsid w:val="00D5116E"/>
    <w:rsid w:val="00D511FE"/>
    <w:rsid w:val="00D51204"/>
    <w:rsid w:val="00D516D2"/>
    <w:rsid w:val="00D51828"/>
    <w:rsid w:val="00D518C3"/>
    <w:rsid w:val="00D518EE"/>
    <w:rsid w:val="00D51B4B"/>
    <w:rsid w:val="00D51FD3"/>
    <w:rsid w:val="00D5219B"/>
    <w:rsid w:val="00D53353"/>
    <w:rsid w:val="00D53775"/>
    <w:rsid w:val="00D5433A"/>
    <w:rsid w:val="00D54BC5"/>
    <w:rsid w:val="00D54F1E"/>
    <w:rsid w:val="00D55097"/>
    <w:rsid w:val="00D55641"/>
    <w:rsid w:val="00D55C11"/>
    <w:rsid w:val="00D55CFD"/>
    <w:rsid w:val="00D563B8"/>
    <w:rsid w:val="00D56AA3"/>
    <w:rsid w:val="00D56ACF"/>
    <w:rsid w:val="00D56B7E"/>
    <w:rsid w:val="00D56E14"/>
    <w:rsid w:val="00D60076"/>
    <w:rsid w:val="00D6087D"/>
    <w:rsid w:val="00D60A7C"/>
    <w:rsid w:val="00D611ED"/>
    <w:rsid w:val="00D626D0"/>
    <w:rsid w:val="00D62920"/>
    <w:rsid w:val="00D62C5A"/>
    <w:rsid w:val="00D6326A"/>
    <w:rsid w:val="00D63CD3"/>
    <w:rsid w:val="00D63F51"/>
    <w:rsid w:val="00D641BC"/>
    <w:rsid w:val="00D64545"/>
    <w:rsid w:val="00D646AB"/>
    <w:rsid w:val="00D65034"/>
    <w:rsid w:val="00D65448"/>
    <w:rsid w:val="00D65E9F"/>
    <w:rsid w:val="00D65FD9"/>
    <w:rsid w:val="00D661AA"/>
    <w:rsid w:val="00D67156"/>
    <w:rsid w:val="00D67169"/>
    <w:rsid w:val="00D67870"/>
    <w:rsid w:val="00D7029A"/>
    <w:rsid w:val="00D70456"/>
    <w:rsid w:val="00D715E6"/>
    <w:rsid w:val="00D71DC9"/>
    <w:rsid w:val="00D72161"/>
    <w:rsid w:val="00D7295F"/>
    <w:rsid w:val="00D72BC2"/>
    <w:rsid w:val="00D72C20"/>
    <w:rsid w:val="00D72D2C"/>
    <w:rsid w:val="00D731BC"/>
    <w:rsid w:val="00D735A8"/>
    <w:rsid w:val="00D765D4"/>
    <w:rsid w:val="00D768D6"/>
    <w:rsid w:val="00D769A7"/>
    <w:rsid w:val="00D76F65"/>
    <w:rsid w:val="00D77280"/>
    <w:rsid w:val="00D772C0"/>
    <w:rsid w:val="00D8040B"/>
    <w:rsid w:val="00D80D10"/>
    <w:rsid w:val="00D81750"/>
    <w:rsid w:val="00D8286D"/>
    <w:rsid w:val="00D829FC"/>
    <w:rsid w:val="00D83139"/>
    <w:rsid w:val="00D83BAB"/>
    <w:rsid w:val="00D85461"/>
    <w:rsid w:val="00D8596B"/>
    <w:rsid w:val="00D85BF3"/>
    <w:rsid w:val="00D860CF"/>
    <w:rsid w:val="00D86C80"/>
    <w:rsid w:val="00D86D2F"/>
    <w:rsid w:val="00D8704D"/>
    <w:rsid w:val="00D87446"/>
    <w:rsid w:val="00D8760E"/>
    <w:rsid w:val="00D87FBF"/>
    <w:rsid w:val="00D909F6"/>
    <w:rsid w:val="00D90AAE"/>
    <w:rsid w:val="00D91B30"/>
    <w:rsid w:val="00D91B5B"/>
    <w:rsid w:val="00D925AC"/>
    <w:rsid w:val="00D93146"/>
    <w:rsid w:val="00D93548"/>
    <w:rsid w:val="00D93AF5"/>
    <w:rsid w:val="00D93E14"/>
    <w:rsid w:val="00D9413D"/>
    <w:rsid w:val="00D9414C"/>
    <w:rsid w:val="00D94D1D"/>
    <w:rsid w:val="00D95332"/>
    <w:rsid w:val="00D9597C"/>
    <w:rsid w:val="00D96965"/>
    <w:rsid w:val="00D969FB"/>
    <w:rsid w:val="00D96B4F"/>
    <w:rsid w:val="00DA027B"/>
    <w:rsid w:val="00DA042F"/>
    <w:rsid w:val="00DA0481"/>
    <w:rsid w:val="00DA11C4"/>
    <w:rsid w:val="00DA125E"/>
    <w:rsid w:val="00DA185A"/>
    <w:rsid w:val="00DA2143"/>
    <w:rsid w:val="00DA21EC"/>
    <w:rsid w:val="00DA229F"/>
    <w:rsid w:val="00DA38C0"/>
    <w:rsid w:val="00DA4284"/>
    <w:rsid w:val="00DA479F"/>
    <w:rsid w:val="00DA4DD1"/>
    <w:rsid w:val="00DA51A8"/>
    <w:rsid w:val="00DA5390"/>
    <w:rsid w:val="00DA6028"/>
    <w:rsid w:val="00DA6660"/>
    <w:rsid w:val="00DA7803"/>
    <w:rsid w:val="00DA7986"/>
    <w:rsid w:val="00DB128C"/>
    <w:rsid w:val="00DB1C20"/>
    <w:rsid w:val="00DB1EA3"/>
    <w:rsid w:val="00DB2287"/>
    <w:rsid w:val="00DB2D3A"/>
    <w:rsid w:val="00DB3005"/>
    <w:rsid w:val="00DB31CD"/>
    <w:rsid w:val="00DB35A5"/>
    <w:rsid w:val="00DB441C"/>
    <w:rsid w:val="00DB5F61"/>
    <w:rsid w:val="00DB678D"/>
    <w:rsid w:val="00DB79B9"/>
    <w:rsid w:val="00DB7CE0"/>
    <w:rsid w:val="00DB7EA3"/>
    <w:rsid w:val="00DC06CE"/>
    <w:rsid w:val="00DC0824"/>
    <w:rsid w:val="00DC0B5F"/>
    <w:rsid w:val="00DC11B3"/>
    <w:rsid w:val="00DC2651"/>
    <w:rsid w:val="00DC2EA0"/>
    <w:rsid w:val="00DC3055"/>
    <w:rsid w:val="00DC4255"/>
    <w:rsid w:val="00DC5190"/>
    <w:rsid w:val="00DC5442"/>
    <w:rsid w:val="00DC5D55"/>
    <w:rsid w:val="00DC61AA"/>
    <w:rsid w:val="00DC6205"/>
    <w:rsid w:val="00DC622E"/>
    <w:rsid w:val="00DC6614"/>
    <w:rsid w:val="00DC67A0"/>
    <w:rsid w:val="00DC6E26"/>
    <w:rsid w:val="00DD0094"/>
    <w:rsid w:val="00DD053E"/>
    <w:rsid w:val="00DD0717"/>
    <w:rsid w:val="00DD0BF9"/>
    <w:rsid w:val="00DD206A"/>
    <w:rsid w:val="00DD22FD"/>
    <w:rsid w:val="00DD23D6"/>
    <w:rsid w:val="00DD24DB"/>
    <w:rsid w:val="00DD3708"/>
    <w:rsid w:val="00DD39B3"/>
    <w:rsid w:val="00DD445B"/>
    <w:rsid w:val="00DD4792"/>
    <w:rsid w:val="00DD4C97"/>
    <w:rsid w:val="00DD4EA8"/>
    <w:rsid w:val="00DD5424"/>
    <w:rsid w:val="00DD548C"/>
    <w:rsid w:val="00DD5729"/>
    <w:rsid w:val="00DD575D"/>
    <w:rsid w:val="00DD5C3E"/>
    <w:rsid w:val="00DD5D1B"/>
    <w:rsid w:val="00DD6052"/>
    <w:rsid w:val="00DD695D"/>
    <w:rsid w:val="00DD7707"/>
    <w:rsid w:val="00DD7BF9"/>
    <w:rsid w:val="00DE0088"/>
    <w:rsid w:val="00DE039C"/>
    <w:rsid w:val="00DE0D1F"/>
    <w:rsid w:val="00DE0D2C"/>
    <w:rsid w:val="00DE104F"/>
    <w:rsid w:val="00DE121D"/>
    <w:rsid w:val="00DE2A57"/>
    <w:rsid w:val="00DE314F"/>
    <w:rsid w:val="00DE36DE"/>
    <w:rsid w:val="00DE37FE"/>
    <w:rsid w:val="00DE5177"/>
    <w:rsid w:val="00DE55F5"/>
    <w:rsid w:val="00DE58D3"/>
    <w:rsid w:val="00DE5A56"/>
    <w:rsid w:val="00DE5EDF"/>
    <w:rsid w:val="00DE6E3E"/>
    <w:rsid w:val="00DE7CDB"/>
    <w:rsid w:val="00DE7E2E"/>
    <w:rsid w:val="00DF0B96"/>
    <w:rsid w:val="00DF0C11"/>
    <w:rsid w:val="00DF149B"/>
    <w:rsid w:val="00DF1986"/>
    <w:rsid w:val="00DF2F7E"/>
    <w:rsid w:val="00DF37B5"/>
    <w:rsid w:val="00DF3A31"/>
    <w:rsid w:val="00DF4264"/>
    <w:rsid w:val="00DF579E"/>
    <w:rsid w:val="00DF5B85"/>
    <w:rsid w:val="00DF6782"/>
    <w:rsid w:val="00DF6855"/>
    <w:rsid w:val="00DF72C4"/>
    <w:rsid w:val="00DF747B"/>
    <w:rsid w:val="00DF7AA8"/>
    <w:rsid w:val="00E000D3"/>
    <w:rsid w:val="00E0027E"/>
    <w:rsid w:val="00E00ACA"/>
    <w:rsid w:val="00E010C7"/>
    <w:rsid w:val="00E0169D"/>
    <w:rsid w:val="00E01E47"/>
    <w:rsid w:val="00E01F24"/>
    <w:rsid w:val="00E0260E"/>
    <w:rsid w:val="00E02DA9"/>
    <w:rsid w:val="00E02EC6"/>
    <w:rsid w:val="00E03081"/>
    <w:rsid w:val="00E03194"/>
    <w:rsid w:val="00E035A8"/>
    <w:rsid w:val="00E03676"/>
    <w:rsid w:val="00E04040"/>
    <w:rsid w:val="00E04C56"/>
    <w:rsid w:val="00E05604"/>
    <w:rsid w:val="00E05616"/>
    <w:rsid w:val="00E0641A"/>
    <w:rsid w:val="00E0645A"/>
    <w:rsid w:val="00E06DA1"/>
    <w:rsid w:val="00E07AC8"/>
    <w:rsid w:val="00E07F49"/>
    <w:rsid w:val="00E10DAE"/>
    <w:rsid w:val="00E11888"/>
    <w:rsid w:val="00E11C2F"/>
    <w:rsid w:val="00E12225"/>
    <w:rsid w:val="00E1259D"/>
    <w:rsid w:val="00E12B2A"/>
    <w:rsid w:val="00E1322D"/>
    <w:rsid w:val="00E1343F"/>
    <w:rsid w:val="00E13467"/>
    <w:rsid w:val="00E13E3B"/>
    <w:rsid w:val="00E1461B"/>
    <w:rsid w:val="00E146BD"/>
    <w:rsid w:val="00E14C57"/>
    <w:rsid w:val="00E14CF8"/>
    <w:rsid w:val="00E14FFA"/>
    <w:rsid w:val="00E151E2"/>
    <w:rsid w:val="00E155B7"/>
    <w:rsid w:val="00E15B93"/>
    <w:rsid w:val="00E16552"/>
    <w:rsid w:val="00E16B9C"/>
    <w:rsid w:val="00E16F2A"/>
    <w:rsid w:val="00E170F7"/>
    <w:rsid w:val="00E20325"/>
    <w:rsid w:val="00E20CBF"/>
    <w:rsid w:val="00E2149B"/>
    <w:rsid w:val="00E216A5"/>
    <w:rsid w:val="00E217B1"/>
    <w:rsid w:val="00E21C06"/>
    <w:rsid w:val="00E21C8F"/>
    <w:rsid w:val="00E21DA2"/>
    <w:rsid w:val="00E222C1"/>
    <w:rsid w:val="00E224B3"/>
    <w:rsid w:val="00E2275F"/>
    <w:rsid w:val="00E2293C"/>
    <w:rsid w:val="00E22A4A"/>
    <w:rsid w:val="00E22E19"/>
    <w:rsid w:val="00E237D7"/>
    <w:rsid w:val="00E2517F"/>
    <w:rsid w:val="00E256C0"/>
    <w:rsid w:val="00E25749"/>
    <w:rsid w:val="00E26593"/>
    <w:rsid w:val="00E26DC9"/>
    <w:rsid w:val="00E2786E"/>
    <w:rsid w:val="00E27BDB"/>
    <w:rsid w:val="00E27E78"/>
    <w:rsid w:val="00E308D7"/>
    <w:rsid w:val="00E309C3"/>
    <w:rsid w:val="00E31C59"/>
    <w:rsid w:val="00E31E09"/>
    <w:rsid w:val="00E3234E"/>
    <w:rsid w:val="00E32FA4"/>
    <w:rsid w:val="00E3354B"/>
    <w:rsid w:val="00E33ECC"/>
    <w:rsid w:val="00E345B2"/>
    <w:rsid w:val="00E34D51"/>
    <w:rsid w:val="00E358C1"/>
    <w:rsid w:val="00E36087"/>
    <w:rsid w:val="00E36980"/>
    <w:rsid w:val="00E36C32"/>
    <w:rsid w:val="00E37062"/>
    <w:rsid w:val="00E37695"/>
    <w:rsid w:val="00E376B2"/>
    <w:rsid w:val="00E37C70"/>
    <w:rsid w:val="00E4011D"/>
    <w:rsid w:val="00E4073C"/>
    <w:rsid w:val="00E4099E"/>
    <w:rsid w:val="00E41C62"/>
    <w:rsid w:val="00E41D6D"/>
    <w:rsid w:val="00E4236A"/>
    <w:rsid w:val="00E428FF"/>
    <w:rsid w:val="00E43195"/>
    <w:rsid w:val="00E43C00"/>
    <w:rsid w:val="00E4428C"/>
    <w:rsid w:val="00E45827"/>
    <w:rsid w:val="00E45982"/>
    <w:rsid w:val="00E459A6"/>
    <w:rsid w:val="00E4711A"/>
    <w:rsid w:val="00E4711D"/>
    <w:rsid w:val="00E471CC"/>
    <w:rsid w:val="00E47E86"/>
    <w:rsid w:val="00E505F0"/>
    <w:rsid w:val="00E50842"/>
    <w:rsid w:val="00E50B29"/>
    <w:rsid w:val="00E517AA"/>
    <w:rsid w:val="00E5299B"/>
    <w:rsid w:val="00E533E4"/>
    <w:rsid w:val="00E534D7"/>
    <w:rsid w:val="00E54978"/>
    <w:rsid w:val="00E54A88"/>
    <w:rsid w:val="00E54B2C"/>
    <w:rsid w:val="00E54C6D"/>
    <w:rsid w:val="00E5508A"/>
    <w:rsid w:val="00E5562B"/>
    <w:rsid w:val="00E55924"/>
    <w:rsid w:val="00E55BDA"/>
    <w:rsid w:val="00E55FF0"/>
    <w:rsid w:val="00E5662A"/>
    <w:rsid w:val="00E56677"/>
    <w:rsid w:val="00E571E2"/>
    <w:rsid w:val="00E57C26"/>
    <w:rsid w:val="00E60B02"/>
    <w:rsid w:val="00E61AC0"/>
    <w:rsid w:val="00E61BA4"/>
    <w:rsid w:val="00E6245B"/>
    <w:rsid w:val="00E62B19"/>
    <w:rsid w:val="00E62E35"/>
    <w:rsid w:val="00E63392"/>
    <w:rsid w:val="00E64159"/>
    <w:rsid w:val="00E642EE"/>
    <w:rsid w:val="00E64470"/>
    <w:rsid w:val="00E64867"/>
    <w:rsid w:val="00E64C0F"/>
    <w:rsid w:val="00E65027"/>
    <w:rsid w:val="00E651E2"/>
    <w:rsid w:val="00E65D45"/>
    <w:rsid w:val="00E66014"/>
    <w:rsid w:val="00E661CA"/>
    <w:rsid w:val="00E66DC6"/>
    <w:rsid w:val="00E67488"/>
    <w:rsid w:val="00E70035"/>
    <w:rsid w:val="00E704B0"/>
    <w:rsid w:val="00E7091A"/>
    <w:rsid w:val="00E70A97"/>
    <w:rsid w:val="00E70E6E"/>
    <w:rsid w:val="00E70FC1"/>
    <w:rsid w:val="00E7125E"/>
    <w:rsid w:val="00E713BE"/>
    <w:rsid w:val="00E7166A"/>
    <w:rsid w:val="00E71B0A"/>
    <w:rsid w:val="00E72766"/>
    <w:rsid w:val="00E7393D"/>
    <w:rsid w:val="00E74484"/>
    <w:rsid w:val="00E74F1A"/>
    <w:rsid w:val="00E75B53"/>
    <w:rsid w:val="00E75DF5"/>
    <w:rsid w:val="00E763AF"/>
    <w:rsid w:val="00E763C8"/>
    <w:rsid w:val="00E769FE"/>
    <w:rsid w:val="00E76B5B"/>
    <w:rsid w:val="00E76CD2"/>
    <w:rsid w:val="00E76F02"/>
    <w:rsid w:val="00E76F1A"/>
    <w:rsid w:val="00E77189"/>
    <w:rsid w:val="00E77545"/>
    <w:rsid w:val="00E77712"/>
    <w:rsid w:val="00E777A9"/>
    <w:rsid w:val="00E7793B"/>
    <w:rsid w:val="00E77ADA"/>
    <w:rsid w:val="00E77D1A"/>
    <w:rsid w:val="00E80340"/>
    <w:rsid w:val="00E83723"/>
    <w:rsid w:val="00E837AA"/>
    <w:rsid w:val="00E83CCB"/>
    <w:rsid w:val="00E85004"/>
    <w:rsid w:val="00E851BB"/>
    <w:rsid w:val="00E85E04"/>
    <w:rsid w:val="00E8636F"/>
    <w:rsid w:val="00E867D9"/>
    <w:rsid w:val="00E86910"/>
    <w:rsid w:val="00E86F7D"/>
    <w:rsid w:val="00E8739B"/>
    <w:rsid w:val="00E87D10"/>
    <w:rsid w:val="00E912C3"/>
    <w:rsid w:val="00E91503"/>
    <w:rsid w:val="00E91E9D"/>
    <w:rsid w:val="00E92C70"/>
    <w:rsid w:val="00E935B9"/>
    <w:rsid w:val="00E9407D"/>
    <w:rsid w:val="00E940C2"/>
    <w:rsid w:val="00E952FD"/>
    <w:rsid w:val="00E96098"/>
    <w:rsid w:val="00E96672"/>
    <w:rsid w:val="00E96955"/>
    <w:rsid w:val="00E969D2"/>
    <w:rsid w:val="00E96B28"/>
    <w:rsid w:val="00E970E9"/>
    <w:rsid w:val="00EA05C2"/>
    <w:rsid w:val="00EA1035"/>
    <w:rsid w:val="00EA2232"/>
    <w:rsid w:val="00EA26A9"/>
    <w:rsid w:val="00EA2753"/>
    <w:rsid w:val="00EA325E"/>
    <w:rsid w:val="00EA338D"/>
    <w:rsid w:val="00EA34B7"/>
    <w:rsid w:val="00EA36FD"/>
    <w:rsid w:val="00EA3B62"/>
    <w:rsid w:val="00EA4118"/>
    <w:rsid w:val="00EA5179"/>
    <w:rsid w:val="00EA5EF3"/>
    <w:rsid w:val="00EA67BD"/>
    <w:rsid w:val="00EA69B7"/>
    <w:rsid w:val="00EA6C59"/>
    <w:rsid w:val="00EA6DD1"/>
    <w:rsid w:val="00EA7848"/>
    <w:rsid w:val="00EA7A5B"/>
    <w:rsid w:val="00EA7BD8"/>
    <w:rsid w:val="00EA7DFB"/>
    <w:rsid w:val="00EB059E"/>
    <w:rsid w:val="00EB0974"/>
    <w:rsid w:val="00EB1F7B"/>
    <w:rsid w:val="00EB2739"/>
    <w:rsid w:val="00EB2749"/>
    <w:rsid w:val="00EB4FEC"/>
    <w:rsid w:val="00EB4FF8"/>
    <w:rsid w:val="00EB5F50"/>
    <w:rsid w:val="00EB6042"/>
    <w:rsid w:val="00EB659F"/>
    <w:rsid w:val="00EB6C6B"/>
    <w:rsid w:val="00EB6E8E"/>
    <w:rsid w:val="00EB720F"/>
    <w:rsid w:val="00EB75D3"/>
    <w:rsid w:val="00EB7D4D"/>
    <w:rsid w:val="00EC0A15"/>
    <w:rsid w:val="00EC0F98"/>
    <w:rsid w:val="00EC0FF6"/>
    <w:rsid w:val="00EC11D6"/>
    <w:rsid w:val="00EC12F7"/>
    <w:rsid w:val="00EC14C7"/>
    <w:rsid w:val="00EC1F9D"/>
    <w:rsid w:val="00EC216B"/>
    <w:rsid w:val="00EC27B0"/>
    <w:rsid w:val="00EC29EE"/>
    <w:rsid w:val="00EC2B4A"/>
    <w:rsid w:val="00EC2C8F"/>
    <w:rsid w:val="00EC2D13"/>
    <w:rsid w:val="00EC2DD8"/>
    <w:rsid w:val="00EC326E"/>
    <w:rsid w:val="00EC3513"/>
    <w:rsid w:val="00EC3C54"/>
    <w:rsid w:val="00EC3D85"/>
    <w:rsid w:val="00EC485C"/>
    <w:rsid w:val="00EC4BA4"/>
    <w:rsid w:val="00EC50D0"/>
    <w:rsid w:val="00EC585A"/>
    <w:rsid w:val="00EC6065"/>
    <w:rsid w:val="00EC61BC"/>
    <w:rsid w:val="00EC6327"/>
    <w:rsid w:val="00EC654E"/>
    <w:rsid w:val="00EC68D5"/>
    <w:rsid w:val="00EC7266"/>
    <w:rsid w:val="00ED0748"/>
    <w:rsid w:val="00ED0F8F"/>
    <w:rsid w:val="00ED1618"/>
    <w:rsid w:val="00ED29B3"/>
    <w:rsid w:val="00ED3051"/>
    <w:rsid w:val="00ED36A7"/>
    <w:rsid w:val="00ED3CA2"/>
    <w:rsid w:val="00ED3F08"/>
    <w:rsid w:val="00ED3FB4"/>
    <w:rsid w:val="00ED3FFC"/>
    <w:rsid w:val="00ED45A1"/>
    <w:rsid w:val="00ED529B"/>
    <w:rsid w:val="00ED5446"/>
    <w:rsid w:val="00ED56D8"/>
    <w:rsid w:val="00ED5BA2"/>
    <w:rsid w:val="00ED5BB7"/>
    <w:rsid w:val="00ED5F03"/>
    <w:rsid w:val="00ED6437"/>
    <w:rsid w:val="00ED7173"/>
    <w:rsid w:val="00ED77B9"/>
    <w:rsid w:val="00EE03DE"/>
    <w:rsid w:val="00EE05A5"/>
    <w:rsid w:val="00EE12A7"/>
    <w:rsid w:val="00EE18F3"/>
    <w:rsid w:val="00EE2680"/>
    <w:rsid w:val="00EE2A3B"/>
    <w:rsid w:val="00EE2B22"/>
    <w:rsid w:val="00EE2C94"/>
    <w:rsid w:val="00EE3199"/>
    <w:rsid w:val="00EE3EC9"/>
    <w:rsid w:val="00EE4181"/>
    <w:rsid w:val="00EE42A4"/>
    <w:rsid w:val="00EE50F1"/>
    <w:rsid w:val="00EE6177"/>
    <w:rsid w:val="00EE7307"/>
    <w:rsid w:val="00EE7D94"/>
    <w:rsid w:val="00EF0054"/>
    <w:rsid w:val="00EF0FE9"/>
    <w:rsid w:val="00EF14E8"/>
    <w:rsid w:val="00EF15E0"/>
    <w:rsid w:val="00EF19C4"/>
    <w:rsid w:val="00EF1D61"/>
    <w:rsid w:val="00EF264F"/>
    <w:rsid w:val="00EF2E86"/>
    <w:rsid w:val="00EF3192"/>
    <w:rsid w:val="00EF325D"/>
    <w:rsid w:val="00EF33A2"/>
    <w:rsid w:val="00EF35EC"/>
    <w:rsid w:val="00EF3879"/>
    <w:rsid w:val="00EF3890"/>
    <w:rsid w:val="00EF3BF6"/>
    <w:rsid w:val="00EF3F9D"/>
    <w:rsid w:val="00EF4D8B"/>
    <w:rsid w:val="00EF5258"/>
    <w:rsid w:val="00EF5691"/>
    <w:rsid w:val="00EF56E1"/>
    <w:rsid w:val="00EF5798"/>
    <w:rsid w:val="00EF57AB"/>
    <w:rsid w:val="00EF5DA1"/>
    <w:rsid w:val="00EF5FFC"/>
    <w:rsid w:val="00EF628C"/>
    <w:rsid w:val="00EF6538"/>
    <w:rsid w:val="00EF763E"/>
    <w:rsid w:val="00EF7712"/>
    <w:rsid w:val="00EF7749"/>
    <w:rsid w:val="00EF7B8A"/>
    <w:rsid w:val="00EF7BF7"/>
    <w:rsid w:val="00F005DD"/>
    <w:rsid w:val="00F00AF1"/>
    <w:rsid w:val="00F01462"/>
    <w:rsid w:val="00F01656"/>
    <w:rsid w:val="00F01983"/>
    <w:rsid w:val="00F02311"/>
    <w:rsid w:val="00F02404"/>
    <w:rsid w:val="00F02964"/>
    <w:rsid w:val="00F03300"/>
    <w:rsid w:val="00F033AA"/>
    <w:rsid w:val="00F03629"/>
    <w:rsid w:val="00F04D98"/>
    <w:rsid w:val="00F05027"/>
    <w:rsid w:val="00F0557A"/>
    <w:rsid w:val="00F05690"/>
    <w:rsid w:val="00F05D96"/>
    <w:rsid w:val="00F06666"/>
    <w:rsid w:val="00F067BD"/>
    <w:rsid w:val="00F06EAA"/>
    <w:rsid w:val="00F0737E"/>
    <w:rsid w:val="00F102DF"/>
    <w:rsid w:val="00F10A51"/>
    <w:rsid w:val="00F10D59"/>
    <w:rsid w:val="00F10E47"/>
    <w:rsid w:val="00F11284"/>
    <w:rsid w:val="00F11669"/>
    <w:rsid w:val="00F118E9"/>
    <w:rsid w:val="00F11AB9"/>
    <w:rsid w:val="00F120E4"/>
    <w:rsid w:val="00F123B1"/>
    <w:rsid w:val="00F13154"/>
    <w:rsid w:val="00F13377"/>
    <w:rsid w:val="00F135A0"/>
    <w:rsid w:val="00F136D3"/>
    <w:rsid w:val="00F13D4D"/>
    <w:rsid w:val="00F14361"/>
    <w:rsid w:val="00F143B3"/>
    <w:rsid w:val="00F1469A"/>
    <w:rsid w:val="00F153B5"/>
    <w:rsid w:val="00F155C0"/>
    <w:rsid w:val="00F15A55"/>
    <w:rsid w:val="00F15DED"/>
    <w:rsid w:val="00F163B6"/>
    <w:rsid w:val="00F171BA"/>
    <w:rsid w:val="00F17732"/>
    <w:rsid w:val="00F177EA"/>
    <w:rsid w:val="00F17B6E"/>
    <w:rsid w:val="00F17CD8"/>
    <w:rsid w:val="00F17F45"/>
    <w:rsid w:val="00F20062"/>
    <w:rsid w:val="00F20199"/>
    <w:rsid w:val="00F202A2"/>
    <w:rsid w:val="00F204A8"/>
    <w:rsid w:val="00F210E6"/>
    <w:rsid w:val="00F216CA"/>
    <w:rsid w:val="00F23500"/>
    <w:rsid w:val="00F23A22"/>
    <w:rsid w:val="00F2444B"/>
    <w:rsid w:val="00F245EB"/>
    <w:rsid w:val="00F24607"/>
    <w:rsid w:val="00F248C7"/>
    <w:rsid w:val="00F24CEA"/>
    <w:rsid w:val="00F24F6C"/>
    <w:rsid w:val="00F25B52"/>
    <w:rsid w:val="00F25C61"/>
    <w:rsid w:val="00F26158"/>
    <w:rsid w:val="00F26921"/>
    <w:rsid w:val="00F26A9F"/>
    <w:rsid w:val="00F26B1C"/>
    <w:rsid w:val="00F26F5C"/>
    <w:rsid w:val="00F26FD2"/>
    <w:rsid w:val="00F276F3"/>
    <w:rsid w:val="00F27AAE"/>
    <w:rsid w:val="00F27F3E"/>
    <w:rsid w:val="00F30554"/>
    <w:rsid w:val="00F31432"/>
    <w:rsid w:val="00F31BBC"/>
    <w:rsid w:val="00F32513"/>
    <w:rsid w:val="00F32695"/>
    <w:rsid w:val="00F326DC"/>
    <w:rsid w:val="00F32EE6"/>
    <w:rsid w:val="00F332ED"/>
    <w:rsid w:val="00F33F9D"/>
    <w:rsid w:val="00F34343"/>
    <w:rsid w:val="00F34E8C"/>
    <w:rsid w:val="00F350E0"/>
    <w:rsid w:val="00F350E9"/>
    <w:rsid w:val="00F35E06"/>
    <w:rsid w:val="00F361FC"/>
    <w:rsid w:val="00F36340"/>
    <w:rsid w:val="00F37B9F"/>
    <w:rsid w:val="00F40430"/>
    <w:rsid w:val="00F410B7"/>
    <w:rsid w:val="00F41120"/>
    <w:rsid w:val="00F41482"/>
    <w:rsid w:val="00F42177"/>
    <w:rsid w:val="00F42194"/>
    <w:rsid w:val="00F427D0"/>
    <w:rsid w:val="00F42931"/>
    <w:rsid w:val="00F430B1"/>
    <w:rsid w:val="00F43D5D"/>
    <w:rsid w:val="00F43F42"/>
    <w:rsid w:val="00F445FC"/>
    <w:rsid w:val="00F44904"/>
    <w:rsid w:val="00F454E5"/>
    <w:rsid w:val="00F45C18"/>
    <w:rsid w:val="00F45DD7"/>
    <w:rsid w:val="00F46278"/>
    <w:rsid w:val="00F46486"/>
    <w:rsid w:val="00F46617"/>
    <w:rsid w:val="00F467BB"/>
    <w:rsid w:val="00F47011"/>
    <w:rsid w:val="00F4738E"/>
    <w:rsid w:val="00F47F07"/>
    <w:rsid w:val="00F50122"/>
    <w:rsid w:val="00F5026D"/>
    <w:rsid w:val="00F502DB"/>
    <w:rsid w:val="00F50674"/>
    <w:rsid w:val="00F51640"/>
    <w:rsid w:val="00F52263"/>
    <w:rsid w:val="00F530A2"/>
    <w:rsid w:val="00F53C73"/>
    <w:rsid w:val="00F54183"/>
    <w:rsid w:val="00F54829"/>
    <w:rsid w:val="00F54AEC"/>
    <w:rsid w:val="00F5510F"/>
    <w:rsid w:val="00F5555D"/>
    <w:rsid w:val="00F55E5F"/>
    <w:rsid w:val="00F55F32"/>
    <w:rsid w:val="00F560B7"/>
    <w:rsid w:val="00F5645F"/>
    <w:rsid w:val="00F56FE6"/>
    <w:rsid w:val="00F605C8"/>
    <w:rsid w:val="00F613C4"/>
    <w:rsid w:val="00F617DB"/>
    <w:rsid w:val="00F61C83"/>
    <w:rsid w:val="00F61FDA"/>
    <w:rsid w:val="00F62606"/>
    <w:rsid w:val="00F627FC"/>
    <w:rsid w:val="00F63310"/>
    <w:rsid w:val="00F64AB6"/>
    <w:rsid w:val="00F64ADA"/>
    <w:rsid w:val="00F6554D"/>
    <w:rsid w:val="00F65678"/>
    <w:rsid w:val="00F659CF"/>
    <w:rsid w:val="00F664DC"/>
    <w:rsid w:val="00F66625"/>
    <w:rsid w:val="00F66813"/>
    <w:rsid w:val="00F66941"/>
    <w:rsid w:val="00F70189"/>
    <w:rsid w:val="00F7020D"/>
    <w:rsid w:val="00F713D5"/>
    <w:rsid w:val="00F71ACB"/>
    <w:rsid w:val="00F71CF8"/>
    <w:rsid w:val="00F71F46"/>
    <w:rsid w:val="00F729E2"/>
    <w:rsid w:val="00F72C9D"/>
    <w:rsid w:val="00F73143"/>
    <w:rsid w:val="00F7339F"/>
    <w:rsid w:val="00F73472"/>
    <w:rsid w:val="00F73726"/>
    <w:rsid w:val="00F740EE"/>
    <w:rsid w:val="00F7495D"/>
    <w:rsid w:val="00F74BF4"/>
    <w:rsid w:val="00F74FEE"/>
    <w:rsid w:val="00F751FA"/>
    <w:rsid w:val="00F7592B"/>
    <w:rsid w:val="00F75D15"/>
    <w:rsid w:val="00F766DA"/>
    <w:rsid w:val="00F779C9"/>
    <w:rsid w:val="00F77BD7"/>
    <w:rsid w:val="00F77C5E"/>
    <w:rsid w:val="00F77E15"/>
    <w:rsid w:val="00F801E7"/>
    <w:rsid w:val="00F805B6"/>
    <w:rsid w:val="00F80B22"/>
    <w:rsid w:val="00F81870"/>
    <w:rsid w:val="00F819E0"/>
    <w:rsid w:val="00F83030"/>
    <w:rsid w:val="00F8323E"/>
    <w:rsid w:val="00F838F7"/>
    <w:rsid w:val="00F8400A"/>
    <w:rsid w:val="00F84AB9"/>
    <w:rsid w:val="00F84C01"/>
    <w:rsid w:val="00F85362"/>
    <w:rsid w:val="00F86421"/>
    <w:rsid w:val="00F866B3"/>
    <w:rsid w:val="00F874D9"/>
    <w:rsid w:val="00F90994"/>
    <w:rsid w:val="00F90EC6"/>
    <w:rsid w:val="00F913B0"/>
    <w:rsid w:val="00F915FB"/>
    <w:rsid w:val="00F92822"/>
    <w:rsid w:val="00F93C85"/>
    <w:rsid w:val="00F93F09"/>
    <w:rsid w:val="00F949BB"/>
    <w:rsid w:val="00F94B6F"/>
    <w:rsid w:val="00F95343"/>
    <w:rsid w:val="00F9593F"/>
    <w:rsid w:val="00F95CF8"/>
    <w:rsid w:val="00F960C3"/>
    <w:rsid w:val="00F961BC"/>
    <w:rsid w:val="00F962AC"/>
    <w:rsid w:val="00F96627"/>
    <w:rsid w:val="00F979F8"/>
    <w:rsid w:val="00FA019F"/>
    <w:rsid w:val="00FA020B"/>
    <w:rsid w:val="00FA0FCD"/>
    <w:rsid w:val="00FA13D7"/>
    <w:rsid w:val="00FA1971"/>
    <w:rsid w:val="00FA205B"/>
    <w:rsid w:val="00FA2F67"/>
    <w:rsid w:val="00FA3538"/>
    <w:rsid w:val="00FA4CAA"/>
    <w:rsid w:val="00FA5027"/>
    <w:rsid w:val="00FA5E8E"/>
    <w:rsid w:val="00FA69EF"/>
    <w:rsid w:val="00FA7D8D"/>
    <w:rsid w:val="00FB0161"/>
    <w:rsid w:val="00FB060C"/>
    <w:rsid w:val="00FB2032"/>
    <w:rsid w:val="00FB2281"/>
    <w:rsid w:val="00FB2371"/>
    <w:rsid w:val="00FB253A"/>
    <w:rsid w:val="00FB2693"/>
    <w:rsid w:val="00FB26DC"/>
    <w:rsid w:val="00FB2A9D"/>
    <w:rsid w:val="00FB2F4A"/>
    <w:rsid w:val="00FB3448"/>
    <w:rsid w:val="00FB3E5B"/>
    <w:rsid w:val="00FB46E2"/>
    <w:rsid w:val="00FB5B62"/>
    <w:rsid w:val="00FB5E87"/>
    <w:rsid w:val="00FB625F"/>
    <w:rsid w:val="00FB691C"/>
    <w:rsid w:val="00FB789A"/>
    <w:rsid w:val="00FC0042"/>
    <w:rsid w:val="00FC00DC"/>
    <w:rsid w:val="00FC02A7"/>
    <w:rsid w:val="00FC0412"/>
    <w:rsid w:val="00FC18E4"/>
    <w:rsid w:val="00FC255D"/>
    <w:rsid w:val="00FC3889"/>
    <w:rsid w:val="00FC3E4B"/>
    <w:rsid w:val="00FC4166"/>
    <w:rsid w:val="00FC4E8A"/>
    <w:rsid w:val="00FC4F53"/>
    <w:rsid w:val="00FC531B"/>
    <w:rsid w:val="00FC5428"/>
    <w:rsid w:val="00FC5502"/>
    <w:rsid w:val="00FC631D"/>
    <w:rsid w:val="00FC6DC4"/>
    <w:rsid w:val="00FC70BC"/>
    <w:rsid w:val="00FC7273"/>
    <w:rsid w:val="00FC733A"/>
    <w:rsid w:val="00FC7A27"/>
    <w:rsid w:val="00FD0215"/>
    <w:rsid w:val="00FD0442"/>
    <w:rsid w:val="00FD05EB"/>
    <w:rsid w:val="00FD082D"/>
    <w:rsid w:val="00FD10F9"/>
    <w:rsid w:val="00FD1909"/>
    <w:rsid w:val="00FD1F81"/>
    <w:rsid w:val="00FD2145"/>
    <w:rsid w:val="00FD23DF"/>
    <w:rsid w:val="00FD284F"/>
    <w:rsid w:val="00FD2CE1"/>
    <w:rsid w:val="00FD354F"/>
    <w:rsid w:val="00FD3596"/>
    <w:rsid w:val="00FD3812"/>
    <w:rsid w:val="00FD3A14"/>
    <w:rsid w:val="00FD432E"/>
    <w:rsid w:val="00FD5601"/>
    <w:rsid w:val="00FD5F31"/>
    <w:rsid w:val="00FD66CF"/>
    <w:rsid w:val="00FD6710"/>
    <w:rsid w:val="00FD686E"/>
    <w:rsid w:val="00FD68C1"/>
    <w:rsid w:val="00FD78A3"/>
    <w:rsid w:val="00FE0249"/>
    <w:rsid w:val="00FE04C6"/>
    <w:rsid w:val="00FE0592"/>
    <w:rsid w:val="00FE07A8"/>
    <w:rsid w:val="00FE07DA"/>
    <w:rsid w:val="00FE289B"/>
    <w:rsid w:val="00FE2B8E"/>
    <w:rsid w:val="00FE2BF2"/>
    <w:rsid w:val="00FE2E44"/>
    <w:rsid w:val="00FE342C"/>
    <w:rsid w:val="00FE38E8"/>
    <w:rsid w:val="00FE4114"/>
    <w:rsid w:val="00FE4ADF"/>
    <w:rsid w:val="00FE5C97"/>
    <w:rsid w:val="00FE5EFE"/>
    <w:rsid w:val="00FE5F2D"/>
    <w:rsid w:val="00FE7560"/>
    <w:rsid w:val="00FE7B08"/>
    <w:rsid w:val="00FE7E5C"/>
    <w:rsid w:val="00FE7F0F"/>
    <w:rsid w:val="00FE7F72"/>
    <w:rsid w:val="00FE7F79"/>
    <w:rsid w:val="00FF0407"/>
    <w:rsid w:val="00FF142C"/>
    <w:rsid w:val="00FF1717"/>
    <w:rsid w:val="00FF1F05"/>
    <w:rsid w:val="00FF2849"/>
    <w:rsid w:val="00FF3164"/>
    <w:rsid w:val="00FF3457"/>
    <w:rsid w:val="00FF3E34"/>
    <w:rsid w:val="00FF4F10"/>
    <w:rsid w:val="00FF524A"/>
    <w:rsid w:val="00FF5283"/>
    <w:rsid w:val="00FF5A34"/>
    <w:rsid w:val="00FF5E4B"/>
    <w:rsid w:val="00FF62EC"/>
    <w:rsid w:val="00FF6510"/>
    <w:rsid w:val="00FF651A"/>
    <w:rsid w:val="00FF6F93"/>
    <w:rsid w:val="00FF70F8"/>
    <w:rsid w:val="00FF711C"/>
    <w:rsid w:val="00FF73E8"/>
    <w:rsid w:val="00FF7CE0"/>
    <w:rsid w:val="00FF7D62"/>
    <w:rsid w:val="00FF7E93"/>
    <w:rsid w:val="030315C9"/>
    <w:rsid w:val="03AD7CD5"/>
    <w:rsid w:val="05A34454"/>
    <w:rsid w:val="09FB2DA4"/>
    <w:rsid w:val="0B637D02"/>
    <w:rsid w:val="0CBC5E79"/>
    <w:rsid w:val="0D342860"/>
    <w:rsid w:val="0D6C64CC"/>
    <w:rsid w:val="0FD61CDB"/>
    <w:rsid w:val="177E5132"/>
    <w:rsid w:val="17D6E897"/>
    <w:rsid w:val="19FC54DB"/>
    <w:rsid w:val="1AE654C9"/>
    <w:rsid w:val="1C616F16"/>
    <w:rsid w:val="1C6F1578"/>
    <w:rsid w:val="20EA7FA9"/>
    <w:rsid w:val="23ED2BC2"/>
    <w:rsid w:val="241476CE"/>
    <w:rsid w:val="25306C36"/>
    <w:rsid w:val="25B763DF"/>
    <w:rsid w:val="263333E5"/>
    <w:rsid w:val="26DDE5CD"/>
    <w:rsid w:val="27D16B78"/>
    <w:rsid w:val="2A9F0A58"/>
    <w:rsid w:val="2E0060A3"/>
    <w:rsid w:val="33460DA3"/>
    <w:rsid w:val="34B51002"/>
    <w:rsid w:val="37FF0D4C"/>
    <w:rsid w:val="39945089"/>
    <w:rsid w:val="3BE974F7"/>
    <w:rsid w:val="3E18333B"/>
    <w:rsid w:val="3FB719D2"/>
    <w:rsid w:val="3FE30023"/>
    <w:rsid w:val="3FEB86CA"/>
    <w:rsid w:val="3FF15277"/>
    <w:rsid w:val="412D2B5D"/>
    <w:rsid w:val="423334A7"/>
    <w:rsid w:val="42536247"/>
    <w:rsid w:val="42F220E4"/>
    <w:rsid w:val="4BEF7554"/>
    <w:rsid w:val="4BFFCFD2"/>
    <w:rsid w:val="4C0D5959"/>
    <w:rsid w:val="4FBF3312"/>
    <w:rsid w:val="510C4BBA"/>
    <w:rsid w:val="52315278"/>
    <w:rsid w:val="53332274"/>
    <w:rsid w:val="53EC73DF"/>
    <w:rsid w:val="555947EF"/>
    <w:rsid w:val="57B81E04"/>
    <w:rsid w:val="59005ACC"/>
    <w:rsid w:val="5A013CFE"/>
    <w:rsid w:val="5A5D17EE"/>
    <w:rsid w:val="5C536310"/>
    <w:rsid w:val="5EBE3EA2"/>
    <w:rsid w:val="643F76D0"/>
    <w:rsid w:val="65FE199A"/>
    <w:rsid w:val="65FEF603"/>
    <w:rsid w:val="67698F7B"/>
    <w:rsid w:val="694F49A5"/>
    <w:rsid w:val="6A6988F3"/>
    <w:rsid w:val="6A6DFE96"/>
    <w:rsid w:val="6D6B2AE7"/>
    <w:rsid w:val="6DBDC494"/>
    <w:rsid w:val="6E765B8F"/>
    <w:rsid w:val="6EEF9CCD"/>
    <w:rsid w:val="6FF7672F"/>
    <w:rsid w:val="6FFDAC18"/>
    <w:rsid w:val="72BC1140"/>
    <w:rsid w:val="72EBE061"/>
    <w:rsid w:val="73C768A3"/>
    <w:rsid w:val="78655BE1"/>
    <w:rsid w:val="79FD7215"/>
    <w:rsid w:val="7BBE3762"/>
    <w:rsid w:val="7C8A7CA9"/>
    <w:rsid w:val="7E8B12A5"/>
    <w:rsid w:val="7EF77739"/>
    <w:rsid w:val="7EF7C6C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v:stroke weight="1.25pt"/>
    </o:shapedefaults>
    <o:shapelayout v:ext="edit">
      <o:idmap v:ext="edit" data="1"/>
    </o:shapelayout>
  </w:shapeDefaults>
  <w:decimalSymbol w:val="."/>
  <w:listSeparator w:val=","/>
  <w14:docId w14:val="0D830859"/>
  <w15:docId w15:val="{78ED90CC-04E4-4A72-A645-A2F5ADBD0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1" w:qFormat="1"/>
    <w:lsdException w:name="heading 3" w:uiPriority="1" w:qFormat="1"/>
    <w:lsdException w:name="heading 4" w:uiPriority="1" w:qFormat="1"/>
    <w:lsdException w:name="heading 5" w:uiPriority="0"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uiPriority="0" w:qFormat="1"/>
    <w:lsdException w:name="footnote text" w:uiPriority="0" w:qFormat="1"/>
    <w:lsdException w:name="annotation text" w:semiHidden="1" w:uiPriority="0" w:qFormat="1"/>
    <w:lsdException w:name="header" w:uiPriority="0" w:unhideWhenUsed="1" w:qFormat="1"/>
    <w:lsdException w:name="footer" w:unhideWhenUsed="1" w:qFormat="1"/>
    <w:lsdException w:name="index heading" w:semiHidden="1" w:unhideWhenUsed="1"/>
    <w:lsdException w:name="caption" w:unhideWhenUsed="1" w:qFormat="1"/>
    <w:lsdException w:name="table of figures" w:unhideWhenUsed="1" w:qFormat="1"/>
    <w:lsdException w:name="envelope address" w:semiHidden="1" w:unhideWhenUsed="1"/>
    <w:lsdException w:name="envelope return" w:semiHidden="1" w:unhideWhenUsed="1"/>
    <w:lsdException w:name="footnote reference" w:uiPriority="0" w:qFormat="1"/>
    <w:lsdException w:name="annotation reference" w:qFormat="1"/>
    <w:lsdException w:name="line number" w:semiHidden="1" w:unhideWhenUsed="1"/>
    <w:lsdException w:name="page number" w:qFormat="1"/>
    <w:lsdException w:name="endnote reference" w:semiHidden="1" w:uiPriority="0" w:qFormat="1"/>
    <w:lsdException w:name="endnote text" w:semiHidden="1" w:uiPriority="0" w:qFormat="1"/>
    <w:lsdException w:name="table of authorities" w:semiHidden="1" w:unhideWhenUsed="1"/>
    <w:lsdException w:name="macro" w:semiHidden="1" w:unhideWhenUsed="1"/>
    <w:lsdException w:name="toa heading" w:semiHidden="1" w:unhideWhenUsed="1"/>
    <w:lsdException w:name="List" w:uiPriority="0" w:qFormat="1"/>
    <w:lsdException w:name="List Bullet" w:uiPriority="0" w:qFormat="1"/>
    <w:lsdException w:name="List Number" w:semiHidden="1" w:unhideWhenUsed="1"/>
    <w:lsdException w:name="List 2" w:uiPriority="0" w:qFormat="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uiPriority="0" w:qFormat="1"/>
    <w:lsdException w:name="List Continue" w:uiPriority="0" w:qFormat="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uiPriority="0" w:qFormat="1"/>
    <w:lsdException w:name="Body Text 2" w:uiPriority="0" w:qFormat="1"/>
    <w:lsdException w:name="Body Text 3" w:uiPriority="0" w:qFormat="1"/>
    <w:lsdException w:name="Body Text Indent 2" w:uiPriority="0" w:qFormat="1"/>
    <w:lsdException w:name="Body Text Indent 3" w:uiPriority="0" w:qFormat="1"/>
    <w:lsdException w:name="Block Text" w:uiPriority="0" w:qFormat="1"/>
    <w:lsdException w:name="Hyperlink" w:qFormat="1"/>
    <w:lsdException w:name="FollowedHyperlink" w:uiPriority="0" w:qFormat="1"/>
    <w:lsdException w:name="Strong" w:uiPriority="0" w:qFormat="1"/>
    <w:lsdException w:name="Emphasis" w:uiPriority="20" w:qFormat="1"/>
    <w:lsdException w:name="Document Map" w:uiPriority="0"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Arial Narrow" w:eastAsia="仿宋_GB2312" w:hAnsi="Arial Narrow" w:cs="Arial"/>
      <w:kern w:val="2"/>
      <w:sz w:val="22"/>
      <w:szCs w:val="22"/>
    </w:rPr>
  </w:style>
  <w:style w:type="paragraph" w:styleId="1">
    <w:name w:val="heading 1"/>
    <w:basedOn w:val="a"/>
    <w:next w:val="a"/>
    <w:link w:val="10"/>
    <w:uiPriority w:val="1"/>
    <w:qFormat/>
    <w:pPr>
      <w:keepNext/>
      <w:numPr>
        <w:numId w:val="1"/>
      </w:numPr>
      <w:adjustRightInd w:val="0"/>
      <w:snapToGrid w:val="0"/>
      <w:spacing w:after="240"/>
      <w:jc w:val="both"/>
      <w:outlineLvl w:val="0"/>
    </w:pPr>
    <w:rPr>
      <w:rFonts w:ascii="Verdana" w:eastAsia="华文细黑" w:hAnsi="Verdana"/>
      <w:b/>
      <w:color w:val="3F9C35"/>
      <w:kern w:val="0"/>
      <w:sz w:val="36"/>
      <w:szCs w:val="36"/>
    </w:rPr>
  </w:style>
  <w:style w:type="paragraph" w:styleId="2">
    <w:name w:val="heading 2"/>
    <w:basedOn w:val="a"/>
    <w:next w:val="a"/>
    <w:link w:val="20"/>
    <w:uiPriority w:val="1"/>
    <w:qFormat/>
    <w:pPr>
      <w:keepNext/>
      <w:numPr>
        <w:ilvl w:val="1"/>
        <w:numId w:val="1"/>
      </w:numPr>
      <w:adjustRightInd w:val="0"/>
      <w:snapToGrid w:val="0"/>
      <w:spacing w:before="240" w:after="240"/>
      <w:jc w:val="both"/>
      <w:outlineLvl w:val="1"/>
    </w:pPr>
    <w:rPr>
      <w:rFonts w:ascii="Verdana" w:eastAsia="华文细黑" w:hAnsi="Verdana" w:cstheme="majorBidi"/>
      <w:b/>
      <w:bCs/>
      <w:iCs/>
      <w:color w:val="00B0F0"/>
      <w:kern w:val="0"/>
      <w:sz w:val="28"/>
      <w:szCs w:val="24"/>
    </w:rPr>
  </w:style>
  <w:style w:type="paragraph" w:styleId="3">
    <w:name w:val="heading 3"/>
    <w:basedOn w:val="2"/>
    <w:next w:val="a"/>
    <w:link w:val="30"/>
    <w:uiPriority w:val="1"/>
    <w:qFormat/>
    <w:pPr>
      <w:numPr>
        <w:ilvl w:val="2"/>
      </w:numPr>
      <w:outlineLvl w:val="2"/>
    </w:pPr>
    <w:rPr>
      <w:sz w:val="24"/>
    </w:rPr>
  </w:style>
  <w:style w:type="paragraph" w:styleId="4">
    <w:name w:val="heading 4"/>
    <w:basedOn w:val="3"/>
    <w:next w:val="a"/>
    <w:link w:val="40"/>
    <w:uiPriority w:val="1"/>
    <w:qFormat/>
    <w:pPr>
      <w:numPr>
        <w:ilvl w:val="3"/>
      </w:numPr>
      <w:outlineLvl w:val="3"/>
    </w:pPr>
    <w:rPr>
      <w:sz w:val="22"/>
    </w:rPr>
  </w:style>
  <w:style w:type="paragraph" w:styleId="5">
    <w:name w:val="heading 5"/>
    <w:basedOn w:val="a"/>
    <w:next w:val="a"/>
    <w:link w:val="50"/>
    <w:qFormat/>
    <w:pPr>
      <w:keepNext/>
      <w:numPr>
        <w:ilvl w:val="4"/>
        <w:numId w:val="2"/>
      </w:numPr>
      <w:tabs>
        <w:tab w:val="left" w:pos="540"/>
      </w:tabs>
      <w:spacing w:before="240"/>
      <w:outlineLvl w:val="4"/>
    </w:pPr>
    <w:rPr>
      <w:rFonts w:ascii="'宋体" w:eastAsia="'宋体"/>
    </w:rPr>
  </w:style>
  <w:style w:type="paragraph" w:styleId="6">
    <w:name w:val="heading 6"/>
    <w:basedOn w:val="a"/>
    <w:next w:val="a"/>
    <w:link w:val="60"/>
    <w:qFormat/>
    <w:pPr>
      <w:keepNext/>
      <w:numPr>
        <w:ilvl w:val="5"/>
        <w:numId w:val="2"/>
      </w:numPr>
      <w:tabs>
        <w:tab w:val="left" w:pos="540"/>
      </w:tabs>
      <w:outlineLvl w:val="5"/>
    </w:pPr>
    <w:rPr>
      <w:lang w:eastAsia="en-US"/>
    </w:rPr>
  </w:style>
  <w:style w:type="paragraph" w:styleId="7">
    <w:name w:val="heading 7"/>
    <w:basedOn w:val="a"/>
    <w:next w:val="a"/>
    <w:link w:val="70"/>
    <w:uiPriority w:val="9"/>
    <w:semiHidden/>
    <w:unhideWhenUsed/>
    <w:qFormat/>
    <w:pPr>
      <w:spacing w:before="240" w:after="60"/>
      <w:outlineLvl w:val="6"/>
    </w:pPr>
    <w:rPr>
      <w:rFonts w:ascii="Calibri" w:hAnsi="Calibri"/>
      <w:sz w:val="24"/>
      <w:szCs w:val="24"/>
    </w:rPr>
  </w:style>
  <w:style w:type="paragraph" w:styleId="8">
    <w:name w:val="heading 8"/>
    <w:basedOn w:val="a"/>
    <w:next w:val="a"/>
    <w:link w:val="80"/>
    <w:uiPriority w:val="9"/>
    <w:semiHidden/>
    <w:unhideWhenUsed/>
    <w:qFormat/>
    <w:pPr>
      <w:spacing w:before="240" w:after="60"/>
      <w:outlineLvl w:val="7"/>
    </w:pPr>
    <w:rPr>
      <w:rFonts w:ascii="Calibri" w:hAnsi="Calibri"/>
      <w:i/>
      <w:iCs/>
      <w:sz w:val="24"/>
      <w:szCs w:val="24"/>
    </w:rPr>
  </w:style>
  <w:style w:type="paragraph" w:styleId="9">
    <w:name w:val="heading 9"/>
    <w:basedOn w:val="a"/>
    <w:next w:val="a"/>
    <w:link w:val="90"/>
    <w:uiPriority w:val="9"/>
    <w:semiHidden/>
    <w:unhideWhenUsed/>
    <w:qFormat/>
    <w:pPr>
      <w:spacing w:before="240" w:after="60"/>
      <w:outlineLvl w:val="8"/>
    </w:pPr>
    <w:rPr>
      <w:rFonts w:ascii="Cambria" w:hAnsi="Cambri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unhideWhenUsed/>
    <w:qFormat/>
    <w:pPr>
      <w:spacing w:after="100" w:line="276" w:lineRule="auto"/>
      <w:ind w:left="1320"/>
    </w:pPr>
    <w:rPr>
      <w:rFonts w:ascii="Arial" w:hAnsi="Arial"/>
      <w:kern w:val="0"/>
    </w:rPr>
  </w:style>
  <w:style w:type="paragraph" w:styleId="a3">
    <w:name w:val="Note Heading"/>
    <w:basedOn w:val="a"/>
    <w:next w:val="a"/>
    <w:link w:val="a4"/>
    <w:qFormat/>
    <w:pPr>
      <w:spacing w:before="120" w:after="120"/>
    </w:pPr>
    <w:rPr>
      <w:rFonts w:ascii="EYInterstate Light" w:hAnsi="EYInterstate Light"/>
      <w:b/>
      <w:kern w:val="24"/>
      <w:sz w:val="18"/>
      <w:lang w:eastAsia="en-US"/>
    </w:rPr>
  </w:style>
  <w:style w:type="paragraph" w:styleId="a5">
    <w:name w:val="Normal Indent"/>
    <w:basedOn w:val="a"/>
    <w:qFormat/>
    <w:pPr>
      <w:widowControl w:val="0"/>
      <w:jc w:val="both"/>
    </w:pPr>
    <w:rPr>
      <w:rFonts w:ascii="MS Mincho" w:hAnsi="Arial"/>
      <w:b/>
      <w:kern w:val="20"/>
    </w:rPr>
  </w:style>
  <w:style w:type="paragraph" w:styleId="a6">
    <w:name w:val="caption"/>
    <w:basedOn w:val="a"/>
    <w:next w:val="a"/>
    <w:uiPriority w:val="99"/>
    <w:unhideWhenUsed/>
    <w:qFormat/>
    <w:rPr>
      <w:b/>
      <w:bCs/>
    </w:rPr>
  </w:style>
  <w:style w:type="paragraph" w:styleId="a7">
    <w:name w:val="List Bullet"/>
    <w:basedOn w:val="a"/>
    <w:qFormat/>
    <w:pPr>
      <w:spacing w:after="240" w:line="240" w:lineRule="atLeast"/>
    </w:pPr>
  </w:style>
  <w:style w:type="paragraph" w:styleId="a8">
    <w:name w:val="Document Map"/>
    <w:basedOn w:val="a"/>
    <w:link w:val="a9"/>
    <w:unhideWhenUsed/>
    <w:qFormat/>
    <w:rPr>
      <w:rFonts w:ascii="Tahoma" w:hAnsi="Tahoma" w:cs="Tahoma"/>
      <w:sz w:val="16"/>
      <w:szCs w:val="16"/>
    </w:rPr>
  </w:style>
  <w:style w:type="paragraph" w:styleId="aa">
    <w:name w:val="annotation text"/>
    <w:basedOn w:val="a"/>
    <w:link w:val="ab"/>
    <w:semiHidden/>
    <w:qFormat/>
    <w:rPr>
      <w:kern w:val="0"/>
    </w:rPr>
  </w:style>
  <w:style w:type="paragraph" w:styleId="31">
    <w:name w:val="Body Text 3"/>
    <w:basedOn w:val="a"/>
    <w:link w:val="32"/>
    <w:autoRedefine/>
    <w:qFormat/>
    <w:pPr>
      <w:jc w:val="center"/>
    </w:pPr>
    <w:rPr>
      <w:rFonts w:ascii="宋体" w:hAnsi="宋体"/>
      <w:sz w:val="16"/>
      <w:lang w:eastAsia="en-US"/>
    </w:rPr>
  </w:style>
  <w:style w:type="paragraph" w:styleId="ac">
    <w:name w:val="Body Text"/>
    <w:basedOn w:val="a"/>
    <w:link w:val="ad"/>
    <w:uiPriority w:val="1"/>
    <w:qFormat/>
    <w:pPr>
      <w:spacing w:before="240" w:line="360" w:lineRule="auto"/>
      <w:ind w:right="-91"/>
      <w:jc w:val="both"/>
    </w:pPr>
    <w:rPr>
      <w:rFonts w:ascii="FZFangSong-Z02" w:eastAsia="FZFangSong-Z02"/>
    </w:rPr>
  </w:style>
  <w:style w:type="paragraph" w:styleId="ae">
    <w:name w:val="Body Text Indent"/>
    <w:basedOn w:val="a"/>
    <w:link w:val="af"/>
    <w:qFormat/>
    <w:pPr>
      <w:spacing w:before="240"/>
      <w:ind w:right="-180" w:firstLine="540"/>
      <w:jc w:val="both"/>
    </w:pPr>
    <w:rPr>
      <w:rFonts w:ascii="宋体" w:hAnsi="宋体"/>
      <w:spacing w:val="-6"/>
    </w:rPr>
  </w:style>
  <w:style w:type="paragraph" w:styleId="21">
    <w:name w:val="List 2"/>
    <w:basedOn w:val="a"/>
    <w:autoRedefine/>
    <w:qFormat/>
    <w:pPr>
      <w:ind w:left="720" w:hanging="360"/>
    </w:pPr>
  </w:style>
  <w:style w:type="paragraph" w:styleId="af0">
    <w:name w:val="List Continue"/>
    <w:basedOn w:val="a"/>
    <w:qFormat/>
    <w:pPr>
      <w:spacing w:after="120"/>
      <w:ind w:left="360"/>
    </w:pPr>
  </w:style>
  <w:style w:type="paragraph" w:styleId="af1">
    <w:name w:val="Block Text"/>
    <w:basedOn w:val="a"/>
    <w:qFormat/>
    <w:pPr>
      <w:spacing w:before="240" w:line="360" w:lineRule="auto"/>
      <w:ind w:left="360" w:right="-91" w:firstLine="360"/>
      <w:jc w:val="both"/>
    </w:pPr>
    <w:rPr>
      <w:rFonts w:ascii="FZFangSong-Z02" w:eastAsia="FZFangSong-Z02"/>
    </w:rPr>
  </w:style>
  <w:style w:type="paragraph" w:styleId="TOC5">
    <w:name w:val="toc 5"/>
    <w:basedOn w:val="a"/>
    <w:next w:val="a"/>
    <w:uiPriority w:val="39"/>
    <w:unhideWhenUsed/>
    <w:qFormat/>
    <w:pPr>
      <w:spacing w:after="100" w:line="276" w:lineRule="auto"/>
      <w:ind w:left="880"/>
    </w:pPr>
    <w:rPr>
      <w:rFonts w:ascii="Arial" w:hAnsi="Arial"/>
      <w:kern w:val="0"/>
    </w:rPr>
  </w:style>
  <w:style w:type="paragraph" w:styleId="TOC3">
    <w:name w:val="toc 3"/>
    <w:basedOn w:val="a"/>
    <w:next w:val="a"/>
    <w:uiPriority w:val="39"/>
    <w:qFormat/>
    <w:pPr>
      <w:tabs>
        <w:tab w:val="left" w:pos="1100"/>
        <w:tab w:val="right" w:leader="dot" w:pos="8297"/>
      </w:tabs>
      <w:ind w:left="480"/>
    </w:pPr>
    <w:rPr>
      <w:rFonts w:ascii="华文楷体" w:hAnsi="华文楷体"/>
      <w:i/>
      <w:iCs/>
    </w:rPr>
  </w:style>
  <w:style w:type="paragraph" w:styleId="TOC8">
    <w:name w:val="toc 8"/>
    <w:basedOn w:val="a"/>
    <w:next w:val="a"/>
    <w:uiPriority w:val="39"/>
    <w:unhideWhenUsed/>
    <w:qFormat/>
    <w:pPr>
      <w:spacing w:after="100" w:line="276" w:lineRule="auto"/>
      <w:ind w:left="1540"/>
    </w:pPr>
    <w:rPr>
      <w:rFonts w:ascii="Arial" w:hAnsi="Arial"/>
      <w:kern w:val="0"/>
    </w:rPr>
  </w:style>
  <w:style w:type="paragraph" w:styleId="22">
    <w:name w:val="Body Text Indent 2"/>
    <w:basedOn w:val="a"/>
    <w:link w:val="23"/>
    <w:qFormat/>
    <w:pPr>
      <w:spacing w:line="360" w:lineRule="auto"/>
      <w:ind w:firstLine="720"/>
    </w:pPr>
    <w:rPr>
      <w:rFonts w:ascii="楷体" w:eastAsia="楷体"/>
    </w:rPr>
  </w:style>
  <w:style w:type="paragraph" w:styleId="af2">
    <w:name w:val="endnote text"/>
    <w:basedOn w:val="a"/>
    <w:link w:val="af3"/>
    <w:autoRedefine/>
    <w:semiHidden/>
    <w:qFormat/>
    <w:pPr>
      <w:snapToGrid w:val="0"/>
    </w:pPr>
  </w:style>
  <w:style w:type="paragraph" w:styleId="af4">
    <w:name w:val="Balloon Text"/>
    <w:basedOn w:val="a"/>
    <w:link w:val="af5"/>
    <w:semiHidden/>
    <w:qFormat/>
    <w:rPr>
      <w:rFonts w:ascii="Tahoma" w:hAnsi="Tahoma" w:cs="Tahoma"/>
      <w:sz w:val="16"/>
      <w:szCs w:val="16"/>
    </w:rPr>
  </w:style>
  <w:style w:type="paragraph" w:styleId="af6">
    <w:name w:val="footer"/>
    <w:basedOn w:val="a"/>
    <w:link w:val="af7"/>
    <w:autoRedefine/>
    <w:uiPriority w:val="99"/>
    <w:unhideWhenUsed/>
    <w:qFormat/>
    <w:pPr>
      <w:tabs>
        <w:tab w:val="center" w:pos="4320"/>
        <w:tab w:val="right" w:pos="8640"/>
      </w:tabs>
    </w:pPr>
  </w:style>
  <w:style w:type="paragraph" w:styleId="af8">
    <w:name w:val="header"/>
    <w:basedOn w:val="a"/>
    <w:link w:val="af9"/>
    <w:autoRedefine/>
    <w:unhideWhenUsed/>
    <w:qFormat/>
    <w:pPr>
      <w:tabs>
        <w:tab w:val="center" w:pos="4320"/>
        <w:tab w:val="right" w:pos="8640"/>
      </w:tabs>
    </w:pPr>
  </w:style>
  <w:style w:type="paragraph" w:styleId="TOC1">
    <w:name w:val="toc 1"/>
    <w:basedOn w:val="a"/>
    <w:next w:val="a"/>
    <w:autoRedefine/>
    <w:uiPriority w:val="39"/>
    <w:qFormat/>
    <w:pPr>
      <w:tabs>
        <w:tab w:val="left" w:pos="840"/>
        <w:tab w:val="right" w:leader="dot" w:pos="8280"/>
      </w:tabs>
      <w:snapToGrid w:val="0"/>
      <w:jc w:val="both"/>
    </w:pPr>
    <w:rPr>
      <w:rFonts w:ascii="Verdana" w:eastAsia="Verdana" w:hAnsi="Verdana"/>
      <w:bCs/>
      <w:caps/>
      <w:szCs w:val="36"/>
    </w:rPr>
  </w:style>
  <w:style w:type="paragraph" w:styleId="TOC4">
    <w:name w:val="toc 4"/>
    <w:basedOn w:val="a"/>
    <w:next w:val="a"/>
    <w:autoRedefine/>
    <w:uiPriority w:val="39"/>
    <w:unhideWhenUsed/>
    <w:qFormat/>
    <w:pPr>
      <w:spacing w:after="100" w:line="276" w:lineRule="auto"/>
      <w:ind w:left="660"/>
    </w:pPr>
    <w:rPr>
      <w:rFonts w:ascii="Arial" w:hAnsi="Arial"/>
      <w:kern w:val="0"/>
    </w:rPr>
  </w:style>
  <w:style w:type="paragraph" w:styleId="afa">
    <w:name w:val="Subtitle"/>
    <w:basedOn w:val="a"/>
    <w:next w:val="a"/>
    <w:link w:val="afb"/>
    <w:autoRedefine/>
    <w:uiPriority w:val="11"/>
    <w:qFormat/>
    <w:pPr>
      <w:spacing w:beforeLines="50" w:afterLines="50"/>
      <w:outlineLvl w:val="2"/>
    </w:pPr>
    <w:rPr>
      <w:rFonts w:ascii="楷体" w:eastAsia="楷体" w:hAnsi="楷体" w:cs="Times New Roman"/>
      <w:b/>
      <w:bCs/>
      <w:i/>
      <w:iCs/>
      <w:color w:val="17365D"/>
      <w:kern w:val="0"/>
      <w:sz w:val="24"/>
      <w:szCs w:val="24"/>
    </w:rPr>
  </w:style>
  <w:style w:type="paragraph" w:styleId="afc">
    <w:name w:val="List"/>
    <w:basedOn w:val="a"/>
    <w:autoRedefine/>
    <w:qFormat/>
    <w:pPr>
      <w:ind w:left="360" w:hanging="360"/>
    </w:pPr>
  </w:style>
  <w:style w:type="paragraph" w:styleId="afd">
    <w:name w:val="footnote text"/>
    <w:basedOn w:val="a"/>
    <w:link w:val="afe"/>
    <w:autoRedefine/>
    <w:qFormat/>
    <w:pPr>
      <w:widowControl w:val="0"/>
      <w:snapToGrid w:val="0"/>
    </w:pPr>
    <w:rPr>
      <w:rFonts w:ascii="Century" w:eastAsia="MS Mincho" w:hAnsi="Century"/>
      <w:sz w:val="21"/>
      <w:lang w:eastAsia="ja-JP"/>
    </w:rPr>
  </w:style>
  <w:style w:type="paragraph" w:styleId="TOC6">
    <w:name w:val="toc 6"/>
    <w:basedOn w:val="a"/>
    <w:next w:val="a"/>
    <w:autoRedefine/>
    <w:uiPriority w:val="39"/>
    <w:unhideWhenUsed/>
    <w:qFormat/>
    <w:pPr>
      <w:spacing w:after="100" w:line="276" w:lineRule="auto"/>
      <w:ind w:left="1100"/>
    </w:pPr>
    <w:rPr>
      <w:rFonts w:ascii="Arial" w:hAnsi="Arial"/>
      <w:kern w:val="0"/>
    </w:rPr>
  </w:style>
  <w:style w:type="paragraph" w:styleId="33">
    <w:name w:val="Body Text Indent 3"/>
    <w:basedOn w:val="a"/>
    <w:link w:val="34"/>
    <w:autoRedefine/>
    <w:qFormat/>
    <w:pPr>
      <w:ind w:right="-90" w:firstLine="540"/>
    </w:pPr>
    <w:rPr>
      <w:rFonts w:eastAsia="'宋体"/>
    </w:rPr>
  </w:style>
  <w:style w:type="paragraph" w:styleId="aff">
    <w:name w:val="table of figures"/>
    <w:basedOn w:val="a"/>
    <w:next w:val="a"/>
    <w:autoRedefine/>
    <w:uiPriority w:val="99"/>
    <w:unhideWhenUsed/>
    <w:qFormat/>
    <w:rPr>
      <w:rFonts w:ascii="华文细黑" w:eastAsia="华文楷体" w:hAnsi="华文细黑"/>
      <w:sz w:val="21"/>
    </w:rPr>
  </w:style>
  <w:style w:type="paragraph" w:styleId="TOC2">
    <w:name w:val="toc 2"/>
    <w:basedOn w:val="a"/>
    <w:next w:val="a"/>
    <w:autoRedefine/>
    <w:uiPriority w:val="39"/>
    <w:qFormat/>
    <w:pPr>
      <w:tabs>
        <w:tab w:val="left" w:pos="880"/>
        <w:tab w:val="right" w:leader="dot" w:pos="8299"/>
      </w:tabs>
      <w:snapToGrid w:val="0"/>
      <w:ind w:left="238"/>
    </w:pPr>
    <w:rPr>
      <w:rFonts w:ascii="Verdana" w:eastAsia="Verdana" w:hAnsi="Verdana"/>
    </w:rPr>
  </w:style>
  <w:style w:type="paragraph" w:styleId="TOC9">
    <w:name w:val="toc 9"/>
    <w:basedOn w:val="a"/>
    <w:next w:val="a"/>
    <w:autoRedefine/>
    <w:uiPriority w:val="39"/>
    <w:unhideWhenUsed/>
    <w:qFormat/>
    <w:pPr>
      <w:spacing w:after="100" w:line="276" w:lineRule="auto"/>
      <w:ind w:left="1760"/>
    </w:pPr>
    <w:rPr>
      <w:rFonts w:ascii="Arial" w:hAnsi="Arial"/>
      <w:kern w:val="0"/>
    </w:rPr>
  </w:style>
  <w:style w:type="paragraph" w:styleId="24">
    <w:name w:val="Body Text 2"/>
    <w:basedOn w:val="a"/>
    <w:link w:val="25"/>
    <w:autoRedefine/>
    <w:qFormat/>
    <w:pPr>
      <w:spacing w:line="360" w:lineRule="auto"/>
      <w:jc w:val="both"/>
    </w:pPr>
    <w:rPr>
      <w:rFonts w:ascii="FZFangSong-Z02" w:eastAsia="FZFangSong-Z02"/>
    </w:rPr>
  </w:style>
  <w:style w:type="paragraph" w:styleId="HTML">
    <w:name w:val="HTML Preformatted"/>
    <w:basedOn w:val="a"/>
    <w:link w:val="HTML0"/>
    <w:autoRedefine/>
    <w:uiPriority w:val="99"/>
    <w:semiHidden/>
    <w:unhideWhenUsed/>
    <w:qFormat/>
    <w:rPr>
      <w:rFonts w:ascii="Courier New" w:hAnsi="Courier New" w:cs="Courier New"/>
    </w:rPr>
  </w:style>
  <w:style w:type="paragraph" w:styleId="aff0">
    <w:name w:val="Normal (Web)"/>
    <w:basedOn w:val="a"/>
    <w:autoRedefine/>
    <w:uiPriority w:val="99"/>
    <w:unhideWhenUsed/>
    <w:qFormat/>
    <w:pPr>
      <w:spacing w:before="100" w:beforeAutospacing="1" w:after="100" w:afterAutospacing="1"/>
    </w:pPr>
    <w:rPr>
      <w:rFonts w:eastAsia="Times New Roman"/>
      <w:kern w:val="0"/>
      <w:sz w:val="24"/>
      <w:szCs w:val="24"/>
    </w:rPr>
  </w:style>
  <w:style w:type="paragraph" w:styleId="aff1">
    <w:name w:val="Title"/>
    <w:basedOn w:val="a"/>
    <w:next w:val="a"/>
    <w:link w:val="aff2"/>
    <w:autoRedefine/>
    <w:uiPriority w:val="10"/>
    <w:qFormat/>
    <w:pPr>
      <w:spacing w:after="240"/>
      <w:contextualSpacing/>
    </w:pPr>
    <w:rPr>
      <w:rFonts w:ascii="华文细黑" w:eastAsia="华文细黑" w:hAnsi="华文细黑" w:cstheme="majorBidi"/>
      <w:b/>
      <w:spacing w:val="-10"/>
      <w:kern w:val="28"/>
      <w:sz w:val="36"/>
      <w:szCs w:val="56"/>
    </w:rPr>
  </w:style>
  <w:style w:type="paragraph" w:styleId="aff3">
    <w:name w:val="annotation subject"/>
    <w:basedOn w:val="aa"/>
    <w:next w:val="aa"/>
    <w:link w:val="aff4"/>
    <w:autoRedefine/>
    <w:semiHidden/>
    <w:qFormat/>
    <w:rPr>
      <w:b/>
      <w:bCs/>
      <w:kern w:val="2"/>
    </w:rPr>
  </w:style>
  <w:style w:type="table" w:styleId="aff5">
    <w:name w:val="Table Grid"/>
    <w:basedOn w:val="a1"/>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6">
    <w:name w:val="Strong"/>
    <w:autoRedefine/>
    <w:qFormat/>
    <w:rPr>
      <w:b/>
    </w:rPr>
  </w:style>
  <w:style w:type="character" w:styleId="aff7">
    <w:name w:val="endnote reference"/>
    <w:autoRedefine/>
    <w:semiHidden/>
    <w:qFormat/>
    <w:rPr>
      <w:vertAlign w:val="superscript"/>
    </w:rPr>
  </w:style>
  <w:style w:type="character" w:styleId="aff8">
    <w:name w:val="page number"/>
    <w:basedOn w:val="a0"/>
    <w:autoRedefine/>
    <w:uiPriority w:val="99"/>
    <w:qFormat/>
  </w:style>
  <w:style w:type="character" w:styleId="aff9">
    <w:name w:val="FollowedHyperlink"/>
    <w:autoRedefine/>
    <w:qFormat/>
    <w:rPr>
      <w:color w:val="800080"/>
      <w:u w:val="single"/>
    </w:rPr>
  </w:style>
  <w:style w:type="character" w:styleId="affa">
    <w:name w:val="Hyperlink"/>
    <w:autoRedefine/>
    <w:uiPriority w:val="99"/>
    <w:qFormat/>
    <w:rPr>
      <w:color w:val="0000FF"/>
      <w:u w:val="single"/>
    </w:rPr>
  </w:style>
  <w:style w:type="character" w:styleId="affb">
    <w:name w:val="annotation reference"/>
    <w:autoRedefine/>
    <w:uiPriority w:val="99"/>
    <w:qFormat/>
    <w:rPr>
      <w:sz w:val="16"/>
      <w:szCs w:val="16"/>
    </w:rPr>
  </w:style>
  <w:style w:type="character" w:styleId="affc">
    <w:name w:val="footnote reference"/>
    <w:autoRedefine/>
    <w:qFormat/>
    <w:rPr>
      <w:vertAlign w:val="superscript"/>
    </w:rPr>
  </w:style>
  <w:style w:type="character" w:customStyle="1" w:styleId="10">
    <w:name w:val="标题 1 字符"/>
    <w:link w:val="1"/>
    <w:autoRedefine/>
    <w:uiPriority w:val="1"/>
    <w:qFormat/>
    <w:rPr>
      <w:rFonts w:ascii="Verdana" w:eastAsia="华文细黑" w:hAnsi="Verdana" w:cs="Arial"/>
      <w:b/>
      <w:color w:val="3F9C35"/>
      <w:sz w:val="36"/>
      <w:szCs w:val="36"/>
    </w:rPr>
  </w:style>
  <w:style w:type="character" w:customStyle="1" w:styleId="20">
    <w:name w:val="标题 2 字符"/>
    <w:link w:val="2"/>
    <w:autoRedefine/>
    <w:uiPriority w:val="1"/>
    <w:qFormat/>
    <w:rPr>
      <w:rFonts w:ascii="Verdana" w:eastAsia="华文细黑" w:hAnsi="Verdana" w:cstheme="majorBidi"/>
      <w:b/>
      <w:bCs/>
      <w:iCs/>
      <w:color w:val="00B0F0"/>
      <w:sz w:val="28"/>
      <w:szCs w:val="24"/>
    </w:rPr>
  </w:style>
  <w:style w:type="character" w:customStyle="1" w:styleId="30">
    <w:name w:val="标题 3 字符"/>
    <w:link w:val="3"/>
    <w:autoRedefine/>
    <w:uiPriority w:val="1"/>
    <w:qFormat/>
    <w:rPr>
      <w:rFonts w:ascii="Verdana" w:eastAsia="华文细黑" w:hAnsi="Verdana" w:cstheme="majorBidi"/>
      <w:b/>
      <w:bCs/>
      <w:iCs/>
      <w:color w:val="00B0F0"/>
      <w:sz w:val="24"/>
      <w:szCs w:val="24"/>
    </w:rPr>
  </w:style>
  <w:style w:type="character" w:customStyle="1" w:styleId="40">
    <w:name w:val="标题 4 字符"/>
    <w:link w:val="4"/>
    <w:autoRedefine/>
    <w:uiPriority w:val="1"/>
    <w:qFormat/>
    <w:rPr>
      <w:rFonts w:ascii="Verdana" w:eastAsia="华文细黑" w:hAnsi="Verdana" w:cstheme="majorBidi"/>
      <w:b/>
      <w:bCs/>
      <w:iCs/>
      <w:color w:val="00B0F0"/>
      <w:sz w:val="22"/>
      <w:szCs w:val="24"/>
    </w:rPr>
  </w:style>
  <w:style w:type="character" w:customStyle="1" w:styleId="50">
    <w:name w:val="标题 5 字符"/>
    <w:link w:val="5"/>
    <w:autoRedefine/>
    <w:qFormat/>
    <w:rPr>
      <w:rFonts w:ascii="'宋体" w:eastAsia="'宋体" w:hAnsi="Times New Roman"/>
      <w:kern w:val="2"/>
    </w:rPr>
  </w:style>
  <w:style w:type="character" w:customStyle="1" w:styleId="60">
    <w:name w:val="标题 6 字符"/>
    <w:link w:val="6"/>
    <w:autoRedefine/>
    <w:qFormat/>
    <w:rPr>
      <w:rFonts w:ascii="Times New Roman" w:hAnsi="Times New Roman"/>
      <w:kern w:val="2"/>
      <w:lang w:eastAsia="en-US"/>
    </w:rPr>
  </w:style>
  <w:style w:type="character" w:customStyle="1" w:styleId="af9">
    <w:name w:val="页眉 字符"/>
    <w:basedOn w:val="a0"/>
    <w:link w:val="af8"/>
    <w:autoRedefine/>
    <w:qFormat/>
  </w:style>
  <w:style w:type="character" w:customStyle="1" w:styleId="af7">
    <w:name w:val="页脚 字符"/>
    <w:basedOn w:val="a0"/>
    <w:link w:val="af6"/>
    <w:autoRedefine/>
    <w:uiPriority w:val="99"/>
    <w:qFormat/>
  </w:style>
  <w:style w:type="character" w:customStyle="1" w:styleId="af">
    <w:name w:val="正文文本缩进 字符"/>
    <w:link w:val="ae"/>
    <w:autoRedefine/>
    <w:qFormat/>
    <w:rPr>
      <w:rFonts w:ascii="宋体" w:eastAsia="宋体" w:hAnsi="宋体" w:cs="Times New Roman"/>
      <w:spacing w:val="-6"/>
      <w:kern w:val="2"/>
      <w:sz w:val="20"/>
      <w:szCs w:val="20"/>
    </w:rPr>
  </w:style>
  <w:style w:type="character" w:customStyle="1" w:styleId="32">
    <w:name w:val="正文文本 3 字符"/>
    <w:link w:val="31"/>
    <w:autoRedefine/>
    <w:qFormat/>
    <w:rPr>
      <w:rFonts w:ascii="宋体" w:eastAsia="宋体" w:hAnsi="宋体" w:cs="Times New Roman"/>
      <w:kern w:val="2"/>
      <w:sz w:val="16"/>
      <w:szCs w:val="20"/>
      <w:lang w:eastAsia="en-US"/>
    </w:rPr>
  </w:style>
  <w:style w:type="character" w:customStyle="1" w:styleId="23">
    <w:name w:val="正文文本缩进 2 字符"/>
    <w:link w:val="22"/>
    <w:autoRedefine/>
    <w:qFormat/>
    <w:rPr>
      <w:rFonts w:ascii="楷体" w:eastAsia="楷体" w:hAnsi="Times New Roman" w:cs="Times New Roman"/>
      <w:kern w:val="2"/>
      <w:sz w:val="20"/>
      <w:szCs w:val="20"/>
    </w:rPr>
  </w:style>
  <w:style w:type="character" w:customStyle="1" w:styleId="34">
    <w:name w:val="正文文本缩进 3 字符"/>
    <w:link w:val="33"/>
    <w:autoRedefine/>
    <w:qFormat/>
    <w:rPr>
      <w:rFonts w:ascii="Times New Roman" w:eastAsia="'宋体" w:hAnsi="Times New Roman" w:cs="Times New Roman"/>
      <w:kern w:val="2"/>
      <w:sz w:val="20"/>
      <w:szCs w:val="20"/>
    </w:rPr>
  </w:style>
  <w:style w:type="paragraph" w:customStyle="1" w:styleId="AD0">
    <w:name w:val="AD"/>
    <w:autoRedefine/>
    <w:qFormat/>
    <w:pPr>
      <w:spacing w:line="240" w:lineRule="atLeast"/>
    </w:pPr>
    <w:rPr>
      <w:rFonts w:ascii="Palatino" w:eastAsia="仿宋_GB2312" w:hAnsi="Palatino" w:cs="Arial"/>
      <w:kern w:val="2"/>
      <w:sz w:val="24"/>
      <w:szCs w:val="22"/>
      <w:lang w:eastAsia="en-US"/>
    </w:rPr>
  </w:style>
  <w:style w:type="character" w:customStyle="1" w:styleId="ad">
    <w:name w:val="正文文本 字符"/>
    <w:link w:val="ac"/>
    <w:autoRedefine/>
    <w:qFormat/>
    <w:rPr>
      <w:rFonts w:ascii="FZFangSong-Z02" w:eastAsia="FZFangSong-Z02" w:hAnsi="Times New Roman" w:cs="Times New Roman"/>
      <w:kern w:val="2"/>
      <w:sz w:val="20"/>
      <w:szCs w:val="20"/>
    </w:rPr>
  </w:style>
  <w:style w:type="character" w:customStyle="1" w:styleId="afe">
    <w:name w:val="脚注文本 字符"/>
    <w:link w:val="afd"/>
    <w:autoRedefine/>
    <w:qFormat/>
    <w:rPr>
      <w:rFonts w:ascii="Century" w:eastAsia="MS Mincho" w:hAnsi="Century" w:cs="Times New Roman"/>
      <w:kern w:val="2"/>
      <w:sz w:val="21"/>
      <w:szCs w:val="20"/>
      <w:lang w:eastAsia="ja-JP"/>
    </w:rPr>
  </w:style>
  <w:style w:type="character" w:customStyle="1" w:styleId="25">
    <w:name w:val="正文文本 2 字符"/>
    <w:link w:val="24"/>
    <w:autoRedefine/>
    <w:qFormat/>
    <w:rPr>
      <w:rFonts w:ascii="FZFangSong-Z02" w:eastAsia="FZFangSong-Z02" w:hAnsi="Times New Roman" w:cs="Times New Roman"/>
      <w:kern w:val="2"/>
      <w:sz w:val="20"/>
      <w:szCs w:val="20"/>
    </w:rPr>
  </w:style>
  <w:style w:type="paragraph" w:customStyle="1" w:styleId="ShortReturnAddress">
    <w:name w:val="Short Return Address"/>
    <w:basedOn w:val="a"/>
    <w:autoRedefine/>
    <w:qFormat/>
  </w:style>
  <w:style w:type="paragraph" w:customStyle="1" w:styleId="font5">
    <w:name w:val="font5"/>
    <w:basedOn w:val="a"/>
    <w:autoRedefine/>
    <w:qFormat/>
    <w:pPr>
      <w:spacing w:before="100" w:beforeAutospacing="1" w:after="100" w:afterAutospacing="1"/>
    </w:pPr>
    <w:rPr>
      <w:rFonts w:ascii="Arial" w:eastAsia="Arial Unicode MS" w:hAnsi="Arial"/>
      <w:lang w:eastAsia="en-US"/>
    </w:rPr>
  </w:style>
  <w:style w:type="paragraph" w:customStyle="1" w:styleId="font6">
    <w:name w:val="font6"/>
    <w:basedOn w:val="a"/>
    <w:autoRedefine/>
    <w:qFormat/>
    <w:pPr>
      <w:spacing w:before="100" w:beforeAutospacing="1" w:after="100" w:afterAutospacing="1"/>
    </w:pPr>
    <w:rPr>
      <w:rFonts w:ascii="宋体" w:hAnsi="宋体" w:cs="Arial Unicode MS" w:hint="eastAsia"/>
      <w:b/>
      <w:bCs/>
      <w:lang w:eastAsia="en-US"/>
    </w:rPr>
  </w:style>
  <w:style w:type="paragraph" w:customStyle="1" w:styleId="font7">
    <w:name w:val="font7"/>
    <w:basedOn w:val="a"/>
    <w:autoRedefine/>
    <w:qFormat/>
    <w:pPr>
      <w:spacing w:before="100" w:beforeAutospacing="1" w:after="100" w:afterAutospacing="1"/>
    </w:pPr>
    <w:rPr>
      <w:rFonts w:ascii="Tahoma" w:eastAsia="Arial Unicode MS" w:hAnsi="Tahoma" w:cs="Tahoma"/>
      <w:color w:val="000000"/>
      <w:sz w:val="16"/>
      <w:szCs w:val="16"/>
      <w:lang w:eastAsia="en-US"/>
    </w:rPr>
  </w:style>
  <w:style w:type="paragraph" w:customStyle="1" w:styleId="font8">
    <w:name w:val="font8"/>
    <w:basedOn w:val="a"/>
    <w:autoRedefine/>
    <w:qFormat/>
    <w:pPr>
      <w:spacing w:before="100" w:beforeAutospacing="1" w:after="100" w:afterAutospacing="1"/>
    </w:pPr>
    <w:rPr>
      <w:rFonts w:ascii="Tahoma" w:eastAsia="Arial Unicode MS" w:hAnsi="Tahoma" w:cs="Tahoma"/>
      <w:b/>
      <w:bCs/>
      <w:color w:val="000000"/>
      <w:sz w:val="16"/>
      <w:szCs w:val="16"/>
      <w:lang w:eastAsia="en-US"/>
    </w:rPr>
  </w:style>
  <w:style w:type="paragraph" w:customStyle="1" w:styleId="font9">
    <w:name w:val="font9"/>
    <w:basedOn w:val="a"/>
    <w:autoRedefine/>
    <w:qFormat/>
    <w:pPr>
      <w:spacing w:before="100" w:beforeAutospacing="1" w:after="100" w:afterAutospacing="1"/>
    </w:pPr>
    <w:rPr>
      <w:rFonts w:ascii="宋体" w:hAnsi="宋体" w:cs="Arial Unicode MS" w:hint="eastAsia"/>
      <w:color w:val="000000"/>
      <w:sz w:val="16"/>
      <w:szCs w:val="16"/>
      <w:lang w:eastAsia="en-US"/>
    </w:rPr>
  </w:style>
  <w:style w:type="paragraph" w:customStyle="1" w:styleId="xl26">
    <w:name w:val="xl26"/>
    <w:basedOn w:val="a"/>
    <w:autoRedefine/>
    <w:qFormat/>
    <w:pPr>
      <w:shd w:val="clear" w:color="auto" w:fill="FFFFFF"/>
      <w:spacing w:before="100" w:beforeAutospacing="1" w:after="100" w:afterAutospacing="1"/>
    </w:pPr>
    <w:rPr>
      <w:rFonts w:ascii="Arial Unicode MS" w:eastAsia="Arial Unicode MS" w:hAnsi="Arial Unicode MS" w:cs="Arial Unicode MS"/>
      <w:lang w:eastAsia="en-US"/>
    </w:rPr>
  </w:style>
  <w:style w:type="paragraph" w:customStyle="1" w:styleId="xl27">
    <w:name w:val="xl27"/>
    <w:basedOn w:val="a"/>
    <w:autoRedefine/>
    <w:qFormat/>
    <w:pPr>
      <w:shd w:val="clear" w:color="auto" w:fill="FFFFFF"/>
      <w:spacing w:before="100" w:beforeAutospacing="1" w:after="100" w:afterAutospacing="1"/>
      <w:jc w:val="right"/>
    </w:pPr>
    <w:rPr>
      <w:rFonts w:ascii="宋体" w:hAnsi="宋体" w:cs="Arial Unicode MS" w:hint="eastAsia"/>
      <w:lang w:eastAsia="en-US"/>
    </w:rPr>
  </w:style>
  <w:style w:type="paragraph" w:customStyle="1" w:styleId="xl28">
    <w:name w:val="xl28"/>
    <w:basedOn w:val="a"/>
    <w:autoRedefine/>
    <w:qFormat/>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rFonts w:ascii="宋体" w:hAnsi="宋体" w:cs="Arial Unicode MS" w:hint="eastAsia"/>
      <w:b/>
      <w:bCs/>
      <w:lang w:eastAsia="en-US"/>
    </w:rPr>
  </w:style>
  <w:style w:type="paragraph" w:customStyle="1" w:styleId="xl29">
    <w:name w:val="xl29"/>
    <w:basedOn w:val="a"/>
    <w:autoRedefine/>
    <w:qFormat/>
    <w:pPr>
      <w:pBdr>
        <w:left w:val="single" w:sz="4" w:space="0" w:color="auto"/>
        <w:right w:val="single" w:sz="4" w:space="0" w:color="auto"/>
      </w:pBdr>
      <w:shd w:val="clear" w:color="auto" w:fill="FFFFFF"/>
      <w:spacing w:before="100" w:beforeAutospacing="1" w:after="100" w:afterAutospacing="1"/>
    </w:pPr>
    <w:rPr>
      <w:rFonts w:ascii="宋体" w:hAnsi="宋体" w:cs="Arial Unicode MS" w:hint="eastAsia"/>
      <w:lang w:eastAsia="en-US"/>
    </w:rPr>
  </w:style>
  <w:style w:type="paragraph" w:customStyle="1" w:styleId="xl30">
    <w:name w:val="xl30"/>
    <w:basedOn w:val="a"/>
    <w:autoRedefine/>
    <w:qFormat/>
    <w:pPr>
      <w:pBdr>
        <w:left w:val="single" w:sz="4" w:space="0" w:color="auto"/>
        <w:right w:val="single" w:sz="4" w:space="0" w:color="auto"/>
      </w:pBdr>
      <w:shd w:val="clear" w:color="auto" w:fill="FFFFFF"/>
      <w:spacing w:before="100" w:beforeAutospacing="1" w:after="100" w:afterAutospacing="1"/>
      <w:jc w:val="center"/>
    </w:pPr>
    <w:rPr>
      <w:rFonts w:ascii="Arial Unicode MS" w:eastAsia="Arial Unicode MS" w:hAnsi="Arial Unicode MS" w:cs="Arial Unicode MS"/>
      <w:b/>
      <w:bCs/>
      <w:lang w:eastAsia="en-US"/>
    </w:rPr>
  </w:style>
  <w:style w:type="paragraph" w:customStyle="1" w:styleId="xl31">
    <w:name w:val="xl31"/>
    <w:basedOn w:val="a"/>
    <w:autoRedefine/>
    <w:qFormat/>
    <w:pPr>
      <w:pBdr>
        <w:left w:val="single" w:sz="4" w:space="0" w:color="auto"/>
        <w:right w:val="single" w:sz="4" w:space="0" w:color="auto"/>
      </w:pBdr>
      <w:shd w:val="clear" w:color="auto" w:fill="FFFFFF"/>
      <w:spacing w:before="100" w:beforeAutospacing="1" w:after="100" w:afterAutospacing="1"/>
    </w:pPr>
    <w:rPr>
      <w:rFonts w:ascii="Arial Unicode MS" w:eastAsia="Arial Unicode MS" w:hAnsi="Arial Unicode MS" w:cs="Arial Unicode MS"/>
      <w:lang w:eastAsia="en-US"/>
    </w:rPr>
  </w:style>
  <w:style w:type="paragraph" w:customStyle="1" w:styleId="xl32">
    <w:name w:val="xl32"/>
    <w:basedOn w:val="a"/>
    <w:autoRedefine/>
    <w:qFormat/>
    <w:pPr>
      <w:pBdr>
        <w:left w:val="single" w:sz="4" w:space="0" w:color="auto"/>
        <w:right w:val="single" w:sz="4" w:space="0" w:color="auto"/>
      </w:pBdr>
      <w:shd w:val="clear" w:color="auto" w:fill="FFFFFF"/>
      <w:spacing w:before="100" w:beforeAutospacing="1" w:after="100" w:afterAutospacing="1"/>
    </w:pPr>
    <w:rPr>
      <w:rFonts w:ascii="Arial Unicode MS" w:eastAsia="Arial Unicode MS" w:hAnsi="Arial Unicode MS" w:cs="Arial Unicode MS"/>
      <w:lang w:eastAsia="en-US"/>
    </w:rPr>
  </w:style>
  <w:style w:type="paragraph" w:customStyle="1" w:styleId="xl33">
    <w:name w:val="xl33"/>
    <w:basedOn w:val="a"/>
    <w:autoRedefine/>
    <w:qFormat/>
    <w:pPr>
      <w:pBdr>
        <w:left w:val="single" w:sz="4" w:space="0" w:color="auto"/>
        <w:right w:val="single" w:sz="4" w:space="0" w:color="auto"/>
      </w:pBdr>
      <w:shd w:val="clear" w:color="auto" w:fill="FFFFFF"/>
      <w:spacing w:before="100" w:beforeAutospacing="1" w:after="100" w:afterAutospacing="1"/>
    </w:pPr>
    <w:rPr>
      <w:rFonts w:ascii="Arial Unicode MS" w:eastAsia="Arial Unicode MS" w:hAnsi="Arial Unicode MS" w:cs="Arial Unicode MS"/>
      <w:u w:val="single"/>
      <w:lang w:eastAsia="en-US"/>
    </w:rPr>
  </w:style>
  <w:style w:type="paragraph" w:customStyle="1" w:styleId="xl34">
    <w:name w:val="xl34"/>
    <w:basedOn w:val="a"/>
    <w:autoRedefine/>
    <w:qFormat/>
    <w:pPr>
      <w:pBdr>
        <w:left w:val="single" w:sz="4" w:space="0" w:color="auto"/>
        <w:right w:val="single" w:sz="4" w:space="0" w:color="auto"/>
      </w:pBdr>
      <w:shd w:val="clear" w:color="auto" w:fill="FFFFFF"/>
      <w:spacing w:before="100" w:beforeAutospacing="1" w:after="100" w:afterAutospacing="1"/>
    </w:pPr>
    <w:rPr>
      <w:rFonts w:ascii="Arial Unicode MS" w:eastAsia="Arial Unicode MS" w:hAnsi="Arial Unicode MS" w:cs="Arial Unicode MS"/>
      <w:u w:val="single"/>
      <w:lang w:eastAsia="en-US"/>
    </w:rPr>
  </w:style>
  <w:style w:type="paragraph" w:customStyle="1" w:styleId="xl35">
    <w:name w:val="xl35"/>
    <w:basedOn w:val="a"/>
    <w:qFormat/>
    <w:pPr>
      <w:pBdr>
        <w:left w:val="single" w:sz="4" w:space="0" w:color="auto"/>
        <w:right w:val="single" w:sz="4" w:space="0" w:color="auto"/>
      </w:pBdr>
      <w:shd w:val="clear" w:color="auto" w:fill="FFFFFF"/>
      <w:spacing w:before="100" w:beforeAutospacing="1" w:after="100" w:afterAutospacing="1"/>
    </w:pPr>
    <w:rPr>
      <w:rFonts w:ascii="Arial Unicode MS" w:eastAsia="Arial Unicode MS" w:hAnsi="Arial Unicode MS" w:cs="Arial Unicode MS"/>
      <w:lang w:eastAsia="en-US"/>
    </w:rPr>
  </w:style>
  <w:style w:type="paragraph" w:customStyle="1" w:styleId="xl36">
    <w:name w:val="xl36"/>
    <w:basedOn w:val="a"/>
    <w:qFormat/>
    <w:pPr>
      <w:pBdr>
        <w:left w:val="single" w:sz="4" w:space="0" w:color="auto"/>
        <w:right w:val="single" w:sz="4" w:space="0" w:color="auto"/>
      </w:pBdr>
      <w:shd w:val="clear" w:color="auto" w:fill="FFFFFF"/>
      <w:spacing w:before="100" w:beforeAutospacing="1" w:after="100" w:afterAutospacing="1"/>
    </w:pPr>
    <w:rPr>
      <w:rFonts w:ascii="Arial Unicode MS" w:eastAsia="Arial Unicode MS" w:hAnsi="Arial Unicode MS" w:cs="Arial Unicode MS"/>
      <w:b/>
      <w:bCs/>
      <w:lang w:eastAsia="en-US"/>
    </w:rPr>
  </w:style>
  <w:style w:type="paragraph" w:customStyle="1" w:styleId="xl37">
    <w:name w:val="xl37"/>
    <w:basedOn w:val="a"/>
    <w:qFormat/>
    <w:pPr>
      <w:pBdr>
        <w:left w:val="single" w:sz="4" w:space="0" w:color="auto"/>
        <w:right w:val="single" w:sz="4" w:space="0" w:color="auto"/>
      </w:pBdr>
      <w:shd w:val="clear" w:color="auto" w:fill="FFFFFF"/>
      <w:spacing w:before="100" w:beforeAutospacing="1" w:after="100" w:afterAutospacing="1"/>
    </w:pPr>
    <w:rPr>
      <w:rFonts w:ascii="Arial Unicode MS" w:eastAsia="Arial Unicode MS" w:hAnsi="Arial Unicode MS" w:cs="Arial Unicode MS"/>
      <w:lang w:eastAsia="en-US"/>
    </w:rPr>
  </w:style>
  <w:style w:type="paragraph" w:customStyle="1" w:styleId="xl38">
    <w:name w:val="xl38"/>
    <w:basedOn w:val="a"/>
    <w:qFormat/>
    <w:pPr>
      <w:pBdr>
        <w:left w:val="single" w:sz="4" w:space="0" w:color="auto"/>
        <w:right w:val="single" w:sz="4" w:space="0" w:color="auto"/>
      </w:pBdr>
      <w:shd w:val="clear" w:color="auto" w:fill="FFFFFF"/>
      <w:spacing w:before="100" w:beforeAutospacing="1" w:after="100" w:afterAutospacing="1"/>
    </w:pPr>
    <w:rPr>
      <w:rFonts w:ascii="Courier New" w:eastAsia="Arial Unicode MS" w:hAnsi="Courier New" w:cs="Courier New"/>
      <w:lang w:eastAsia="en-US"/>
    </w:rPr>
  </w:style>
  <w:style w:type="paragraph" w:customStyle="1" w:styleId="xl39">
    <w:name w:val="xl39"/>
    <w:basedOn w:val="a"/>
    <w:qFormat/>
    <w:pPr>
      <w:pBdr>
        <w:left w:val="single" w:sz="4" w:space="0" w:color="auto"/>
        <w:bottom w:val="single" w:sz="4" w:space="0" w:color="auto"/>
        <w:right w:val="single" w:sz="4" w:space="0" w:color="auto"/>
      </w:pBdr>
      <w:shd w:val="clear" w:color="auto" w:fill="FFFFFF"/>
      <w:spacing w:before="100" w:beforeAutospacing="1" w:after="100" w:afterAutospacing="1"/>
    </w:pPr>
    <w:rPr>
      <w:rFonts w:ascii="Courier New" w:eastAsia="Arial Unicode MS" w:hAnsi="Courier New" w:cs="Courier New"/>
      <w:lang w:eastAsia="en-US"/>
    </w:rPr>
  </w:style>
  <w:style w:type="paragraph" w:customStyle="1" w:styleId="xl40">
    <w:name w:val="xl40"/>
    <w:basedOn w:val="a"/>
    <w:qFormat/>
    <w:pPr>
      <w:pBdr>
        <w:top w:val="single" w:sz="4" w:space="0" w:color="auto"/>
        <w:left w:val="single" w:sz="4" w:space="0" w:color="auto"/>
        <w:bottom w:val="single" w:sz="4" w:space="0" w:color="auto"/>
      </w:pBdr>
      <w:shd w:val="clear" w:color="auto" w:fill="FFFFFF"/>
      <w:spacing w:before="100" w:beforeAutospacing="1" w:after="100" w:afterAutospacing="1"/>
      <w:jc w:val="center"/>
      <w:textAlignment w:val="center"/>
    </w:pPr>
    <w:rPr>
      <w:rFonts w:ascii="宋体" w:hAnsi="宋体" w:cs="Arial Unicode MS" w:hint="eastAsia"/>
      <w:b/>
      <w:bCs/>
      <w:lang w:eastAsia="en-US"/>
    </w:rPr>
  </w:style>
  <w:style w:type="paragraph" w:customStyle="1" w:styleId="xl41">
    <w:name w:val="xl41"/>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Arial Unicode MS" w:hint="eastAsia"/>
      <w:b/>
      <w:bCs/>
      <w:lang w:eastAsia="en-US"/>
    </w:rPr>
  </w:style>
  <w:style w:type="paragraph" w:customStyle="1" w:styleId="xl42">
    <w:name w:val="xl42"/>
    <w:basedOn w:val="a"/>
    <w:qFormat/>
    <w:pPr>
      <w:pBdr>
        <w:left w:val="single" w:sz="4" w:space="0" w:color="auto"/>
        <w:right w:val="single" w:sz="4" w:space="0" w:color="auto"/>
      </w:pBdr>
      <w:shd w:val="clear" w:color="auto" w:fill="FFFFFF"/>
      <w:spacing w:before="100" w:beforeAutospacing="1" w:after="100" w:afterAutospacing="1"/>
    </w:pPr>
    <w:rPr>
      <w:rFonts w:ascii="Arial Unicode MS" w:eastAsia="Arial Unicode MS" w:hAnsi="Arial Unicode MS" w:cs="Arial Unicode MS"/>
      <w:u w:val="single"/>
      <w:lang w:eastAsia="en-US"/>
    </w:rPr>
  </w:style>
  <w:style w:type="paragraph" w:customStyle="1" w:styleId="xl43">
    <w:name w:val="xl43"/>
    <w:basedOn w:val="a"/>
    <w:qFormat/>
    <w:pPr>
      <w:pBdr>
        <w:left w:val="single" w:sz="4" w:space="0" w:color="auto"/>
        <w:bottom w:val="single" w:sz="4" w:space="0" w:color="auto"/>
        <w:right w:val="single" w:sz="4" w:space="0" w:color="auto"/>
      </w:pBdr>
      <w:shd w:val="clear" w:color="auto" w:fill="FFFFFF"/>
      <w:spacing w:before="100" w:beforeAutospacing="1" w:after="100" w:afterAutospacing="1"/>
      <w:jc w:val="center"/>
    </w:pPr>
    <w:rPr>
      <w:rFonts w:ascii="Arial Unicode MS" w:eastAsia="Arial Unicode MS" w:hAnsi="Arial Unicode MS" w:cs="Arial Unicode MS"/>
      <w:b/>
      <w:bCs/>
      <w:lang w:eastAsia="en-US"/>
    </w:rPr>
  </w:style>
  <w:style w:type="paragraph" w:customStyle="1" w:styleId="xl44">
    <w:name w:val="xl44"/>
    <w:basedOn w:val="a"/>
    <w:qFormat/>
    <w:pPr>
      <w:pBdr>
        <w:left w:val="single" w:sz="4" w:space="0" w:color="auto"/>
        <w:bottom w:val="single" w:sz="4" w:space="0" w:color="auto"/>
        <w:right w:val="single" w:sz="4" w:space="0" w:color="auto"/>
      </w:pBdr>
      <w:shd w:val="clear" w:color="auto" w:fill="FFFFFF"/>
      <w:spacing w:before="100" w:beforeAutospacing="1" w:after="100" w:afterAutospacing="1"/>
    </w:pPr>
    <w:rPr>
      <w:rFonts w:ascii="Arial Unicode MS" w:eastAsia="Arial Unicode MS" w:hAnsi="Arial Unicode MS" w:cs="Arial Unicode MS"/>
      <w:lang w:eastAsia="en-US"/>
    </w:rPr>
  </w:style>
  <w:style w:type="paragraph" w:customStyle="1" w:styleId="xl45">
    <w:name w:val="xl45"/>
    <w:basedOn w:val="a"/>
    <w:qFormat/>
    <w:pPr>
      <w:pBdr>
        <w:left w:val="single" w:sz="4" w:space="0" w:color="auto"/>
        <w:right w:val="single" w:sz="4" w:space="0" w:color="auto"/>
      </w:pBdr>
      <w:shd w:val="clear" w:color="auto" w:fill="CCFFCC"/>
      <w:spacing w:before="100" w:beforeAutospacing="1" w:after="100" w:afterAutospacing="1"/>
    </w:pPr>
    <w:rPr>
      <w:rFonts w:ascii="Arial Unicode MS" w:eastAsia="Arial Unicode MS" w:hAnsi="Arial Unicode MS" w:cs="Arial Unicode MS"/>
      <w:lang w:eastAsia="en-US"/>
    </w:rPr>
  </w:style>
  <w:style w:type="paragraph" w:customStyle="1" w:styleId="xl46">
    <w:name w:val="xl46"/>
    <w:basedOn w:val="a"/>
    <w:qFormat/>
    <w:pPr>
      <w:pBdr>
        <w:left w:val="single" w:sz="4" w:space="0" w:color="auto"/>
        <w:right w:val="single" w:sz="4" w:space="0" w:color="auto"/>
      </w:pBdr>
      <w:shd w:val="clear" w:color="auto" w:fill="CCFFCC"/>
      <w:spacing w:before="100" w:beforeAutospacing="1" w:after="100" w:afterAutospacing="1"/>
    </w:pPr>
    <w:rPr>
      <w:rFonts w:ascii="Arial Unicode MS" w:eastAsia="Arial Unicode MS" w:hAnsi="Arial Unicode MS" w:cs="Arial Unicode MS"/>
      <w:u w:val="single"/>
      <w:lang w:eastAsia="en-US"/>
    </w:rPr>
  </w:style>
  <w:style w:type="paragraph" w:customStyle="1" w:styleId="xl47">
    <w:name w:val="xl47"/>
    <w:basedOn w:val="a"/>
    <w:qFormat/>
    <w:pPr>
      <w:pBdr>
        <w:left w:val="single" w:sz="4" w:space="0" w:color="auto"/>
        <w:right w:val="single" w:sz="4" w:space="0" w:color="auto"/>
      </w:pBdr>
      <w:shd w:val="clear" w:color="auto" w:fill="CCFFCC"/>
      <w:spacing w:before="100" w:beforeAutospacing="1" w:after="100" w:afterAutospacing="1"/>
    </w:pPr>
    <w:rPr>
      <w:rFonts w:ascii="Arial Unicode MS" w:eastAsia="Arial Unicode MS" w:hAnsi="Arial Unicode MS" w:cs="Arial Unicode MS"/>
      <w:lang w:eastAsia="en-US"/>
    </w:rPr>
  </w:style>
  <w:style w:type="paragraph" w:customStyle="1" w:styleId="xl48">
    <w:name w:val="xl48"/>
    <w:basedOn w:val="a"/>
    <w:qFormat/>
    <w:pPr>
      <w:pBdr>
        <w:left w:val="single" w:sz="4" w:space="0" w:color="auto"/>
        <w:right w:val="single" w:sz="4" w:space="0" w:color="auto"/>
      </w:pBdr>
      <w:shd w:val="clear" w:color="auto" w:fill="CCFFCC"/>
      <w:spacing w:before="100" w:beforeAutospacing="1" w:after="100" w:afterAutospacing="1"/>
    </w:pPr>
    <w:rPr>
      <w:rFonts w:ascii="Arial Unicode MS" w:eastAsia="Arial Unicode MS" w:hAnsi="Arial Unicode MS" w:cs="Arial Unicode MS"/>
      <w:lang w:eastAsia="en-US"/>
    </w:rPr>
  </w:style>
  <w:style w:type="paragraph" w:customStyle="1" w:styleId="xl49">
    <w:name w:val="xl49"/>
    <w:basedOn w:val="a"/>
    <w:qFormat/>
    <w:pPr>
      <w:pBdr>
        <w:left w:val="single" w:sz="4" w:space="0" w:color="auto"/>
        <w:bottom w:val="single" w:sz="4" w:space="0" w:color="auto"/>
        <w:right w:val="single" w:sz="4" w:space="0" w:color="auto"/>
      </w:pBdr>
      <w:shd w:val="clear" w:color="auto" w:fill="CCFFCC"/>
      <w:spacing w:before="100" w:beforeAutospacing="1" w:after="100" w:afterAutospacing="1"/>
    </w:pPr>
    <w:rPr>
      <w:rFonts w:ascii="Arial Unicode MS" w:eastAsia="Arial Unicode MS" w:hAnsi="Arial Unicode MS" w:cs="Arial Unicode MS"/>
      <w:lang w:eastAsia="en-US"/>
    </w:rPr>
  </w:style>
  <w:style w:type="paragraph" w:customStyle="1" w:styleId="xl50">
    <w:name w:val="xl50"/>
    <w:basedOn w:val="a"/>
    <w:qFormat/>
    <w:pPr>
      <w:pBdr>
        <w:left w:val="single" w:sz="4" w:space="0" w:color="auto"/>
        <w:right w:val="single" w:sz="4" w:space="0" w:color="auto"/>
      </w:pBdr>
      <w:shd w:val="clear" w:color="auto" w:fill="CCFFCC"/>
      <w:spacing w:before="100" w:beforeAutospacing="1" w:after="100" w:afterAutospacing="1"/>
    </w:pPr>
    <w:rPr>
      <w:rFonts w:ascii="Arial Unicode MS" w:eastAsia="Arial Unicode MS" w:hAnsi="Arial Unicode MS" w:cs="Arial Unicode MS"/>
      <w:u w:val="single"/>
      <w:lang w:eastAsia="en-US"/>
    </w:rPr>
  </w:style>
  <w:style w:type="paragraph" w:customStyle="1" w:styleId="xl51">
    <w:name w:val="xl51"/>
    <w:basedOn w:val="a"/>
    <w:qFormat/>
    <w:pPr>
      <w:pBdr>
        <w:top w:val="single" w:sz="4" w:space="0" w:color="auto"/>
        <w:left w:val="single" w:sz="4" w:space="0" w:color="auto"/>
        <w:bottom w:val="single" w:sz="4" w:space="0" w:color="auto"/>
      </w:pBdr>
      <w:shd w:val="clear" w:color="auto" w:fill="FFFFFF"/>
      <w:spacing w:before="100" w:beforeAutospacing="1" w:after="100" w:afterAutospacing="1"/>
      <w:jc w:val="center"/>
      <w:textAlignment w:val="center"/>
    </w:pPr>
    <w:rPr>
      <w:rFonts w:ascii="Arial Unicode MS" w:eastAsia="Arial Unicode MS" w:hAnsi="Arial Unicode MS" w:cs="Arial Unicode MS"/>
      <w:b/>
      <w:bCs/>
      <w:lang w:eastAsia="en-US"/>
    </w:rPr>
  </w:style>
  <w:style w:type="paragraph" w:customStyle="1" w:styleId="xl52">
    <w:name w:val="xl52"/>
    <w:basedOn w:val="a"/>
    <w:qFormat/>
    <w:pPr>
      <w:pBdr>
        <w:top w:val="single" w:sz="4" w:space="0" w:color="auto"/>
        <w:bottom w:val="single" w:sz="4" w:space="0" w:color="auto"/>
      </w:pBdr>
      <w:shd w:val="clear" w:color="auto" w:fill="FFFFFF"/>
      <w:spacing w:before="100" w:beforeAutospacing="1" w:after="100" w:afterAutospacing="1"/>
      <w:jc w:val="center"/>
      <w:textAlignment w:val="center"/>
    </w:pPr>
    <w:rPr>
      <w:rFonts w:ascii="Arial Unicode MS" w:eastAsia="Arial Unicode MS" w:hAnsi="Arial Unicode MS" w:cs="Arial Unicode MS"/>
      <w:b/>
      <w:bCs/>
      <w:lang w:eastAsia="en-US"/>
    </w:rPr>
  </w:style>
  <w:style w:type="paragraph" w:customStyle="1" w:styleId="xl53">
    <w:name w:val="xl53"/>
    <w:basedOn w:val="a"/>
    <w:qFormat/>
    <w:pPr>
      <w:pBdr>
        <w:top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rFonts w:ascii="Arial Unicode MS" w:eastAsia="Arial Unicode MS" w:hAnsi="Arial Unicode MS" w:cs="Arial Unicode MS"/>
      <w:b/>
      <w:bCs/>
      <w:lang w:eastAsia="en-US"/>
    </w:rPr>
  </w:style>
  <w:style w:type="paragraph" w:customStyle="1" w:styleId="xl54">
    <w:name w:val="xl54"/>
    <w:basedOn w:val="a"/>
    <w:qFormat/>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rFonts w:ascii="Arial Unicode MS" w:eastAsia="Arial Unicode MS" w:hAnsi="Arial Unicode MS" w:cs="Arial Unicode MS"/>
      <w:b/>
      <w:bCs/>
      <w:lang w:eastAsia="en-US"/>
    </w:rPr>
  </w:style>
  <w:style w:type="paragraph" w:customStyle="1" w:styleId="xl55">
    <w:name w:val="xl55"/>
    <w:basedOn w:val="a"/>
    <w:qFormat/>
    <w:pPr>
      <w:pBdr>
        <w:top w:val="single" w:sz="4" w:space="0" w:color="auto"/>
        <w:left w:val="single" w:sz="4" w:space="0" w:color="auto"/>
        <w:right w:val="single" w:sz="4" w:space="0" w:color="auto"/>
      </w:pBdr>
      <w:shd w:val="clear" w:color="auto" w:fill="CCFFCC"/>
      <w:spacing w:before="100" w:beforeAutospacing="1" w:after="100" w:afterAutospacing="1"/>
      <w:jc w:val="center"/>
    </w:pPr>
    <w:rPr>
      <w:rFonts w:ascii="宋体" w:hAnsi="宋体" w:cs="Arial Unicode MS" w:hint="eastAsia"/>
      <w:b/>
      <w:bCs/>
      <w:lang w:eastAsia="en-US"/>
    </w:rPr>
  </w:style>
  <w:style w:type="paragraph" w:customStyle="1" w:styleId="xl56">
    <w:name w:val="xl56"/>
    <w:basedOn w:val="a"/>
    <w:qFormat/>
    <w:pPr>
      <w:pBdr>
        <w:left w:val="single" w:sz="4" w:space="0" w:color="auto"/>
        <w:right w:val="single" w:sz="4" w:space="0" w:color="auto"/>
      </w:pBdr>
      <w:shd w:val="clear" w:color="auto" w:fill="CCFFCC"/>
      <w:spacing w:before="100" w:beforeAutospacing="1" w:after="100" w:afterAutospacing="1"/>
      <w:jc w:val="center"/>
    </w:pPr>
    <w:rPr>
      <w:rFonts w:ascii="Arial Unicode MS" w:eastAsia="Arial Unicode MS" w:hAnsi="Arial Unicode MS" w:cs="Arial Unicode MS"/>
      <w:lang w:eastAsia="en-US"/>
    </w:rPr>
  </w:style>
  <w:style w:type="paragraph" w:customStyle="1" w:styleId="xl57">
    <w:name w:val="xl57"/>
    <w:basedOn w:val="a"/>
    <w:qFormat/>
    <w:pPr>
      <w:pBdr>
        <w:left w:val="single" w:sz="4" w:space="0" w:color="auto"/>
        <w:bottom w:val="single" w:sz="4" w:space="0" w:color="auto"/>
        <w:right w:val="single" w:sz="4" w:space="0" w:color="auto"/>
      </w:pBdr>
      <w:shd w:val="clear" w:color="auto" w:fill="CCFFCC"/>
      <w:spacing w:before="100" w:beforeAutospacing="1" w:after="100" w:afterAutospacing="1"/>
      <w:jc w:val="center"/>
    </w:pPr>
    <w:rPr>
      <w:rFonts w:ascii="Arial Unicode MS" w:eastAsia="Arial Unicode MS" w:hAnsi="Arial Unicode MS" w:cs="Arial Unicode MS"/>
      <w:lang w:eastAsia="en-US"/>
    </w:rPr>
  </w:style>
  <w:style w:type="paragraph" w:customStyle="1" w:styleId="xl58">
    <w:name w:val="xl58"/>
    <w:basedOn w:val="a"/>
    <w:qFormat/>
    <w:pPr>
      <w:pBdr>
        <w:top w:val="single" w:sz="4" w:space="0" w:color="auto"/>
        <w:left w:val="single" w:sz="4" w:space="0" w:color="auto"/>
        <w:right w:val="single" w:sz="4" w:space="0" w:color="auto"/>
      </w:pBdr>
      <w:shd w:val="clear" w:color="auto" w:fill="FFFFFF"/>
      <w:spacing w:before="100" w:beforeAutospacing="1" w:after="100" w:afterAutospacing="1"/>
      <w:jc w:val="center"/>
      <w:textAlignment w:val="center"/>
    </w:pPr>
    <w:rPr>
      <w:rFonts w:ascii="宋体" w:hAnsi="宋体" w:cs="Arial Unicode MS" w:hint="eastAsia"/>
      <w:b/>
      <w:bCs/>
      <w:lang w:eastAsia="en-US"/>
    </w:rPr>
  </w:style>
  <w:style w:type="paragraph" w:customStyle="1" w:styleId="xl59">
    <w:name w:val="xl59"/>
    <w:basedOn w:val="a"/>
    <w:qFormat/>
    <w:pPr>
      <w:pBdr>
        <w:left w:val="single" w:sz="4" w:space="0" w:color="auto"/>
        <w:right w:val="single" w:sz="4" w:space="0" w:color="auto"/>
      </w:pBdr>
      <w:shd w:val="clear" w:color="auto" w:fill="FFFFFF"/>
      <w:spacing w:before="100" w:beforeAutospacing="1" w:after="100" w:afterAutospacing="1"/>
      <w:jc w:val="center"/>
      <w:textAlignment w:val="center"/>
    </w:pPr>
    <w:rPr>
      <w:rFonts w:ascii="宋体" w:hAnsi="宋体" w:cs="Arial Unicode MS" w:hint="eastAsia"/>
      <w:b/>
      <w:bCs/>
      <w:lang w:eastAsia="en-US"/>
    </w:rPr>
  </w:style>
  <w:style w:type="paragraph" w:customStyle="1" w:styleId="xl60">
    <w:name w:val="xl60"/>
    <w:basedOn w:val="a"/>
    <w:qFormat/>
    <w:pPr>
      <w:pBdr>
        <w:left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rFonts w:ascii="Arial Unicode MS" w:eastAsia="Arial Unicode MS" w:hAnsi="Arial Unicode MS" w:cs="Arial Unicode MS"/>
      <w:b/>
      <w:bCs/>
      <w:lang w:eastAsia="en-US"/>
    </w:rPr>
  </w:style>
  <w:style w:type="paragraph" w:customStyle="1" w:styleId="xl61">
    <w:name w:val="xl61"/>
    <w:basedOn w:val="a"/>
    <w:qFormat/>
    <w:pPr>
      <w:pBdr>
        <w:left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rFonts w:ascii="宋体" w:hAnsi="宋体" w:cs="Arial Unicode MS" w:hint="eastAsia"/>
      <w:b/>
      <w:bCs/>
      <w:lang w:eastAsia="en-US"/>
    </w:rPr>
  </w:style>
  <w:style w:type="character" w:customStyle="1" w:styleId="new-1">
    <w:name w:val="new-1"/>
    <w:basedOn w:val="a0"/>
    <w:qFormat/>
  </w:style>
  <w:style w:type="paragraph" w:customStyle="1" w:styleId="MCText">
    <w:name w:val="MC Text"/>
    <w:basedOn w:val="a"/>
    <w:qFormat/>
    <w:pPr>
      <w:spacing w:before="240" w:line="360" w:lineRule="auto"/>
      <w:jc w:val="both"/>
    </w:pPr>
  </w:style>
  <w:style w:type="character" w:customStyle="1" w:styleId="af5">
    <w:name w:val="批注框文本 字符"/>
    <w:link w:val="af4"/>
    <w:semiHidden/>
    <w:qFormat/>
    <w:rPr>
      <w:rFonts w:ascii="Tahoma" w:eastAsia="宋体" w:hAnsi="Tahoma" w:cs="Tahoma"/>
      <w:kern w:val="2"/>
      <w:sz w:val="16"/>
      <w:szCs w:val="16"/>
    </w:rPr>
  </w:style>
  <w:style w:type="character" w:customStyle="1" w:styleId="ab">
    <w:name w:val="批注文字 字符"/>
    <w:link w:val="aa"/>
    <w:semiHidden/>
    <w:qFormat/>
    <w:rPr>
      <w:rFonts w:ascii="Times New Roman" w:eastAsia="宋体" w:hAnsi="Times New Roman" w:cs="Times New Roman"/>
      <w:sz w:val="20"/>
      <w:szCs w:val="20"/>
    </w:rPr>
  </w:style>
  <w:style w:type="character" w:customStyle="1" w:styleId="aff4">
    <w:name w:val="批注主题 字符"/>
    <w:link w:val="aff3"/>
    <w:semiHidden/>
    <w:qFormat/>
    <w:rPr>
      <w:rFonts w:ascii="Times New Roman" w:eastAsia="宋体" w:hAnsi="Times New Roman" w:cs="Times New Roman"/>
      <w:b/>
      <w:bCs/>
      <w:kern w:val="2"/>
      <w:sz w:val="20"/>
      <w:szCs w:val="20"/>
    </w:rPr>
  </w:style>
  <w:style w:type="character" w:customStyle="1" w:styleId="af3">
    <w:name w:val="尾注文本 字符"/>
    <w:link w:val="af2"/>
    <w:semiHidden/>
    <w:qFormat/>
    <w:rPr>
      <w:rFonts w:ascii="Times New Roman" w:eastAsia="宋体" w:hAnsi="Times New Roman" w:cs="Times New Roman"/>
      <w:kern w:val="2"/>
      <w:sz w:val="20"/>
      <w:szCs w:val="20"/>
    </w:rPr>
  </w:style>
  <w:style w:type="paragraph" w:customStyle="1" w:styleId="11">
    <w:name w:val="修订1"/>
    <w:hidden/>
    <w:uiPriority w:val="99"/>
    <w:semiHidden/>
    <w:qFormat/>
    <w:rPr>
      <w:rFonts w:eastAsia="仿宋_GB2312" w:cs="Arial"/>
      <w:kern w:val="2"/>
      <w:sz w:val="22"/>
      <w:szCs w:val="22"/>
    </w:rPr>
  </w:style>
  <w:style w:type="paragraph" w:styleId="affd">
    <w:name w:val="List Paragraph"/>
    <w:basedOn w:val="a"/>
    <w:link w:val="affe"/>
    <w:uiPriority w:val="99"/>
    <w:qFormat/>
    <w:pPr>
      <w:spacing w:after="120"/>
      <w:ind w:left="720"/>
      <w:contextualSpacing/>
    </w:pPr>
    <w:rPr>
      <w:rFonts w:ascii="Calibri" w:hAnsi="Calibri"/>
      <w:kern w:val="0"/>
      <w:lang w:val="en-GB"/>
    </w:rPr>
  </w:style>
  <w:style w:type="paragraph" w:customStyle="1" w:styleId="CoverpageTitle">
    <w:name w:val="Coverpage Title"/>
    <w:basedOn w:val="a"/>
    <w:qFormat/>
    <w:pPr>
      <w:keepNext/>
      <w:widowControl w:val="0"/>
      <w:spacing w:before="1800" w:after="290" w:line="240" w:lineRule="atLeast"/>
      <w:outlineLvl w:val="3"/>
    </w:pPr>
    <w:rPr>
      <w:rFonts w:ascii="Arial" w:eastAsia="华文楷体" w:hAnsi="Arial"/>
      <w:b/>
      <w:bCs/>
      <w:kern w:val="0"/>
      <w:sz w:val="72"/>
      <w:lang w:val="en-GB" w:eastAsia="en-US"/>
    </w:rPr>
  </w:style>
  <w:style w:type="paragraph" w:customStyle="1" w:styleId="CoverpageSubtitle">
    <w:name w:val="Coverpage Subtitle"/>
    <w:basedOn w:val="a"/>
    <w:qFormat/>
    <w:rPr>
      <w:rFonts w:ascii="Arial" w:eastAsia="华文楷体" w:hAnsi="Arial"/>
      <w:b/>
      <w:kern w:val="0"/>
      <w:sz w:val="44"/>
      <w:szCs w:val="24"/>
    </w:rPr>
  </w:style>
  <w:style w:type="paragraph" w:customStyle="1" w:styleId="CoverpageText">
    <w:name w:val="Coverpage Text"/>
    <w:basedOn w:val="a"/>
    <w:qFormat/>
    <w:pPr>
      <w:spacing w:line="240" w:lineRule="atLeast"/>
    </w:pPr>
    <w:rPr>
      <w:rFonts w:ascii="Arial" w:eastAsia="华文楷体" w:hAnsi="Arial"/>
      <w:kern w:val="0"/>
      <w:sz w:val="32"/>
      <w:szCs w:val="24"/>
      <w:lang w:val="en-GB"/>
    </w:rPr>
  </w:style>
  <w:style w:type="paragraph" w:customStyle="1" w:styleId="TableText">
    <w:name w:val="Table Text"/>
    <w:basedOn w:val="a"/>
    <w:link w:val="TableTextChar"/>
    <w:qFormat/>
    <w:pPr>
      <w:spacing w:before="20" w:after="20" w:line="240" w:lineRule="atLeast"/>
    </w:pPr>
    <w:rPr>
      <w:rFonts w:ascii="Arial" w:eastAsia="华文楷体" w:hAnsi="Arial"/>
      <w:kern w:val="0"/>
      <w:szCs w:val="18"/>
      <w:lang w:val="en-GB" w:eastAsia="en-US"/>
    </w:rPr>
  </w:style>
  <w:style w:type="character" w:customStyle="1" w:styleId="TableTextChar">
    <w:name w:val="Table Text Char"/>
    <w:link w:val="TableText"/>
    <w:qFormat/>
    <w:rPr>
      <w:rFonts w:ascii="Arial" w:eastAsia="华文楷体" w:hAnsi="Arial" w:cs="Times New Roman"/>
      <w:szCs w:val="18"/>
      <w:lang w:val="en-GB" w:eastAsia="en-US"/>
    </w:rPr>
  </w:style>
  <w:style w:type="paragraph" w:customStyle="1" w:styleId="Bodycopy">
    <w:name w:val="Body copy"/>
    <w:basedOn w:val="a"/>
    <w:link w:val="BodycopyChar"/>
    <w:qFormat/>
    <w:pPr>
      <w:spacing w:after="113" w:line="240" w:lineRule="atLeast"/>
    </w:pPr>
    <w:rPr>
      <w:kern w:val="0"/>
      <w:szCs w:val="24"/>
      <w:lang w:val="en-AU" w:eastAsia="en-US"/>
    </w:rPr>
  </w:style>
  <w:style w:type="character" w:customStyle="1" w:styleId="BodycopyChar">
    <w:name w:val="Body copy Char"/>
    <w:link w:val="Bodycopy"/>
    <w:qFormat/>
    <w:rPr>
      <w:rFonts w:ascii="Times New Roman" w:eastAsia="宋体" w:hAnsi="Times New Roman" w:cs="Times New Roman"/>
      <w:szCs w:val="24"/>
      <w:lang w:val="en-AU" w:eastAsia="en-US"/>
    </w:rPr>
  </w:style>
  <w:style w:type="character" w:customStyle="1" w:styleId="mediumtext1">
    <w:name w:val="medium_text1"/>
    <w:qFormat/>
    <w:rPr>
      <w:sz w:val="24"/>
      <w:szCs w:val="24"/>
    </w:rPr>
  </w:style>
  <w:style w:type="character" w:customStyle="1" w:styleId="shorttext1">
    <w:name w:val="short_text1"/>
    <w:qFormat/>
    <w:rPr>
      <w:sz w:val="29"/>
      <w:szCs w:val="29"/>
    </w:rPr>
  </w:style>
  <w:style w:type="paragraph" w:customStyle="1" w:styleId="F">
    <w:name w:val="F中文正文"/>
    <w:basedOn w:val="a"/>
    <w:link w:val="FChar"/>
    <w:qFormat/>
    <w:pPr>
      <w:spacing w:before="120" w:after="120" w:line="360" w:lineRule="auto"/>
      <w:ind w:firstLine="432"/>
      <w:jc w:val="both"/>
    </w:pPr>
    <w:rPr>
      <w:kern w:val="0"/>
      <w:lang w:eastAsia="en-US"/>
    </w:rPr>
  </w:style>
  <w:style w:type="character" w:customStyle="1" w:styleId="FChar">
    <w:name w:val="F中文正文 Char"/>
    <w:link w:val="F"/>
    <w:qFormat/>
    <w:rPr>
      <w:rFonts w:ascii="Times New Roman" w:eastAsia="宋体" w:hAnsi="Times New Roman" w:cs="Times New Roman"/>
      <w:lang w:eastAsia="en-US"/>
    </w:rPr>
  </w:style>
  <w:style w:type="character" w:customStyle="1" w:styleId="a4">
    <w:name w:val="注释标题 字符"/>
    <w:link w:val="a3"/>
    <w:qFormat/>
    <w:rPr>
      <w:rFonts w:ascii="EYInterstate Light" w:hAnsi="EYInterstate Light" w:cs="Arial"/>
      <w:b/>
      <w:kern w:val="24"/>
      <w:sz w:val="18"/>
      <w:lang w:eastAsia="en-US"/>
    </w:rPr>
  </w:style>
  <w:style w:type="character" w:customStyle="1" w:styleId="maincontenttext1">
    <w:name w:val="main_content_text1"/>
    <w:qFormat/>
    <w:rPr>
      <w:rFonts w:ascii="Arial" w:hAnsi="Arial" w:cs="Arial" w:hint="default"/>
      <w:color w:val="000000"/>
      <w:sz w:val="18"/>
      <w:szCs w:val="18"/>
    </w:rPr>
  </w:style>
  <w:style w:type="paragraph" w:customStyle="1" w:styleId="Instructions-bodytext">
    <w:name w:val="Instructions - body text"/>
    <w:basedOn w:val="a"/>
    <w:next w:val="a"/>
    <w:link w:val="Instructions-bodytextChar"/>
    <w:qFormat/>
    <w:pPr>
      <w:spacing w:before="120" w:after="120" w:line="360" w:lineRule="auto"/>
    </w:pPr>
    <w:rPr>
      <w:rFonts w:ascii="Arial" w:hAnsi="Arial"/>
      <w:iCs/>
      <w:color w:val="0000FF"/>
      <w:kern w:val="24"/>
      <w:lang w:eastAsia="en-US"/>
    </w:rPr>
  </w:style>
  <w:style w:type="character" w:customStyle="1" w:styleId="Instructions-bodytextChar">
    <w:name w:val="Instructions - body text Char"/>
    <w:link w:val="Instructions-bodytext"/>
    <w:qFormat/>
    <w:rPr>
      <w:rFonts w:cs="Arial"/>
      <w:iCs/>
      <w:color w:val="0000FF"/>
      <w:kern w:val="24"/>
      <w:lang w:eastAsia="en-US"/>
    </w:rPr>
  </w:style>
  <w:style w:type="character" w:customStyle="1" w:styleId="70">
    <w:name w:val="标题 7 字符"/>
    <w:link w:val="7"/>
    <w:uiPriority w:val="9"/>
    <w:semiHidden/>
    <w:qFormat/>
    <w:rPr>
      <w:rFonts w:ascii="Calibri" w:eastAsia="宋体" w:hAnsi="Calibri" w:cs="Times New Roman"/>
      <w:kern w:val="2"/>
      <w:sz w:val="24"/>
      <w:szCs w:val="24"/>
    </w:rPr>
  </w:style>
  <w:style w:type="character" w:customStyle="1" w:styleId="80">
    <w:name w:val="标题 8 字符"/>
    <w:link w:val="8"/>
    <w:uiPriority w:val="9"/>
    <w:semiHidden/>
    <w:qFormat/>
    <w:rPr>
      <w:rFonts w:ascii="Calibri" w:eastAsia="宋体" w:hAnsi="Calibri" w:cs="Times New Roman"/>
      <w:i/>
      <w:iCs/>
      <w:kern w:val="2"/>
      <w:sz w:val="24"/>
      <w:szCs w:val="24"/>
    </w:rPr>
  </w:style>
  <w:style w:type="character" w:customStyle="1" w:styleId="90">
    <w:name w:val="标题 9 字符"/>
    <w:link w:val="9"/>
    <w:uiPriority w:val="9"/>
    <w:semiHidden/>
    <w:qFormat/>
    <w:rPr>
      <w:rFonts w:ascii="Cambria" w:eastAsia="宋体" w:hAnsi="Cambria" w:cs="Times New Roman"/>
      <w:kern w:val="2"/>
      <w:sz w:val="22"/>
      <w:szCs w:val="22"/>
    </w:rPr>
  </w:style>
  <w:style w:type="paragraph" w:customStyle="1" w:styleId="Bulletnumbers">
    <w:name w:val="Bullet numbers"/>
    <w:basedOn w:val="a"/>
    <w:next w:val="a"/>
    <w:qFormat/>
    <w:pPr>
      <w:spacing w:before="120" w:after="120" w:line="360" w:lineRule="auto"/>
    </w:pPr>
    <w:rPr>
      <w:rFonts w:ascii="EYInterstate Light" w:hAnsi="EYInterstate Light"/>
      <w:kern w:val="24"/>
      <w:lang w:val="en-GB"/>
    </w:rPr>
  </w:style>
  <w:style w:type="paragraph" w:customStyle="1" w:styleId="TOC10">
    <w:name w:val="TOC 标题1"/>
    <w:basedOn w:val="1"/>
    <w:next w:val="a"/>
    <w:uiPriority w:val="39"/>
    <w:unhideWhenUsed/>
    <w:qFormat/>
    <w:pPr>
      <w:keepLines/>
      <w:spacing w:before="480" w:after="0" w:line="276" w:lineRule="auto"/>
      <w:outlineLvl w:val="9"/>
    </w:pPr>
    <w:rPr>
      <w:rFonts w:ascii="Cambria" w:hAnsi="Cambria" w:cs="Times New Roman"/>
      <w:color w:val="365F91"/>
      <w:sz w:val="28"/>
      <w:szCs w:val="28"/>
      <w:lang w:eastAsia="en-US"/>
    </w:rPr>
  </w:style>
  <w:style w:type="paragraph" w:customStyle="1" w:styleId="Headline2">
    <w:name w:val="Headline 2"/>
    <w:qFormat/>
    <w:pPr>
      <w:spacing w:line="470" w:lineRule="exact"/>
    </w:pPr>
    <w:rPr>
      <w:rFonts w:ascii="Arial Narrow" w:eastAsia="黑体" w:hAnsi="Arial Narrow" w:cs="Arial"/>
      <w:bCs/>
      <w:kern w:val="32"/>
      <w:sz w:val="36"/>
      <w:szCs w:val="48"/>
      <w:lang w:val="en-GB" w:eastAsia="en-US"/>
    </w:rPr>
  </w:style>
  <w:style w:type="character" w:customStyle="1" w:styleId="a9">
    <w:name w:val="文档结构图 字符"/>
    <w:link w:val="a8"/>
    <w:uiPriority w:val="99"/>
    <w:semiHidden/>
    <w:qFormat/>
    <w:rPr>
      <w:rFonts w:ascii="Tahoma" w:hAnsi="Tahoma" w:cs="Tahoma"/>
      <w:kern w:val="2"/>
      <w:sz w:val="16"/>
      <w:szCs w:val="16"/>
    </w:rPr>
  </w:style>
  <w:style w:type="paragraph" w:customStyle="1" w:styleId="Tablebullet">
    <w:name w:val="Table bullet"/>
    <w:basedOn w:val="a"/>
    <w:qFormat/>
    <w:pPr>
      <w:numPr>
        <w:numId w:val="3"/>
      </w:numPr>
      <w:spacing w:before="120"/>
    </w:pPr>
    <w:rPr>
      <w:kern w:val="0"/>
      <w:lang w:eastAsia="en-US"/>
    </w:rPr>
  </w:style>
  <w:style w:type="paragraph" w:customStyle="1" w:styleId="Tableautexte">
    <w:name w:val="Tableau texte"/>
    <w:basedOn w:val="a"/>
    <w:qFormat/>
    <w:pPr>
      <w:overflowPunct w:val="0"/>
      <w:autoSpaceDE w:val="0"/>
      <w:autoSpaceDN w:val="0"/>
      <w:adjustRightInd w:val="0"/>
      <w:spacing w:before="60" w:line="240" w:lineRule="exact"/>
      <w:textAlignment w:val="baseline"/>
    </w:pPr>
    <w:rPr>
      <w:rFonts w:ascii="EY Gothic Comp Book" w:eastAsia="Times New Roman" w:hAnsi="EY Gothic Comp Book"/>
      <w:kern w:val="0"/>
      <w:lang w:eastAsia="en-US"/>
    </w:rPr>
  </w:style>
  <w:style w:type="paragraph" w:styleId="afff">
    <w:name w:val="Quote"/>
    <w:basedOn w:val="a"/>
    <w:link w:val="afff0"/>
    <w:qFormat/>
    <w:pPr>
      <w:spacing w:before="120" w:after="180" w:line="360" w:lineRule="exact"/>
      <w:ind w:left="720"/>
    </w:pPr>
    <w:rPr>
      <w:rFonts w:ascii="EYInterstate Light" w:hAnsi="EYInterstate Light"/>
      <w:bCs/>
      <w:i/>
      <w:spacing w:val="-10"/>
      <w:kern w:val="32"/>
      <w:szCs w:val="48"/>
      <w:lang w:eastAsia="en-US"/>
    </w:rPr>
  </w:style>
  <w:style w:type="character" w:customStyle="1" w:styleId="afff0">
    <w:name w:val="引用 字符"/>
    <w:link w:val="afff"/>
    <w:qFormat/>
    <w:rPr>
      <w:rFonts w:ascii="EYInterstate Light" w:hAnsi="EYInterstate Light" w:cs="Arial"/>
      <w:bCs/>
      <w:i/>
      <w:spacing w:val="-10"/>
      <w:kern w:val="32"/>
      <w:szCs w:val="48"/>
      <w:lang w:eastAsia="en-US"/>
    </w:rPr>
  </w:style>
  <w:style w:type="paragraph" w:customStyle="1" w:styleId="ListBulletBlue">
    <w:name w:val="List Bullet + Blue"/>
    <w:basedOn w:val="a7"/>
    <w:link w:val="ListBulletBlueChar"/>
    <w:qFormat/>
    <w:pPr>
      <w:tabs>
        <w:tab w:val="left" w:pos="595"/>
      </w:tabs>
      <w:ind w:left="595" w:hanging="595"/>
    </w:pPr>
    <w:rPr>
      <w:rFonts w:ascii="Arial" w:eastAsia="华文楷体" w:hAnsi="Arial"/>
      <w:color w:val="0099CC"/>
      <w:kern w:val="0"/>
      <w:lang w:val="en-GB" w:eastAsia="en-US"/>
    </w:rPr>
  </w:style>
  <w:style w:type="character" w:customStyle="1" w:styleId="ListBulletBlueChar">
    <w:name w:val="List Bullet + Blue Char"/>
    <w:link w:val="ListBulletBlue"/>
    <w:qFormat/>
    <w:rPr>
      <w:rFonts w:eastAsia="华文楷体"/>
      <w:color w:val="0099CC"/>
      <w:sz w:val="22"/>
      <w:lang w:val="en-GB" w:eastAsia="en-US"/>
    </w:rPr>
  </w:style>
  <w:style w:type="paragraph" w:customStyle="1" w:styleId="BulletEY">
    <w:name w:val="Bullet EY"/>
    <w:basedOn w:val="a"/>
    <w:next w:val="a"/>
    <w:qFormat/>
    <w:pPr>
      <w:spacing w:before="120" w:after="240" w:line="360" w:lineRule="auto"/>
    </w:pPr>
    <w:rPr>
      <w:rFonts w:ascii="EYInterstate Light" w:hAnsi="EYInterstate Light"/>
      <w:kern w:val="24"/>
      <w:szCs w:val="18"/>
      <w:lang w:eastAsia="en-US"/>
    </w:rPr>
  </w:style>
  <w:style w:type="paragraph" w:customStyle="1" w:styleId="BodyTextBold">
    <w:name w:val="Body Text  Bold"/>
    <w:basedOn w:val="ac"/>
    <w:qFormat/>
    <w:pPr>
      <w:numPr>
        <w:numId w:val="4"/>
      </w:numPr>
      <w:tabs>
        <w:tab w:val="clear" w:pos="595"/>
      </w:tabs>
      <w:spacing w:before="0" w:after="240" w:line="240" w:lineRule="atLeast"/>
      <w:ind w:left="0" w:right="0" w:firstLine="0"/>
      <w:jc w:val="left"/>
    </w:pPr>
    <w:rPr>
      <w:rFonts w:ascii="Arial" w:eastAsia="华文楷体" w:hAnsi="Arial"/>
      <w:b/>
      <w:bCs/>
      <w:kern w:val="0"/>
      <w:lang w:val="en-GB" w:eastAsia="en-US"/>
    </w:rPr>
  </w:style>
  <w:style w:type="paragraph" w:customStyle="1" w:styleId="ExhibitTextboxText">
    <w:name w:val="Exhibit Textbox Text"/>
    <w:basedOn w:val="a"/>
    <w:qFormat/>
    <w:pPr>
      <w:spacing w:before="120" w:after="120"/>
      <w:jc w:val="center"/>
    </w:pPr>
    <w:rPr>
      <w:rFonts w:ascii="Arial" w:eastAsia="华文楷体" w:hAnsi="Arial"/>
      <w:kern w:val="0"/>
      <w:szCs w:val="18"/>
      <w:lang w:val="en-GB" w:eastAsia="en-US"/>
    </w:rPr>
  </w:style>
  <w:style w:type="paragraph" w:customStyle="1" w:styleId="BodyTextBlue">
    <w:name w:val="Body Text Blue"/>
    <w:basedOn w:val="ac"/>
    <w:link w:val="BodyTextBlueChar"/>
    <w:qFormat/>
    <w:pPr>
      <w:spacing w:before="0" w:after="240" w:line="240" w:lineRule="atLeast"/>
      <w:ind w:right="0"/>
      <w:jc w:val="left"/>
    </w:pPr>
    <w:rPr>
      <w:rFonts w:ascii="Arial" w:eastAsia="华文楷体" w:hAnsi="Arial"/>
      <w:color w:val="0099CC"/>
      <w:kern w:val="0"/>
      <w:lang w:val="en-GB" w:eastAsia="en-US"/>
    </w:rPr>
  </w:style>
  <w:style w:type="character" w:customStyle="1" w:styleId="BodyTextBlueChar">
    <w:name w:val="Body Text Blue Char"/>
    <w:link w:val="BodyTextBlue"/>
    <w:qFormat/>
    <w:rPr>
      <w:rFonts w:ascii="FZFangSong-Z02" w:eastAsia="华文楷体" w:hAnsi="Times New Roman" w:cs="Times New Roman"/>
      <w:color w:val="0099CC"/>
      <w:kern w:val="2"/>
      <w:sz w:val="22"/>
      <w:szCs w:val="22"/>
      <w:lang w:val="en-GB" w:eastAsia="en-US"/>
    </w:rPr>
  </w:style>
  <w:style w:type="paragraph" w:customStyle="1" w:styleId="EYBodytextwithparaspace">
    <w:name w:val="EY Body text (with para space)"/>
    <w:basedOn w:val="a"/>
    <w:link w:val="EYBodytextwithparaspaceChar"/>
    <w:qFormat/>
    <w:pPr>
      <w:numPr>
        <w:ilvl w:val="4"/>
        <w:numId w:val="5"/>
      </w:numPr>
      <w:spacing w:after="240"/>
      <w:outlineLvl w:val="0"/>
    </w:pPr>
    <w:rPr>
      <w:rFonts w:ascii="EYInterstate Light" w:hAnsi="EYInterstate Light"/>
      <w:kern w:val="12"/>
      <w:szCs w:val="24"/>
      <w:lang w:val="en-GB" w:eastAsia="en-US"/>
    </w:rPr>
  </w:style>
  <w:style w:type="character" w:customStyle="1" w:styleId="EYBodytextwithparaspaceChar">
    <w:name w:val="EY Body text (with para space) Char"/>
    <w:link w:val="EYBodytextwithparaspace"/>
    <w:qFormat/>
    <w:rPr>
      <w:rFonts w:ascii="EYInterstate Light" w:hAnsi="EYInterstate Light"/>
      <w:kern w:val="12"/>
      <w:szCs w:val="24"/>
      <w:lang w:val="en-GB" w:eastAsia="en-US"/>
    </w:rPr>
  </w:style>
  <w:style w:type="paragraph" w:customStyle="1" w:styleId="BodyCopy0">
    <w:name w:val="BodyCopy"/>
    <w:basedOn w:val="a"/>
    <w:qFormat/>
    <w:pPr>
      <w:spacing w:after="260"/>
    </w:pPr>
    <w:rPr>
      <w:kern w:val="0"/>
      <w:szCs w:val="24"/>
      <w:lang w:eastAsia="en-US"/>
    </w:rPr>
  </w:style>
  <w:style w:type="table" w:customStyle="1" w:styleId="2-41">
    <w:name w:val="清单表 2 - 着色 41"/>
    <w:basedOn w:val="a1"/>
    <w:uiPriority w:val="47"/>
    <w:qFormat/>
    <w:tblPr>
      <w:tblBorders>
        <w:top w:val="single" w:sz="4" w:space="0" w:color="7ACE6C" w:themeColor="accent4" w:themeTint="99"/>
        <w:bottom w:val="single" w:sz="4" w:space="0" w:color="7ACE6C" w:themeColor="accent4" w:themeTint="99"/>
        <w:insideH w:val="single" w:sz="4" w:space="0" w:color="7ACE6C"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2EECE" w:themeFill="accent4" w:themeFillTint="33"/>
      </w:tcPr>
    </w:tblStylePr>
    <w:tblStylePr w:type="band1Horz">
      <w:tblPr/>
      <w:tcPr>
        <w:shd w:val="clear" w:color="auto" w:fill="D2EECE" w:themeFill="accent4" w:themeFillTint="33"/>
      </w:tcPr>
    </w:tblStylePr>
  </w:style>
  <w:style w:type="table" w:customStyle="1" w:styleId="7-41">
    <w:name w:val="清单表 7 彩色 - 着色 41"/>
    <w:basedOn w:val="a1"/>
    <w:uiPriority w:val="52"/>
    <w:qFormat/>
    <w:rPr>
      <w:color w:val="2C6722" w:themeColor="accent4" w:themeShade="BF"/>
    </w:rPr>
    <w:tblPr/>
    <w:tblStylePr w:type="firstRow">
      <w:rPr>
        <w:rFonts w:asciiTheme="majorHAnsi" w:eastAsiaTheme="majorEastAsia" w:hAnsiTheme="majorHAnsi" w:cstheme="majorBidi"/>
        <w:i/>
        <w:iCs/>
        <w:sz w:val="26"/>
      </w:rPr>
      <w:tblPr/>
      <w:tcPr>
        <w:tcBorders>
          <w:bottom w:val="single" w:sz="4" w:space="0" w:color="3C8A2E"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C8A2E"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C8A2E"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C8A2E" w:themeColor="accent4"/>
        </w:tcBorders>
        <w:shd w:val="clear" w:color="auto" w:fill="FFFFFF" w:themeFill="background1"/>
      </w:tcPr>
    </w:tblStylePr>
    <w:tblStylePr w:type="band1Vert">
      <w:tblPr/>
      <w:tcPr>
        <w:shd w:val="clear" w:color="auto" w:fill="D2EECE" w:themeFill="accent4" w:themeFillTint="33"/>
      </w:tcPr>
    </w:tblStylePr>
    <w:tblStylePr w:type="band1Horz">
      <w:tblPr/>
      <w:tcPr>
        <w:shd w:val="clear" w:color="auto" w:fill="D2EECE"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6-41">
    <w:name w:val="清单表 6 彩色 - 着色 41"/>
    <w:basedOn w:val="a1"/>
    <w:uiPriority w:val="51"/>
    <w:qFormat/>
    <w:rPr>
      <w:color w:val="2C6722" w:themeColor="accent4" w:themeShade="BF"/>
    </w:rPr>
    <w:tblPr>
      <w:tblBorders>
        <w:top w:val="single" w:sz="4" w:space="0" w:color="3C8A2E" w:themeColor="accent4"/>
        <w:bottom w:val="single" w:sz="4" w:space="0" w:color="3C8A2E" w:themeColor="accent4"/>
      </w:tblBorders>
    </w:tblPr>
    <w:tblStylePr w:type="firstRow">
      <w:rPr>
        <w:b/>
        <w:bCs/>
      </w:rPr>
      <w:tblPr/>
      <w:tcPr>
        <w:tcBorders>
          <w:bottom w:val="single" w:sz="4" w:space="0" w:color="3C8A2E" w:themeColor="accent4"/>
        </w:tcBorders>
      </w:tcPr>
    </w:tblStylePr>
    <w:tblStylePr w:type="lastRow">
      <w:rPr>
        <w:b/>
        <w:bCs/>
      </w:rPr>
      <w:tblPr/>
      <w:tcPr>
        <w:tcBorders>
          <w:top w:val="double" w:sz="4" w:space="0" w:color="3C8A2E" w:themeColor="accent4"/>
        </w:tcBorders>
      </w:tcPr>
    </w:tblStylePr>
    <w:tblStylePr w:type="firstCol">
      <w:rPr>
        <w:b/>
        <w:bCs/>
      </w:rPr>
    </w:tblStylePr>
    <w:tblStylePr w:type="lastCol">
      <w:rPr>
        <w:b/>
        <w:bCs/>
      </w:rPr>
    </w:tblStylePr>
    <w:tblStylePr w:type="band1Vert">
      <w:tblPr/>
      <w:tcPr>
        <w:shd w:val="clear" w:color="auto" w:fill="D2EECE" w:themeFill="accent4" w:themeFillTint="33"/>
      </w:tcPr>
    </w:tblStylePr>
    <w:tblStylePr w:type="band1Horz">
      <w:tblPr/>
      <w:tcPr>
        <w:shd w:val="clear" w:color="auto" w:fill="D2EECE" w:themeFill="accent4" w:themeFillTint="33"/>
      </w:tcPr>
    </w:tblStylePr>
  </w:style>
  <w:style w:type="table" w:customStyle="1" w:styleId="3-41">
    <w:name w:val="清单表 3 - 着色 41"/>
    <w:basedOn w:val="a1"/>
    <w:uiPriority w:val="48"/>
    <w:qFormat/>
    <w:tblPr>
      <w:tblBorders>
        <w:top w:val="single" w:sz="4" w:space="0" w:color="3C8A2E" w:themeColor="accent4"/>
        <w:left w:val="single" w:sz="4" w:space="0" w:color="3C8A2E" w:themeColor="accent4"/>
        <w:bottom w:val="single" w:sz="4" w:space="0" w:color="3C8A2E" w:themeColor="accent4"/>
        <w:right w:val="single" w:sz="4" w:space="0" w:color="3C8A2E" w:themeColor="accent4"/>
      </w:tblBorders>
    </w:tblPr>
    <w:tblStylePr w:type="firstRow">
      <w:rPr>
        <w:b/>
        <w:bCs/>
        <w:color w:val="FFFFFF" w:themeColor="background1"/>
      </w:rPr>
      <w:tblPr/>
      <w:tcPr>
        <w:shd w:val="clear" w:color="auto" w:fill="3C8A2E" w:themeFill="accent4"/>
      </w:tcPr>
    </w:tblStylePr>
    <w:tblStylePr w:type="lastRow">
      <w:rPr>
        <w:b/>
        <w:bCs/>
      </w:rPr>
      <w:tblPr/>
      <w:tcPr>
        <w:tcBorders>
          <w:top w:val="double" w:sz="4" w:space="0" w:color="3C8A2E"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C8A2E" w:themeColor="accent4"/>
          <w:right w:val="single" w:sz="4" w:space="0" w:color="3C8A2E" w:themeColor="accent4"/>
        </w:tcBorders>
      </w:tcPr>
    </w:tblStylePr>
    <w:tblStylePr w:type="band1Horz">
      <w:tblPr/>
      <w:tcPr>
        <w:tcBorders>
          <w:top w:val="single" w:sz="4" w:space="0" w:color="3C8A2E" w:themeColor="accent4"/>
          <w:bottom w:val="single" w:sz="4" w:space="0" w:color="3C8A2E"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C8A2E" w:themeColor="accent4"/>
          <w:left w:val="nil"/>
        </w:tcBorders>
      </w:tcPr>
    </w:tblStylePr>
    <w:tblStylePr w:type="swCell">
      <w:tblPr/>
      <w:tcPr>
        <w:tcBorders>
          <w:top w:val="double" w:sz="4" w:space="0" w:color="3C8A2E" w:themeColor="accent4"/>
          <w:right w:val="nil"/>
        </w:tcBorders>
      </w:tcPr>
    </w:tblStylePr>
  </w:style>
  <w:style w:type="table" w:customStyle="1" w:styleId="3-51">
    <w:name w:val="清单表 3 - 着色 51"/>
    <w:basedOn w:val="a1"/>
    <w:uiPriority w:val="48"/>
    <w:qFormat/>
    <w:tblPr>
      <w:tblBorders>
        <w:top w:val="single" w:sz="4" w:space="0" w:color="72C7E7" w:themeColor="accent5"/>
        <w:left w:val="single" w:sz="4" w:space="0" w:color="72C7E7" w:themeColor="accent5"/>
        <w:bottom w:val="single" w:sz="4" w:space="0" w:color="72C7E7" w:themeColor="accent5"/>
        <w:right w:val="single" w:sz="4" w:space="0" w:color="72C7E7" w:themeColor="accent5"/>
      </w:tblBorders>
    </w:tblPr>
    <w:tblStylePr w:type="firstRow">
      <w:rPr>
        <w:b/>
        <w:bCs/>
        <w:color w:val="FFFFFF" w:themeColor="background1"/>
      </w:rPr>
      <w:tblPr/>
      <w:tcPr>
        <w:shd w:val="clear" w:color="auto" w:fill="72C7E7" w:themeFill="accent5"/>
      </w:tcPr>
    </w:tblStylePr>
    <w:tblStylePr w:type="lastRow">
      <w:rPr>
        <w:b/>
        <w:bCs/>
      </w:rPr>
      <w:tblPr/>
      <w:tcPr>
        <w:tcBorders>
          <w:top w:val="double" w:sz="4" w:space="0" w:color="72C7E7"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2C7E7" w:themeColor="accent5"/>
          <w:right w:val="single" w:sz="4" w:space="0" w:color="72C7E7" w:themeColor="accent5"/>
        </w:tcBorders>
      </w:tcPr>
    </w:tblStylePr>
    <w:tblStylePr w:type="band1Horz">
      <w:tblPr/>
      <w:tcPr>
        <w:tcBorders>
          <w:top w:val="single" w:sz="4" w:space="0" w:color="72C7E7" w:themeColor="accent5"/>
          <w:bottom w:val="single" w:sz="4" w:space="0" w:color="72C7E7"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2C7E7" w:themeColor="accent5"/>
          <w:left w:val="nil"/>
        </w:tcBorders>
      </w:tcPr>
    </w:tblStylePr>
    <w:tblStylePr w:type="swCell">
      <w:tblPr/>
      <w:tcPr>
        <w:tcBorders>
          <w:top w:val="double" w:sz="4" w:space="0" w:color="72C7E7" w:themeColor="accent5"/>
          <w:right w:val="nil"/>
        </w:tcBorders>
      </w:tcPr>
    </w:tblStylePr>
  </w:style>
  <w:style w:type="table" w:customStyle="1" w:styleId="7-51">
    <w:name w:val="清单表 7 彩色 - 着色 51"/>
    <w:basedOn w:val="a1"/>
    <w:uiPriority w:val="52"/>
    <w:qFormat/>
    <w:rPr>
      <w:color w:val="28A9DA" w:themeColor="accent5" w:themeShade="BF"/>
    </w:rPr>
    <w:tblPr/>
    <w:tblStylePr w:type="firstRow">
      <w:rPr>
        <w:rFonts w:asciiTheme="majorHAnsi" w:eastAsiaTheme="majorEastAsia" w:hAnsiTheme="majorHAnsi" w:cstheme="majorBidi"/>
        <w:i/>
        <w:iCs/>
        <w:sz w:val="26"/>
      </w:rPr>
      <w:tblPr/>
      <w:tcPr>
        <w:tcBorders>
          <w:bottom w:val="single" w:sz="4" w:space="0" w:color="72C7E7"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2C7E7"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2C7E7"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2C7E7" w:themeColor="accent5"/>
        </w:tcBorders>
        <w:shd w:val="clear" w:color="auto" w:fill="FFFFFF" w:themeFill="background1"/>
      </w:tcPr>
    </w:tblStylePr>
    <w:tblStylePr w:type="band1Vert">
      <w:tblPr/>
      <w:tcPr>
        <w:shd w:val="clear" w:color="auto" w:fill="E2F3FA" w:themeFill="accent5" w:themeFillTint="33"/>
      </w:tcPr>
    </w:tblStylePr>
    <w:tblStylePr w:type="band1Horz">
      <w:tblPr/>
      <w:tcPr>
        <w:shd w:val="clear" w:color="auto" w:fill="E2F3FA"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31">
    <w:name w:val="清单表 7 彩色 - 着色 31"/>
    <w:basedOn w:val="a1"/>
    <w:uiPriority w:val="52"/>
    <w:qFormat/>
    <w:rPr>
      <w:color w:val="0077A6" w:themeColor="accent3" w:themeShade="BF"/>
    </w:rPr>
    <w:tblPr/>
    <w:tblStylePr w:type="firstRow">
      <w:rPr>
        <w:rFonts w:asciiTheme="majorHAnsi" w:eastAsiaTheme="majorEastAsia" w:hAnsiTheme="majorHAnsi" w:cstheme="majorBidi"/>
        <w:i/>
        <w:iCs/>
        <w:sz w:val="26"/>
      </w:rPr>
      <w:tblPr/>
      <w:tcPr>
        <w:tcBorders>
          <w:bottom w:val="single" w:sz="4" w:space="0" w:color="00A1D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A1D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A1D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A1DE" w:themeColor="accent3"/>
        </w:tcBorders>
        <w:shd w:val="clear" w:color="auto" w:fill="FFFFFF" w:themeFill="background1"/>
      </w:tcPr>
    </w:tblStylePr>
    <w:tblStylePr w:type="band1Vert">
      <w:tblPr/>
      <w:tcPr>
        <w:shd w:val="clear" w:color="auto" w:fill="C5EEFF" w:themeFill="accent3" w:themeFillTint="33"/>
      </w:tcPr>
    </w:tblStylePr>
    <w:tblStylePr w:type="band1Horz">
      <w:tblPr/>
      <w:tcPr>
        <w:shd w:val="clear" w:color="auto" w:fill="C5EEFF"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510">
    <w:name w:val="网格表 7 彩色 - 着色 51"/>
    <w:basedOn w:val="a1"/>
    <w:uiPriority w:val="52"/>
    <w:qFormat/>
    <w:rPr>
      <w:color w:val="28A9DA" w:themeColor="accent5" w:themeShade="BF"/>
    </w:rPr>
    <w:tblPr>
      <w:tblBorders>
        <w:top w:val="single" w:sz="4" w:space="0" w:color="AADDF0" w:themeColor="accent5" w:themeTint="99"/>
        <w:left w:val="single" w:sz="4" w:space="0" w:color="AADDF0" w:themeColor="accent5" w:themeTint="99"/>
        <w:bottom w:val="single" w:sz="4" w:space="0" w:color="AADDF0" w:themeColor="accent5" w:themeTint="99"/>
        <w:right w:val="single" w:sz="4" w:space="0" w:color="AADDF0" w:themeColor="accent5" w:themeTint="99"/>
        <w:insideH w:val="single" w:sz="4" w:space="0" w:color="AADDF0" w:themeColor="accent5" w:themeTint="99"/>
        <w:insideV w:val="single" w:sz="4" w:space="0" w:color="AADDF0"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F3FA" w:themeFill="accent5" w:themeFillTint="33"/>
      </w:tcPr>
    </w:tblStylePr>
    <w:tblStylePr w:type="band1Horz">
      <w:tblPr/>
      <w:tcPr>
        <w:shd w:val="clear" w:color="auto" w:fill="E2F3FA" w:themeFill="accent5" w:themeFillTint="33"/>
      </w:tcPr>
    </w:tblStylePr>
    <w:tblStylePr w:type="neCell">
      <w:tblPr/>
      <w:tcPr>
        <w:tcBorders>
          <w:bottom w:val="single" w:sz="4" w:space="0" w:color="AADDF0" w:themeColor="accent5" w:themeTint="99"/>
        </w:tcBorders>
      </w:tcPr>
    </w:tblStylePr>
    <w:tblStylePr w:type="nwCell">
      <w:tblPr/>
      <w:tcPr>
        <w:tcBorders>
          <w:bottom w:val="single" w:sz="4" w:space="0" w:color="AADDF0" w:themeColor="accent5" w:themeTint="99"/>
        </w:tcBorders>
      </w:tcPr>
    </w:tblStylePr>
    <w:tblStylePr w:type="seCell">
      <w:tblPr/>
      <w:tcPr>
        <w:tcBorders>
          <w:top w:val="single" w:sz="4" w:space="0" w:color="AADDF0" w:themeColor="accent5" w:themeTint="99"/>
        </w:tcBorders>
      </w:tcPr>
    </w:tblStylePr>
    <w:tblStylePr w:type="swCell">
      <w:tblPr/>
      <w:tcPr>
        <w:tcBorders>
          <w:top w:val="single" w:sz="4" w:space="0" w:color="AADDF0" w:themeColor="accent5" w:themeTint="99"/>
        </w:tcBorders>
      </w:tcPr>
    </w:tblStylePr>
  </w:style>
  <w:style w:type="table" w:customStyle="1" w:styleId="2-31">
    <w:name w:val="网格表 2 - 着色 31"/>
    <w:basedOn w:val="a1"/>
    <w:uiPriority w:val="47"/>
    <w:qFormat/>
    <w:tblPr>
      <w:tblBorders>
        <w:top w:val="single" w:sz="2" w:space="0" w:color="52CEFF" w:themeColor="accent3" w:themeTint="99"/>
        <w:bottom w:val="single" w:sz="2" w:space="0" w:color="52CEFF" w:themeColor="accent3" w:themeTint="99"/>
        <w:insideH w:val="single" w:sz="2" w:space="0" w:color="52CEFF" w:themeColor="accent3" w:themeTint="99"/>
        <w:insideV w:val="single" w:sz="2" w:space="0" w:color="52CEFF" w:themeColor="accent3" w:themeTint="99"/>
      </w:tblBorders>
    </w:tblPr>
    <w:tblStylePr w:type="firstRow">
      <w:rPr>
        <w:b/>
        <w:bCs/>
      </w:rPr>
      <w:tblPr/>
      <w:tcPr>
        <w:tcBorders>
          <w:top w:val="nil"/>
          <w:bottom w:val="single" w:sz="12" w:space="0" w:color="52CEFF" w:themeColor="accent3" w:themeTint="99"/>
          <w:insideH w:val="nil"/>
          <w:insideV w:val="nil"/>
        </w:tcBorders>
        <w:shd w:val="clear" w:color="auto" w:fill="FFFFFF" w:themeFill="background1"/>
      </w:tcPr>
    </w:tblStylePr>
    <w:tblStylePr w:type="lastRow">
      <w:rPr>
        <w:b/>
        <w:bCs/>
      </w:rPr>
      <w:tblPr/>
      <w:tcPr>
        <w:tcBorders>
          <w:top w:val="double" w:sz="2" w:space="0" w:color="52CEFF"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5EEFF" w:themeFill="accent3" w:themeFillTint="33"/>
      </w:tcPr>
    </w:tblStylePr>
    <w:tblStylePr w:type="band1Horz">
      <w:tblPr/>
      <w:tcPr>
        <w:shd w:val="clear" w:color="auto" w:fill="C5EEFF" w:themeFill="accent3" w:themeFillTint="33"/>
      </w:tcPr>
    </w:tblStylePr>
  </w:style>
  <w:style w:type="table" w:customStyle="1" w:styleId="3-31">
    <w:name w:val="清单表 3 - 着色 31"/>
    <w:basedOn w:val="a1"/>
    <w:uiPriority w:val="48"/>
    <w:qFormat/>
    <w:tblPr>
      <w:tblBorders>
        <w:top w:val="single" w:sz="4" w:space="0" w:color="00A1DE" w:themeColor="accent3"/>
        <w:left w:val="single" w:sz="4" w:space="0" w:color="00A1DE" w:themeColor="accent3"/>
        <w:bottom w:val="single" w:sz="4" w:space="0" w:color="00A1DE" w:themeColor="accent3"/>
        <w:right w:val="single" w:sz="4" w:space="0" w:color="00A1DE" w:themeColor="accent3"/>
      </w:tblBorders>
    </w:tblPr>
    <w:tblStylePr w:type="firstRow">
      <w:rPr>
        <w:b/>
        <w:bCs/>
        <w:color w:val="FFFFFF" w:themeColor="background1"/>
      </w:rPr>
      <w:tblPr/>
      <w:tcPr>
        <w:shd w:val="clear" w:color="auto" w:fill="00A1DE" w:themeFill="accent3"/>
      </w:tcPr>
    </w:tblStylePr>
    <w:tblStylePr w:type="lastRow">
      <w:rPr>
        <w:b/>
        <w:bCs/>
      </w:rPr>
      <w:tblPr/>
      <w:tcPr>
        <w:tcBorders>
          <w:top w:val="double" w:sz="4" w:space="0" w:color="00A1D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A1DE" w:themeColor="accent3"/>
          <w:right w:val="single" w:sz="4" w:space="0" w:color="00A1DE" w:themeColor="accent3"/>
        </w:tcBorders>
      </w:tcPr>
    </w:tblStylePr>
    <w:tblStylePr w:type="band1Horz">
      <w:tblPr/>
      <w:tcPr>
        <w:tcBorders>
          <w:top w:val="single" w:sz="4" w:space="0" w:color="00A1DE" w:themeColor="accent3"/>
          <w:bottom w:val="single" w:sz="4" w:space="0" w:color="00A1D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A1DE" w:themeColor="accent3"/>
          <w:left w:val="nil"/>
        </w:tcBorders>
      </w:tcPr>
    </w:tblStylePr>
    <w:tblStylePr w:type="swCell">
      <w:tblPr/>
      <w:tcPr>
        <w:tcBorders>
          <w:top w:val="double" w:sz="4" w:space="0" w:color="00A1DE" w:themeColor="accent3"/>
          <w:right w:val="nil"/>
        </w:tcBorders>
      </w:tcPr>
    </w:tblStylePr>
  </w:style>
  <w:style w:type="table" w:customStyle="1" w:styleId="2-51">
    <w:name w:val="网格表 2 - 着色 51"/>
    <w:basedOn w:val="a1"/>
    <w:uiPriority w:val="47"/>
    <w:qFormat/>
    <w:tblPr>
      <w:tblBorders>
        <w:top w:val="single" w:sz="2" w:space="0" w:color="AADDF0" w:themeColor="accent5" w:themeTint="99"/>
        <w:bottom w:val="single" w:sz="2" w:space="0" w:color="AADDF0" w:themeColor="accent5" w:themeTint="99"/>
        <w:insideH w:val="single" w:sz="2" w:space="0" w:color="AADDF0" w:themeColor="accent5" w:themeTint="99"/>
        <w:insideV w:val="single" w:sz="2" w:space="0" w:color="AADDF0" w:themeColor="accent5" w:themeTint="99"/>
      </w:tblBorders>
    </w:tblPr>
    <w:tblStylePr w:type="firstRow">
      <w:rPr>
        <w:b/>
        <w:bCs/>
      </w:rPr>
      <w:tblPr/>
      <w:tcPr>
        <w:tcBorders>
          <w:top w:val="nil"/>
          <w:bottom w:val="single" w:sz="12" w:space="0" w:color="AADDF0" w:themeColor="accent5" w:themeTint="99"/>
          <w:insideH w:val="nil"/>
          <w:insideV w:val="nil"/>
        </w:tcBorders>
        <w:shd w:val="clear" w:color="auto" w:fill="FFFFFF" w:themeFill="background1"/>
      </w:tcPr>
    </w:tblStylePr>
    <w:tblStylePr w:type="lastRow">
      <w:rPr>
        <w:b/>
        <w:bCs/>
      </w:rPr>
      <w:tblPr/>
      <w:tcPr>
        <w:tcBorders>
          <w:top w:val="double" w:sz="2" w:space="0" w:color="AADDF0"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F3FA" w:themeFill="accent5" w:themeFillTint="33"/>
      </w:tcPr>
    </w:tblStylePr>
    <w:tblStylePr w:type="band1Horz">
      <w:tblPr/>
      <w:tcPr>
        <w:shd w:val="clear" w:color="auto" w:fill="E2F3FA" w:themeFill="accent5" w:themeFillTint="33"/>
      </w:tcPr>
    </w:tblStylePr>
  </w:style>
  <w:style w:type="table" w:customStyle="1" w:styleId="5-51">
    <w:name w:val="网格表 5 深色 - 着色 51"/>
    <w:basedOn w:val="a1"/>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F3FA"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2C7E7"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2C7E7"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2C7E7"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2C7E7" w:themeFill="accent5"/>
      </w:tcPr>
    </w:tblStylePr>
    <w:tblStylePr w:type="band1Vert">
      <w:tblPr/>
      <w:tcPr>
        <w:shd w:val="clear" w:color="auto" w:fill="C6E8F5" w:themeFill="accent5" w:themeFillTint="66"/>
      </w:tcPr>
    </w:tblStylePr>
    <w:tblStylePr w:type="band1Horz">
      <w:tblPr/>
      <w:tcPr>
        <w:shd w:val="clear" w:color="auto" w:fill="C6E8F5" w:themeFill="accent5" w:themeFillTint="66"/>
      </w:tcPr>
    </w:tblStylePr>
  </w:style>
  <w:style w:type="table" w:customStyle="1" w:styleId="6-31">
    <w:name w:val="网格表 6 彩色 - 着色 31"/>
    <w:basedOn w:val="a1"/>
    <w:uiPriority w:val="51"/>
    <w:qFormat/>
    <w:rPr>
      <w:color w:val="0077A6" w:themeColor="accent3" w:themeShade="BF"/>
    </w:rPr>
    <w:tblPr>
      <w:tblBorders>
        <w:top w:val="single" w:sz="4" w:space="0" w:color="52CEFF" w:themeColor="accent3" w:themeTint="99"/>
        <w:left w:val="single" w:sz="4" w:space="0" w:color="52CEFF" w:themeColor="accent3" w:themeTint="99"/>
        <w:bottom w:val="single" w:sz="4" w:space="0" w:color="52CEFF" w:themeColor="accent3" w:themeTint="99"/>
        <w:right w:val="single" w:sz="4" w:space="0" w:color="52CEFF" w:themeColor="accent3" w:themeTint="99"/>
        <w:insideH w:val="single" w:sz="4" w:space="0" w:color="52CEFF" w:themeColor="accent3" w:themeTint="99"/>
        <w:insideV w:val="single" w:sz="4" w:space="0" w:color="52CEFF" w:themeColor="accent3" w:themeTint="99"/>
      </w:tblBorders>
    </w:tblPr>
    <w:tblStylePr w:type="firstRow">
      <w:rPr>
        <w:b/>
        <w:bCs/>
      </w:rPr>
      <w:tblPr/>
      <w:tcPr>
        <w:tcBorders>
          <w:bottom w:val="single" w:sz="12" w:space="0" w:color="52CEFF" w:themeColor="accent3" w:themeTint="99"/>
        </w:tcBorders>
      </w:tcPr>
    </w:tblStylePr>
    <w:tblStylePr w:type="lastRow">
      <w:rPr>
        <w:b/>
        <w:bCs/>
      </w:rPr>
      <w:tblPr/>
      <w:tcPr>
        <w:tcBorders>
          <w:top w:val="double" w:sz="4" w:space="0" w:color="52CEFF" w:themeColor="accent3" w:themeTint="99"/>
        </w:tcBorders>
      </w:tcPr>
    </w:tblStylePr>
    <w:tblStylePr w:type="firstCol">
      <w:rPr>
        <w:b/>
        <w:bCs/>
      </w:rPr>
    </w:tblStylePr>
    <w:tblStylePr w:type="lastCol">
      <w:rPr>
        <w:b/>
        <w:bCs/>
      </w:rPr>
    </w:tblStylePr>
    <w:tblStylePr w:type="band1Vert">
      <w:tblPr/>
      <w:tcPr>
        <w:shd w:val="clear" w:color="auto" w:fill="C5EEFF" w:themeFill="accent3" w:themeFillTint="33"/>
      </w:tcPr>
    </w:tblStylePr>
    <w:tblStylePr w:type="band1Horz">
      <w:tblPr/>
      <w:tcPr>
        <w:shd w:val="clear" w:color="auto" w:fill="C5EEFF" w:themeFill="accent3" w:themeFillTint="33"/>
      </w:tcPr>
    </w:tblStylePr>
  </w:style>
  <w:style w:type="table" w:customStyle="1" w:styleId="1-31">
    <w:name w:val="清单表 1 浅色 - 着色 31"/>
    <w:basedOn w:val="a1"/>
    <w:uiPriority w:val="46"/>
    <w:qFormat/>
    <w:tblPr/>
    <w:tblStylePr w:type="firstRow">
      <w:rPr>
        <w:b/>
        <w:bCs/>
      </w:rPr>
      <w:tblPr/>
      <w:tcPr>
        <w:tcBorders>
          <w:bottom w:val="single" w:sz="4" w:space="0" w:color="52CEFF" w:themeColor="accent3" w:themeTint="99"/>
        </w:tcBorders>
      </w:tcPr>
    </w:tblStylePr>
    <w:tblStylePr w:type="lastRow">
      <w:rPr>
        <w:b/>
        <w:bCs/>
      </w:rPr>
      <w:tblPr/>
      <w:tcPr>
        <w:tcBorders>
          <w:top w:val="single" w:sz="4" w:space="0" w:color="52CEFF" w:themeColor="accent3" w:themeTint="99"/>
        </w:tcBorders>
      </w:tcPr>
    </w:tblStylePr>
    <w:tblStylePr w:type="firstCol">
      <w:rPr>
        <w:b/>
        <w:bCs/>
      </w:rPr>
    </w:tblStylePr>
    <w:tblStylePr w:type="lastCol">
      <w:rPr>
        <w:b/>
        <w:bCs/>
      </w:rPr>
    </w:tblStylePr>
    <w:tblStylePr w:type="band1Vert">
      <w:tblPr/>
      <w:tcPr>
        <w:shd w:val="clear" w:color="auto" w:fill="C5EEFF" w:themeFill="accent3" w:themeFillTint="33"/>
      </w:tcPr>
    </w:tblStylePr>
    <w:tblStylePr w:type="band1Horz">
      <w:tblPr/>
      <w:tcPr>
        <w:shd w:val="clear" w:color="auto" w:fill="C5EEFF" w:themeFill="accent3" w:themeFillTint="33"/>
      </w:tcPr>
    </w:tblStylePr>
  </w:style>
  <w:style w:type="table" w:customStyle="1" w:styleId="6-310">
    <w:name w:val="清单表 6 彩色 - 着色 31"/>
    <w:basedOn w:val="a1"/>
    <w:uiPriority w:val="51"/>
    <w:qFormat/>
    <w:rPr>
      <w:color w:val="0077A6" w:themeColor="accent3" w:themeShade="BF"/>
    </w:rPr>
    <w:tblPr>
      <w:tblBorders>
        <w:top w:val="single" w:sz="4" w:space="0" w:color="00A1DE" w:themeColor="accent3"/>
        <w:bottom w:val="single" w:sz="4" w:space="0" w:color="00A1DE" w:themeColor="accent3"/>
      </w:tblBorders>
    </w:tblPr>
    <w:tblStylePr w:type="firstRow">
      <w:rPr>
        <w:b/>
        <w:bCs/>
      </w:rPr>
      <w:tblPr/>
      <w:tcPr>
        <w:tcBorders>
          <w:bottom w:val="single" w:sz="4" w:space="0" w:color="00A1DE" w:themeColor="accent3"/>
        </w:tcBorders>
      </w:tcPr>
    </w:tblStylePr>
    <w:tblStylePr w:type="lastRow">
      <w:rPr>
        <w:b/>
        <w:bCs/>
      </w:rPr>
      <w:tblPr/>
      <w:tcPr>
        <w:tcBorders>
          <w:top w:val="double" w:sz="4" w:space="0" w:color="00A1DE" w:themeColor="accent3"/>
        </w:tcBorders>
      </w:tcPr>
    </w:tblStylePr>
    <w:tblStylePr w:type="firstCol">
      <w:rPr>
        <w:b/>
        <w:bCs/>
      </w:rPr>
    </w:tblStylePr>
    <w:tblStylePr w:type="lastCol">
      <w:rPr>
        <w:b/>
        <w:bCs/>
      </w:rPr>
    </w:tblStylePr>
    <w:tblStylePr w:type="band1Vert">
      <w:tblPr/>
      <w:tcPr>
        <w:shd w:val="clear" w:color="auto" w:fill="C5EEFF" w:themeFill="accent3" w:themeFillTint="33"/>
      </w:tcPr>
    </w:tblStylePr>
    <w:tblStylePr w:type="band1Horz">
      <w:tblPr/>
      <w:tcPr>
        <w:shd w:val="clear" w:color="auto" w:fill="C5EEFF" w:themeFill="accent3" w:themeFillTint="33"/>
      </w:tcPr>
    </w:tblStylePr>
  </w:style>
  <w:style w:type="table" w:customStyle="1" w:styleId="4-31">
    <w:name w:val="网格表 4 - 着色 31"/>
    <w:basedOn w:val="a1"/>
    <w:uiPriority w:val="49"/>
    <w:qFormat/>
    <w:tblPr>
      <w:tblBorders>
        <w:top w:val="single" w:sz="4" w:space="0" w:color="52CEFF" w:themeColor="accent3" w:themeTint="99"/>
        <w:left w:val="single" w:sz="4" w:space="0" w:color="52CEFF" w:themeColor="accent3" w:themeTint="99"/>
        <w:bottom w:val="single" w:sz="4" w:space="0" w:color="52CEFF" w:themeColor="accent3" w:themeTint="99"/>
        <w:right w:val="single" w:sz="4" w:space="0" w:color="52CEFF" w:themeColor="accent3" w:themeTint="99"/>
        <w:insideH w:val="single" w:sz="4" w:space="0" w:color="52CEFF" w:themeColor="accent3" w:themeTint="99"/>
        <w:insideV w:val="single" w:sz="4" w:space="0" w:color="52CEFF" w:themeColor="accent3" w:themeTint="99"/>
      </w:tblBorders>
    </w:tblPr>
    <w:tblStylePr w:type="firstRow">
      <w:rPr>
        <w:b/>
        <w:bCs/>
        <w:color w:val="FFFFFF" w:themeColor="background1"/>
      </w:rPr>
      <w:tblPr/>
      <w:tcPr>
        <w:tcBorders>
          <w:top w:val="single" w:sz="4" w:space="0" w:color="00A1DE" w:themeColor="accent3"/>
          <w:left w:val="single" w:sz="4" w:space="0" w:color="00A1DE" w:themeColor="accent3"/>
          <w:bottom w:val="single" w:sz="4" w:space="0" w:color="00A1DE" w:themeColor="accent3"/>
          <w:right w:val="single" w:sz="4" w:space="0" w:color="00A1DE" w:themeColor="accent3"/>
          <w:insideH w:val="nil"/>
          <w:insideV w:val="nil"/>
        </w:tcBorders>
        <w:shd w:val="clear" w:color="auto" w:fill="00A1DE" w:themeFill="accent3"/>
      </w:tcPr>
    </w:tblStylePr>
    <w:tblStylePr w:type="lastRow">
      <w:rPr>
        <w:b/>
        <w:bCs/>
      </w:rPr>
      <w:tblPr/>
      <w:tcPr>
        <w:tcBorders>
          <w:top w:val="double" w:sz="4" w:space="0" w:color="00A1DE" w:themeColor="accent3"/>
        </w:tcBorders>
      </w:tcPr>
    </w:tblStylePr>
    <w:tblStylePr w:type="firstCol">
      <w:rPr>
        <w:b/>
        <w:bCs/>
      </w:rPr>
    </w:tblStylePr>
    <w:tblStylePr w:type="lastCol">
      <w:rPr>
        <w:b/>
        <w:bCs/>
      </w:rPr>
    </w:tblStylePr>
    <w:tblStylePr w:type="band1Vert">
      <w:tblPr/>
      <w:tcPr>
        <w:shd w:val="clear" w:color="auto" w:fill="C5EEFF" w:themeFill="accent3" w:themeFillTint="33"/>
      </w:tcPr>
    </w:tblStylePr>
    <w:tblStylePr w:type="band1Horz">
      <w:tblPr/>
      <w:tcPr>
        <w:shd w:val="clear" w:color="auto" w:fill="C5EEFF" w:themeFill="accent3" w:themeFillTint="33"/>
      </w:tcPr>
    </w:tblStylePr>
  </w:style>
  <w:style w:type="table" w:customStyle="1" w:styleId="4-41">
    <w:name w:val="网格表 4 - 着色 41"/>
    <w:basedOn w:val="a1"/>
    <w:uiPriority w:val="49"/>
    <w:qFormat/>
    <w:tblPr>
      <w:tblBorders>
        <w:top w:val="single" w:sz="4" w:space="0" w:color="7ACE6C" w:themeColor="accent4" w:themeTint="99"/>
        <w:left w:val="single" w:sz="4" w:space="0" w:color="7ACE6C" w:themeColor="accent4" w:themeTint="99"/>
        <w:bottom w:val="single" w:sz="4" w:space="0" w:color="7ACE6C" w:themeColor="accent4" w:themeTint="99"/>
        <w:right w:val="single" w:sz="4" w:space="0" w:color="7ACE6C" w:themeColor="accent4" w:themeTint="99"/>
        <w:insideH w:val="single" w:sz="4" w:space="0" w:color="7ACE6C" w:themeColor="accent4" w:themeTint="99"/>
        <w:insideV w:val="single" w:sz="4" w:space="0" w:color="7ACE6C" w:themeColor="accent4" w:themeTint="99"/>
      </w:tblBorders>
    </w:tblPr>
    <w:tblStylePr w:type="firstRow">
      <w:rPr>
        <w:b/>
        <w:bCs/>
        <w:color w:val="FFFFFF" w:themeColor="background1"/>
      </w:rPr>
      <w:tblPr/>
      <w:tcPr>
        <w:tcBorders>
          <w:top w:val="single" w:sz="4" w:space="0" w:color="3C8A2E" w:themeColor="accent4"/>
          <w:left w:val="single" w:sz="4" w:space="0" w:color="3C8A2E" w:themeColor="accent4"/>
          <w:bottom w:val="single" w:sz="4" w:space="0" w:color="3C8A2E" w:themeColor="accent4"/>
          <w:right w:val="single" w:sz="4" w:space="0" w:color="3C8A2E" w:themeColor="accent4"/>
          <w:insideH w:val="nil"/>
          <w:insideV w:val="nil"/>
        </w:tcBorders>
        <w:shd w:val="clear" w:color="auto" w:fill="3C8A2E" w:themeFill="accent4"/>
      </w:tcPr>
    </w:tblStylePr>
    <w:tblStylePr w:type="lastRow">
      <w:rPr>
        <w:b/>
        <w:bCs/>
      </w:rPr>
      <w:tblPr/>
      <w:tcPr>
        <w:tcBorders>
          <w:top w:val="double" w:sz="4" w:space="0" w:color="3C8A2E" w:themeColor="accent4"/>
        </w:tcBorders>
      </w:tcPr>
    </w:tblStylePr>
    <w:tblStylePr w:type="firstCol">
      <w:rPr>
        <w:b/>
        <w:bCs/>
      </w:rPr>
    </w:tblStylePr>
    <w:tblStylePr w:type="lastCol">
      <w:rPr>
        <w:b/>
        <w:bCs/>
      </w:rPr>
    </w:tblStylePr>
    <w:tblStylePr w:type="band1Vert">
      <w:tblPr/>
      <w:tcPr>
        <w:shd w:val="clear" w:color="auto" w:fill="D2EECE" w:themeFill="accent4" w:themeFillTint="33"/>
      </w:tcPr>
    </w:tblStylePr>
    <w:tblStylePr w:type="band1Horz">
      <w:tblPr/>
      <w:tcPr>
        <w:shd w:val="clear" w:color="auto" w:fill="D2EECE" w:themeFill="accent4" w:themeFillTint="33"/>
      </w:tcPr>
    </w:tblStylePr>
  </w:style>
  <w:style w:type="table" w:customStyle="1" w:styleId="2-410">
    <w:name w:val="网格表 2 - 着色 41"/>
    <w:basedOn w:val="a1"/>
    <w:uiPriority w:val="47"/>
    <w:qFormat/>
    <w:tblPr>
      <w:tblBorders>
        <w:top w:val="single" w:sz="2" w:space="0" w:color="7ACE6C" w:themeColor="accent4" w:themeTint="99"/>
        <w:bottom w:val="single" w:sz="2" w:space="0" w:color="7ACE6C" w:themeColor="accent4" w:themeTint="99"/>
        <w:insideH w:val="single" w:sz="2" w:space="0" w:color="7ACE6C" w:themeColor="accent4" w:themeTint="99"/>
        <w:insideV w:val="single" w:sz="2" w:space="0" w:color="7ACE6C" w:themeColor="accent4" w:themeTint="99"/>
      </w:tblBorders>
    </w:tblPr>
    <w:tblStylePr w:type="firstRow">
      <w:rPr>
        <w:b/>
        <w:bCs/>
      </w:rPr>
      <w:tblPr/>
      <w:tcPr>
        <w:tcBorders>
          <w:top w:val="nil"/>
          <w:bottom w:val="single" w:sz="12" w:space="0" w:color="7ACE6C" w:themeColor="accent4" w:themeTint="99"/>
          <w:insideH w:val="nil"/>
          <w:insideV w:val="nil"/>
        </w:tcBorders>
        <w:shd w:val="clear" w:color="auto" w:fill="FFFFFF" w:themeFill="background1"/>
      </w:tcPr>
    </w:tblStylePr>
    <w:tblStylePr w:type="lastRow">
      <w:rPr>
        <w:b/>
        <w:bCs/>
      </w:rPr>
      <w:tblPr/>
      <w:tcPr>
        <w:tcBorders>
          <w:top w:val="double" w:sz="2" w:space="0" w:color="7ACE6C"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2EECE" w:themeFill="accent4" w:themeFillTint="33"/>
      </w:tcPr>
    </w:tblStylePr>
    <w:tblStylePr w:type="band1Horz">
      <w:tblPr/>
      <w:tcPr>
        <w:shd w:val="clear" w:color="auto" w:fill="D2EECE" w:themeFill="accent4" w:themeFillTint="33"/>
      </w:tcPr>
    </w:tblStylePr>
  </w:style>
  <w:style w:type="table" w:customStyle="1" w:styleId="5-41">
    <w:name w:val="网格表 5 深色 - 着色 41"/>
    <w:basedOn w:val="a1"/>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2EECE"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C8A2E"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C8A2E"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C8A2E"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C8A2E" w:themeFill="accent4"/>
      </w:tcPr>
    </w:tblStylePr>
    <w:tblStylePr w:type="band1Vert">
      <w:tblPr/>
      <w:tcPr>
        <w:shd w:val="clear" w:color="auto" w:fill="A6DE9D" w:themeFill="accent4" w:themeFillTint="66"/>
      </w:tcPr>
    </w:tblStylePr>
    <w:tblStylePr w:type="band1Horz">
      <w:tblPr/>
      <w:tcPr>
        <w:shd w:val="clear" w:color="auto" w:fill="A6DE9D" w:themeFill="accent4" w:themeFillTint="66"/>
      </w:tcPr>
    </w:tblStylePr>
  </w:style>
  <w:style w:type="character" w:customStyle="1" w:styleId="aff2">
    <w:name w:val="标题 字符"/>
    <w:basedOn w:val="a0"/>
    <w:link w:val="aff1"/>
    <w:uiPriority w:val="10"/>
    <w:qFormat/>
    <w:rPr>
      <w:rFonts w:ascii="华文细黑" w:eastAsia="华文细黑" w:hAnsi="华文细黑" w:cstheme="majorBidi"/>
      <w:b/>
      <w:spacing w:val="-10"/>
      <w:kern w:val="28"/>
      <w:sz w:val="36"/>
      <w:szCs w:val="56"/>
    </w:rPr>
  </w:style>
  <w:style w:type="paragraph" w:customStyle="1" w:styleId="Documenttitle">
    <w:name w:val="Document title"/>
    <w:next w:val="Documentsubtitle"/>
    <w:qFormat/>
    <w:pPr>
      <w:spacing w:line="440" w:lineRule="atLeast"/>
    </w:pPr>
    <w:rPr>
      <w:rFonts w:asciiTheme="majorHAnsi" w:eastAsiaTheme="majorEastAsia" w:hAnsiTheme="majorHAnsi" w:cstheme="majorBidi"/>
      <w:b/>
      <w:bCs/>
      <w:color w:val="000000" w:themeColor="text1"/>
      <w:kern w:val="2"/>
      <w:sz w:val="36"/>
      <w:szCs w:val="28"/>
      <w:lang w:val="en-GB" w:eastAsia="en-US"/>
    </w:rPr>
  </w:style>
  <w:style w:type="paragraph" w:customStyle="1" w:styleId="Documentsubtitle">
    <w:name w:val="Document subtitle"/>
    <w:basedOn w:val="a"/>
    <w:qFormat/>
    <w:pPr>
      <w:spacing w:after="120" w:line="440" w:lineRule="atLeast"/>
    </w:pPr>
    <w:rPr>
      <w:rFonts w:asciiTheme="minorHAnsi" w:hAnsiTheme="minorHAnsi" w:cstheme="minorBidi"/>
      <w:kern w:val="0"/>
      <w:sz w:val="36"/>
      <w:lang w:eastAsia="en-US"/>
    </w:rPr>
  </w:style>
  <w:style w:type="paragraph" w:customStyle="1" w:styleId="Documentdate">
    <w:name w:val="Document date"/>
    <w:qFormat/>
    <w:pPr>
      <w:spacing w:line="240" w:lineRule="atLeast"/>
    </w:pPr>
    <w:rPr>
      <w:rFonts w:asciiTheme="minorHAnsi" w:eastAsia="仿宋_GB2312" w:hAnsiTheme="minorHAnsi" w:cstheme="minorBidi"/>
      <w:kern w:val="2"/>
      <w:sz w:val="18"/>
      <w:szCs w:val="22"/>
      <w:lang w:eastAsia="en-US"/>
    </w:rPr>
  </w:style>
  <w:style w:type="paragraph" w:customStyle="1" w:styleId="Default">
    <w:name w:val="Default"/>
    <w:qFormat/>
    <w:pPr>
      <w:autoSpaceDE w:val="0"/>
      <w:autoSpaceDN w:val="0"/>
      <w:adjustRightInd w:val="0"/>
    </w:pPr>
    <w:rPr>
      <w:rFonts w:ascii="Verdana" w:eastAsia="仿宋_GB2312" w:hAnsi="Verdana" w:cs="Verdana"/>
      <w:color w:val="000000"/>
      <w:kern w:val="2"/>
      <w:sz w:val="24"/>
      <w:szCs w:val="24"/>
    </w:rPr>
  </w:style>
  <w:style w:type="paragraph" w:customStyle="1" w:styleId="Figure">
    <w:name w:val="Figure"/>
    <w:basedOn w:val="a"/>
    <w:next w:val="a"/>
    <w:qFormat/>
    <w:pPr>
      <w:spacing w:before="120" w:after="120" w:line="360" w:lineRule="auto"/>
    </w:pPr>
    <w:rPr>
      <w:rFonts w:ascii="EYInterstate" w:eastAsiaTheme="minorEastAsia" w:hAnsi="EYInterstate"/>
      <w:b/>
      <w:bCs/>
      <w:kern w:val="24"/>
      <w:lang w:eastAsia="en-US"/>
    </w:rPr>
  </w:style>
  <w:style w:type="character" w:customStyle="1" w:styleId="affe">
    <w:name w:val="列表段落 字符"/>
    <w:basedOn w:val="a0"/>
    <w:link w:val="affd"/>
    <w:uiPriority w:val="99"/>
    <w:qFormat/>
    <w:rPr>
      <w:rFonts w:ascii="Calibri" w:hAnsi="Calibri"/>
      <w:sz w:val="22"/>
      <w:szCs w:val="22"/>
      <w:lang w:val="en-GB"/>
    </w:rPr>
  </w:style>
  <w:style w:type="table" w:customStyle="1" w:styleId="1-21">
    <w:name w:val="网格表 1 浅色 - 着色 21"/>
    <w:basedOn w:val="a1"/>
    <w:uiPriority w:val="46"/>
    <w:qFormat/>
    <w:tblPr>
      <w:tblBorders>
        <w:top w:val="single" w:sz="4" w:space="0" w:color="D9FF87" w:themeColor="accent2" w:themeTint="66"/>
        <w:left w:val="single" w:sz="4" w:space="0" w:color="D9FF87" w:themeColor="accent2" w:themeTint="66"/>
        <w:bottom w:val="single" w:sz="4" w:space="0" w:color="D9FF87" w:themeColor="accent2" w:themeTint="66"/>
        <w:right w:val="single" w:sz="4" w:space="0" w:color="D9FF87" w:themeColor="accent2" w:themeTint="66"/>
        <w:insideH w:val="single" w:sz="4" w:space="0" w:color="D9FF87" w:themeColor="accent2" w:themeTint="66"/>
        <w:insideV w:val="single" w:sz="4" w:space="0" w:color="D9FF87" w:themeColor="accent2" w:themeTint="66"/>
      </w:tblBorders>
    </w:tblPr>
    <w:tblStylePr w:type="firstRow">
      <w:rPr>
        <w:b/>
        <w:bCs/>
      </w:rPr>
      <w:tblPr/>
      <w:tcPr>
        <w:tcBorders>
          <w:bottom w:val="single" w:sz="12" w:space="0" w:color="C6FF4C" w:themeColor="accent2" w:themeTint="99"/>
        </w:tcBorders>
      </w:tcPr>
    </w:tblStylePr>
    <w:tblStylePr w:type="lastRow">
      <w:rPr>
        <w:b/>
        <w:bCs/>
      </w:rPr>
      <w:tblPr/>
      <w:tcPr>
        <w:tcBorders>
          <w:top w:val="double" w:sz="2" w:space="0" w:color="C6FF4C" w:themeColor="accent2" w:themeTint="99"/>
        </w:tcBorders>
      </w:tcPr>
    </w:tblStylePr>
    <w:tblStylePr w:type="firstCol">
      <w:rPr>
        <w:b/>
        <w:bCs/>
      </w:rPr>
    </w:tblStylePr>
    <w:tblStylePr w:type="lastCol">
      <w:rPr>
        <w:b/>
        <w:bCs/>
      </w:rPr>
    </w:tblStylePr>
  </w:style>
  <w:style w:type="table" w:customStyle="1" w:styleId="110">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3-410">
    <w:name w:val="网格表 3 - 着色 41"/>
    <w:basedOn w:val="a1"/>
    <w:uiPriority w:val="48"/>
    <w:qFormat/>
    <w:tblPr>
      <w:tblBorders>
        <w:top w:val="single" w:sz="4" w:space="0" w:color="7ACE6C" w:themeColor="accent4" w:themeTint="99"/>
        <w:left w:val="single" w:sz="4" w:space="0" w:color="7ACE6C" w:themeColor="accent4" w:themeTint="99"/>
        <w:bottom w:val="single" w:sz="4" w:space="0" w:color="7ACE6C" w:themeColor="accent4" w:themeTint="99"/>
        <w:right w:val="single" w:sz="4" w:space="0" w:color="7ACE6C" w:themeColor="accent4" w:themeTint="99"/>
        <w:insideH w:val="single" w:sz="4" w:space="0" w:color="7ACE6C" w:themeColor="accent4" w:themeTint="99"/>
        <w:insideV w:val="single" w:sz="4" w:space="0" w:color="7ACE6C"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2EECE" w:themeFill="accent4" w:themeFillTint="33"/>
      </w:tcPr>
    </w:tblStylePr>
    <w:tblStylePr w:type="band1Horz">
      <w:tblPr/>
      <w:tcPr>
        <w:shd w:val="clear" w:color="auto" w:fill="D2EECE" w:themeFill="accent4" w:themeFillTint="33"/>
      </w:tcPr>
    </w:tblStylePr>
    <w:tblStylePr w:type="neCell">
      <w:tblPr/>
      <w:tcPr>
        <w:tcBorders>
          <w:bottom w:val="single" w:sz="4" w:space="0" w:color="7ACE6C" w:themeColor="accent4" w:themeTint="99"/>
        </w:tcBorders>
      </w:tcPr>
    </w:tblStylePr>
    <w:tblStylePr w:type="nwCell">
      <w:tblPr/>
      <w:tcPr>
        <w:tcBorders>
          <w:bottom w:val="single" w:sz="4" w:space="0" w:color="7ACE6C" w:themeColor="accent4" w:themeTint="99"/>
        </w:tcBorders>
      </w:tcPr>
    </w:tblStylePr>
    <w:tblStylePr w:type="seCell">
      <w:tblPr/>
      <w:tcPr>
        <w:tcBorders>
          <w:top w:val="single" w:sz="4" w:space="0" w:color="7ACE6C" w:themeColor="accent4" w:themeTint="99"/>
        </w:tcBorders>
      </w:tcPr>
    </w:tblStylePr>
    <w:tblStylePr w:type="swCell">
      <w:tblPr/>
      <w:tcPr>
        <w:tcBorders>
          <w:top w:val="single" w:sz="4" w:space="0" w:color="7ACE6C" w:themeColor="accent4" w:themeTint="99"/>
        </w:tcBorders>
      </w:tcPr>
    </w:tblStylePr>
  </w:style>
  <w:style w:type="table" w:customStyle="1" w:styleId="2-21">
    <w:name w:val="网格表 2 - 着色 21"/>
    <w:basedOn w:val="a1"/>
    <w:uiPriority w:val="47"/>
    <w:qFormat/>
    <w:tblPr>
      <w:tblBorders>
        <w:top w:val="single" w:sz="2" w:space="0" w:color="C6FF4C" w:themeColor="accent2" w:themeTint="99"/>
        <w:bottom w:val="single" w:sz="2" w:space="0" w:color="C6FF4C" w:themeColor="accent2" w:themeTint="99"/>
        <w:insideH w:val="single" w:sz="2" w:space="0" w:color="C6FF4C" w:themeColor="accent2" w:themeTint="99"/>
        <w:insideV w:val="single" w:sz="2" w:space="0" w:color="C6FF4C" w:themeColor="accent2" w:themeTint="99"/>
      </w:tblBorders>
    </w:tblPr>
    <w:tblStylePr w:type="firstRow">
      <w:rPr>
        <w:b/>
        <w:bCs/>
      </w:rPr>
      <w:tblPr/>
      <w:tcPr>
        <w:tcBorders>
          <w:top w:val="nil"/>
          <w:bottom w:val="single" w:sz="12" w:space="0" w:color="C6FF4C" w:themeColor="accent2" w:themeTint="99"/>
          <w:insideH w:val="nil"/>
          <w:insideV w:val="nil"/>
        </w:tcBorders>
        <w:shd w:val="clear" w:color="auto" w:fill="FFFFFF" w:themeFill="background1"/>
      </w:tcPr>
    </w:tblStylePr>
    <w:tblStylePr w:type="lastRow">
      <w:rPr>
        <w:b/>
        <w:bCs/>
      </w:rPr>
      <w:tblPr/>
      <w:tcPr>
        <w:tcBorders>
          <w:top w:val="double" w:sz="2" w:space="0" w:color="C6FF4C"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CFFC3" w:themeFill="accent2" w:themeFillTint="33"/>
      </w:tcPr>
    </w:tblStylePr>
    <w:tblStylePr w:type="band1Horz">
      <w:tblPr/>
      <w:tcPr>
        <w:shd w:val="clear" w:color="auto" w:fill="ECFFC3" w:themeFill="accent2" w:themeFillTint="33"/>
      </w:tcPr>
    </w:tblStylePr>
  </w:style>
  <w:style w:type="paragraph" w:customStyle="1" w:styleId="TableColumnHeader">
    <w:name w:val="Table Column Header"/>
    <w:basedOn w:val="TableText"/>
    <w:qFormat/>
    <w:pPr>
      <w:keepNext/>
      <w:widowControl w:val="0"/>
      <w:spacing w:before="60" w:after="60"/>
      <w:jc w:val="center"/>
    </w:pPr>
    <w:rPr>
      <w:rFonts w:ascii="Arial Bold" w:hAnsi="Arial Bold"/>
      <w:b/>
      <w:szCs w:val="20"/>
    </w:rPr>
  </w:style>
  <w:style w:type="paragraph" w:customStyle="1" w:styleId="ExhibitTitle">
    <w:name w:val="Exhibit Title"/>
    <w:basedOn w:val="a6"/>
    <w:link w:val="ExhibitTitleChar"/>
    <w:qFormat/>
    <w:pPr>
      <w:keepNext/>
      <w:tabs>
        <w:tab w:val="left" w:pos="1224"/>
      </w:tabs>
      <w:spacing w:before="120" w:after="120" w:line="240" w:lineRule="atLeast"/>
      <w:ind w:left="1021" w:hanging="1021"/>
    </w:pPr>
    <w:rPr>
      <w:rFonts w:ascii="Arial Bold" w:eastAsia="华文楷体" w:hAnsi="Arial Bold"/>
      <w:bCs w:val="0"/>
      <w:color w:val="FFFFFF"/>
      <w:kern w:val="0"/>
      <w:lang w:val="en-GB" w:eastAsia="en-US"/>
    </w:rPr>
  </w:style>
  <w:style w:type="character" w:customStyle="1" w:styleId="ExhibitTitleChar">
    <w:name w:val="Exhibit Title Char"/>
    <w:basedOn w:val="a0"/>
    <w:link w:val="ExhibitTitle"/>
    <w:qFormat/>
    <w:rPr>
      <w:rFonts w:ascii="Arial Bold" w:eastAsia="华文楷体" w:hAnsi="Arial Bold"/>
      <w:b/>
      <w:color w:val="FFFFFF"/>
      <w:sz w:val="22"/>
      <w:lang w:val="en-GB" w:eastAsia="en-US"/>
    </w:rPr>
  </w:style>
  <w:style w:type="paragraph" w:customStyle="1" w:styleId="TableTextBold">
    <w:name w:val="Table Text  Bold"/>
    <w:basedOn w:val="TableText"/>
    <w:link w:val="TableTextBoldChar"/>
    <w:qFormat/>
    <w:rPr>
      <w:b/>
      <w:bCs/>
    </w:rPr>
  </w:style>
  <w:style w:type="character" w:customStyle="1" w:styleId="TableTextBoldChar">
    <w:name w:val="Table Text  Bold Char"/>
    <w:basedOn w:val="TableTextChar"/>
    <w:link w:val="TableTextBold"/>
    <w:qFormat/>
    <w:rPr>
      <w:rFonts w:ascii="Arial" w:eastAsia="华文楷体" w:hAnsi="Arial" w:cs="Times New Roman"/>
      <w:b/>
      <w:bCs/>
      <w:sz w:val="22"/>
      <w:szCs w:val="18"/>
      <w:lang w:val="en-GB" w:eastAsia="en-US"/>
    </w:rPr>
  </w:style>
  <w:style w:type="paragraph" w:customStyle="1" w:styleId="ListBulletsinglespace">
    <w:name w:val="List Bullet single space"/>
    <w:basedOn w:val="a7"/>
    <w:qFormat/>
    <w:pPr>
      <w:numPr>
        <w:numId w:val="6"/>
      </w:numPr>
      <w:spacing w:after="0" w:line="240" w:lineRule="auto"/>
    </w:pPr>
    <w:rPr>
      <w:rFonts w:ascii="Arial" w:eastAsia="华文楷体" w:hAnsi="Arial"/>
      <w:kern w:val="0"/>
      <w:lang w:val="en-GB" w:eastAsia="en-US"/>
    </w:rPr>
  </w:style>
  <w:style w:type="paragraph" w:customStyle="1" w:styleId="TableTextItalic">
    <w:name w:val="Table Text Italic"/>
    <w:basedOn w:val="TableText"/>
    <w:qFormat/>
    <w:pPr>
      <w:keepNext/>
    </w:pPr>
    <w:rPr>
      <w:i/>
    </w:rPr>
  </w:style>
  <w:style w:type="paragraph" w:customStyle="1" w:styleId="ExhibitNote">
    <w:name w:val="Exhibit Note"/>
    <w:basedOn w:val="TableText"/>
    <w:qFormat/>
    <w:rPr>
      <w:i/>
      <w:sz w:val="20"/>
      <w:lang w:val="en-CA"/>
    </w:rPr>
  </w:style>
  <w:style w:type="paragraph" w:customStyle="1" w:styleId="CNTPReport-Bullet2">
    <w:name w:val="CN TP Report-Bullet 2"/>
    <w:basedOn w:val="a"/>
    <w:qFormat/>
    <w:pPr>
      <w:numPr>
        <w:numId w:val="7"/>
      </w:numPr>
      <w:spacing w:before="120" w:after="120" w:line="280" w:lineRule="exact"/>
      <w:jc w:val="both"/>
    </w:pPr>
    <w:rPr>
      <w:rFonts w:ascii="Verdana" w:hAnsi="Verdana"/>
      <w:iCs/>
      <w:color w:val="222222"/>
      <w:kern w:val="0"/>
      <w:sz w:val="21"/>
      <w:szCs w:val="21"/>
      <w:lang w:eastAsia="en-US"/>
    </w:rPr>
  </w:style>
  <w:style w:type="paragraph" w:customStyle="1" w:styleId="ordinary-output">
    <w:name w:val="ordinary-output"/>
    <w:basedOn w:val="a"/>
    <w:qFormat/>
    <w:pPr>
      <w:spacing w:before="100" w:beforeAutospacing="1" w:after="100" w:afterAutospacing="1" w:line="450" w:lineRule="atLeast"/>
    </w:pPr>
    <w:rPr>
      <w:rFonts w:eastAsia="Times New Roman"/>
      <w:color w:val="333333"/>
      <w:kern w:val="0"/>
      <w:sz w:val="36"/>
      <w:szCs w:val="36"/>
    </w:rPr>
  </w:style>
  <w:style w:type="character" w:customStyle="1" w:styleId="shorttext">
    <w:name w:val="short_text"/>
    <w:basedOn w:val="a0"/>
    <w:qFormat/>
  </w:style>
  <w:style w:type="paragraph" w:customStyle="1" w:styleId="AnnexHeading">
    <w:name w:val="Annex Heading"/>
    <w:basedOn w:val="1"/>
    <w:next w:val="ac"/>
    <w:qFormat/>
    <w:pPr>
      <w:adjustRightInd/>
      <w:snapToGrid/>
      <w:spacing w:before="1620" w:after="1620" w:line="240" w:lineRule="atLeast"/>
      <w:ind w:left="432" w:hanging="432"/>
    </w:pPr>
    <w:rPr>
      <w:rFonts w:ascii="Arial" w:eastAsia="宋体" w:hAnsi="Arial"/>
      <w:b w:val="0"/>
      <w:bCs/>
      <w:kern w:val="32"/>
      <w:sz w:val="56"/>
      <w:szCs w:val="32"/>
      <w:lang w:val="en-GB"/>
    </w:rPr>
  </w:style>
  <w:style w:type="paragraph" w:customStyle="1" w:styleId="tgt">
    <w:name w:val="_tgt"/>
    <w:basedOn w:val="a"/>
    <w:qFormat/>
    <w:pPr>
      <w:spacing w:before="100" w:beforeAutospacing="1" w:after="100" w:afterAutospacing="1"/>
    </w:pPr>
    <w:rPr>
      <w:rFonts w:eastAsia="Times New Roman"/>
      <w:kern w:val="0"/>
      <w:sz w:val="24"/>
      <w:szCs w:val="24"/>
    </w:rPr>
  </w:style>
  <w:style w:type="character" w:customStyle="1" w:styleId="transsent">
    <w:name w:val="transsent"/>
    <w:basedOn w:val="a0"/>
    <w:qFormat/>
  </w:style>
  <w:style w:type="character" w:customStyle="1" w:styleId="HTML0">
    <w:name w:val="HTML 预设格式 字符"/>
    <w:basedOn w:val="a0"/>
    <w:link w:val="HTML"/>
    <w:uiPriority w:val="99"/>
    <w:semiHidden/>
    <w:qFormat/>
    <w:rPr>
      <w:rFonts w:ascii="Courier New" w:hAnsi="Courier New" w:cs="Courier New"/>
      <w:kern w:val="2"/>
    </w:rPr>
  </w:style>
  <w:style w:type="paragraph" w:customStyle="1" w:styleId="TableParagraph">
    <w:name w:val="Table Paragraph"/>
    <w:basedOn w:val="a"/>
    <w:uiPriority w:val="1"/>
    <w:qFormat/>
    <w:pPr>
      <w:widowControl w:val="0"/>
      <w:autoSpaceDE w:val="0"/>
      <w:autoSpaceDN w:val="0"/>
    </w:pPr>
    <w:rPr>
      <w:rFonts w:ascii="Verdana" w:eastAsia="Verdana" w:hAnsi="Verdana" w:cs="Verdana"/>
      <w:kern w:val="0"/>
      <w:lang w:eastAsia="en-US"/>
    </w:rPr>
  </w:style>
  <w:style w:type="paragraph" w:customStyle="1" w:styleId="SPXEN">
    <w:name w:val="SPX EN"/>
    <w:basedOn w:val="a"/>
    <w:link w:val="SPXEN0"/>
    <w:qFormat/>
    <w:pPr>
      <w:spacing w:before="120" w:after="120" w:line="240" w:lineRule="atLeast"/>
      <w:jc w:val="both"/>
    </w:pPr>
    <w:rPr>
      <w:rFonts w:ascii="Verdana" w:eastAsia="Verdana" w:hAnsi="Verdana"/>
      <w:sz w:val="21"/>
    </w:rPr>
  </w:style>
  <w:style w:type="character" w:customStyle="1" w:styleId="SPXEN0">
    <w:name w:val="SPX EN 字符"/>
    <w:basedOn w:val="a0"/>
    <w:link w:val="SPXEN"/>
    <w:qFormat/>
    <w:rPr>
      <w:rFonts w:ascii="Verdana" w:eastAsia="Verdana" w:hAnsi="Verdana"/>
      <w:kern w:val="2"/>
      <w:sz w:val="21"/>
    </w:rPr>
  </w:style>
  <w:style w:type="character" w:customStyle="1" w:styleId="tlid-translation">
    <w:name w:val="tlid-translation"/>
    <w:basedOn w:val="a0"/>
    <w:qFormat/>
  </w:style>
  <w:style w:type="paragraph" w:customStyle="1" w:styleId="ListParagraph1">
    <w:name w:val="List Paragraph1"/>
    <w:basedOn w:val="a"/>
    <w:uiPriority w:val="34"/>
    <w:qFormat/>
    <w:pPr>
      <w:spacing w:before="120" w:after="120"/>
      <w:ind w:left="119" w:right="113" w:firstLineChars="200" w:firstLine="420"/>
      <w:jc w:val="both"/>
    </w:pPr>
    <w:rPr>
      <w:rFonts w:eastAsia="Arial Unicode MS"/>
      <w:kern w:val="0"/>
      <w:sz w:val="24"/>
      <w:szCs w:val="24"/>
    </w:rPr>
  </w:style>
  <w:style w:type="table" w:customStyle="1" w:styleId="4-51">
    <w:name w:val="网格表 4 - 着色 51"/>
    <w:basedOn w:val="a1"/>
    <w:uiPriority w:val="49"/>
    <w:qFormat/>
    <w:tblPr>
      <w:tblBorders>
        <w:top w:val="single" w:sz="4" w:space="0" w:color="AADDF0" w:themeColor="accent5" w:themeTint="99"/>
        <w:left w:val="single" w:sz="4" w:space="0" w:color="AADDF0" w:themeColor="accent5" w:themeTint="99"/>
        <w:bottom w:val="single" w:sz="4" w:space="0" w:color="AADDF0" w:themeColor="accent5" w:themeTint="99"/>
        <w:right w:val="single" w:sz="4" w:space="0" w:color="AADDF0" w:themeColor="accent5" w:themeTint="99"/>
        <w:insideH w:val="single" w:sz="4" w:space="0" w:color="AADDF0" w:themeColor="accent5" w:themeTint="99"/>
        <w:insideV w:val="single" w:sz="4" w:space="0" w:color="AADDF0" w:themeColor="accent5" w:themeTint="99"/>
      </w:tblBorders>
    </w:tblPr>
    <w:tblStylePr w:type="firstRow">
      <w:rPr>
        <w:b/>
        <w:bCs/>
        <w:color w:val="FFFFFF" w:themeColor="background1"/>
      </w:rPr>
      <w:tblPr/>
      <w:tcPr>
        <w:tcBorders>
          <w:top w:val="single" w:sz="4" w:space="0" w:color="72C7E7" w:themeColor="accent5"/>
          <w:left w:val="single" w:sz="4" w:space="0" w:color="72C7E7" w:themeColor="accent5"/>
          <w:bottom w:val="single" w:sz="4" w:space="0" w:color="72C7E7" w:themeColor="accent5"/>
          <w:right w:val="single" w:sz="4" w:space="0" w:color="72C7E7" w:themeColor="accent5"/>
          <w:insideH w:val="nil"/>
          <w:insideV w:val="nil"/>
        </w:tcBorders>
        <w:shd w:val="clear" w:color="auto" w:fill="72C7E7" w:themeFill="accent5"/>
      </w:tcPr>
    </w:tblStylePr>
    <w:tblStylePr w:type="lastRow">
      <w:rPr>
        <w:b/>
        <w:bCs/>
      </w:rPr>
      <w:tblPr/>
      <w:tcPr>
        <w:tcBorders>
          <w:top w:val="double" w:sz="4" w:space="0" w:color="72C7E7" w:themeColor="accent5"/>
        </w:tcBorders>
      </w:tcPr>
    </w:tblStylePr>
    <w:tblStylePr w:type="firstCol">
      <w:rPr>
        <w:b/>
        <w:bCs/>
      </w:rPr>
    </w:tblStylePr>
    <w:tblStylePr w:type="lastCol">
      <w:rPr>
        <w:b/>
        <w:bCs/>
      </w:rPr>
    </w:tblStylePr>
    <w:tblStylePr w:type="band1Vert">
      <w:tblPr/>
      <w:tcPr>
        <w:shd w:val="clear" w:color="auto" w:fill="E2F3FA" w:themeFill="accent5" w:themeFillTint="33"/>
      </w:tcPr>
    </w:tblStylePr>
    <w:tblStylePr w:type="band1Horz">
      <w:tblPr/>
      <w:tcPr>
        <w:shd w:val="clear" w:color="auto" w:fill="E2F3FA" w:themeFill="accent5" w:themeFillTint="33"/>
      </w:tcPr>
    </w:tblStylePr>
  </w:style>
  <w:style w:type="table" w:customStyle="1" w:styleId="TableNormal3">
    <w:name w:val="Table Normal3"/>
    <w:uiPriority w:val="2"/>
    <w:semiHidden/>
    <w:unhideWhenUsed/>
    <w:qFormat/>
    <w:pPr>
      <w:widowControl w:val="0"/>
      <w:autoSpaceDE w:val="0"/>
      <w:autoSpaceDN w:val="0"/>
    </w:pPr>
    <w:rPr>
      <w:rFonts w:asciiTheme="minorHAnsi" w:eastAsiaTheme="minorEastAsia" w:hAnsiTheme="minorHAnsi" w:cstheme="minorBidi"/>
      <w:lang w:eastAsia="en-US"/>
    </w:rPr>
    <w:tblPr>
      <w:tblCellMar>
        <w:top w:w="0" w:type="dxa"/>
        <w:left w:w="0" w:type="dxa"/>
        <w:bottom w:w="0" w:type="dxa"/>
        <w:right w:w="0" w:type="dxa"/>
      </w:tblCellMar>
    </w:tblPr>
  </w:style>
  <w:style w:type="character" w:customStyle="1" w:styleId="afb">
    <w:name w:val="副标题 字符"/>
    <w:basedOn w:val="a0"/>
    <w:link w:val="afa"/>
    <w:uiPriority w:val="11"/>
    <w:qFormat/>
    <w:rPr>
      <w:rFonts w:ascii="楷体" w:eastAsia="楷体" w:hAnsi="楷体" w:cs="Times New Roman"/>
      <w:b/>
      <w:bCs/>
      <w:i/>
      <w:iCs/>
      <w:color w:val="17365D"/>
      <w:kern w:val="0"/>
      <w:sz w:val="24"/>
      <w:szCs w:val="24"/>
    </w:rPr>
  </w:style>
  <w:style w:type="table" w:customStyle="1" w:styleId="TableNormal1">
    <w:name w:val="Table Normal1"/>
    <w:uiPriority w:val="2"/>
    <w:semiHidden/>
    <w:unhideWhenUsed/>
    <w:qFormat/>
    <w:pPr>
      <w:widowControl w:val="0"/>
      <w:autoSpaceDE w:val="0"/>
      <w:autoSpaceDN w:val="0"/>
    </w:pPr>
    <w:rPr>
      <w:rFonts w:asciiTheme="minorHAnsi" w:eastAsiaTheme="minorEastAsia" w:hAnsiTheme="minorHAnsi" w:cstheme="minorBidi"/>
      <w:lang w:eastAsia="en-US"/>
    </w:rPr>
    <w:tblPr>
      <w:tblCellMar>
        <w:top w:w="0" w:type="dxa"/>
        <w:left w:w="0" w:type="dxa"/>
        <w:bottom w:w="0" w:type="dxa"/>
        <w:right w:w="0" w:type="dxa"/>
      </w:tblCellMar>
    </w:tblPr>
  </w:style>
  <w:style w:type="character" w:customStyle="1" w:styleId="12">
    <w:name w:val="未处理的提及1"/>
    <w:basedOn w:val="a0"/>
    <w:uiPriority w:val="99"/>
    <w:semiHidden/>
    <w:unhideWhenUsed/>
    <w:qFormat/>
    <w:rPr>
      <w:color w:val="605E5C"/>
      <w:shd w:val="clear" w:color="auto" w:fill="E1DFDD"/>
    </w:rPr>
  </w:style>
  <w:style w:type="paragraph" w:customStyle="1" w:styleId="TOC20">
    <w:name w:val="TOC 标题2"/>
    <w:basedOn w:val="1"/>
    <w:next w:val="a"/>
    <w:uiPriority w:val="39"/>
    <w:unhideWhenUsed/>
    <w:qFormat/>
    <w:pPr>
      <w:keepLines/>
      <w:numPr>
        <w:numId w:val="0"/>
      </w:numPr>
      <w:adjustRightInd/>
      <w:snapToGrid/>
      <w:spacing w:before="240" w:after="0" w:line="259" w:lineRule="auto"/>
      <w:jc w:val="left"/>
      <w:outlineLvl w:val="9"/>
    </w:pPr>
    <w:rPr>
      <w:rFonts w:asciiTheme="majorHAnsi" w:eastAsiaTheme="majorEastAsia" w:hAnsiTheme="majorHAnsi" w:cstheme="majorBidi"/>
      <w:b w:val="0"/>
      <w:color w:val="001D58" w:themeColor="accent1" w:themeShade="BF"/>
      <w:sz w:val="32"/>
      <w:szCs w:val="32"/>
    </w:rPr>
  </w:style>
  <w:style w:type="paragraph" w:customStyle="1" w:styleId="TOCHeading2">
    <w:name w:val="TOC Heading2"/>
    <w:basedOn w:val="1"/>
    <w:next w:val="a"/>
    <w:uiPriority w:val="39"/>
    <w:unhideWhenUsed/>
    <w:qFormat/>
    <w:pPr>
      <w:spacing w:before="240" w:after="0" w:line="259" w:lineRule="auto"/>
      <w:outlineLvl w:val="9"/>
    </w:pPr>
    <w:rPr>
      <w:rFonts w:asciiTheme="majorHAnsi" w:eastAsiaTheme="majorEastAsia" w:hAnsiTheme="majorHAnsi" w:cstheme="majorBidi"/>
      <w:b w:val="0"/>
      <w:color w:val="001D58" w:themeColor="accent1" w:themeShade="BF"/>
      <w:sz w:val="32"/>
      <w:szCs w:val="32"/>
    </w:rPr>
  </w:style>
  <w:style w:type="paragraph" w:customStyle="1" w:styleId="26">
    <w:name w:val="修订2"/>
    <w:hidden/>
    <w:uiPriority w:val="99"/>
    <w:semiHidden/>
    <w:qFormat/>
    <w:rPr>
      <w:rFonts w:ascii="Arial Narrow" w:eastAsia="仿宋_GB2312" w:hAnsi="Arial Narrow" w:cs="Arial"/>
      <w:kern w:val="2"/>
      <w:sz w:val="22"/>
      <w:szCs w:val="22"/>
    </w:rPr>
  </w:style>
  <w:style w:type="paragraph" w:customStyle="1" w:styleId="35">
    <w:name w:val="修订3"/>
    <w:hidden/>
    <w:uiPriority w:val="99"/>
    <w:semiHidden/>
    <w:qFormat/>
    <w:rPr>
      <w:rFonts w:ascii="Arial Narrow" w:eastAsia="仿宋_GB2312" w:hAnsi="Arial Narrow" w:cs="Arial"/>
      <w:kern w:val="2"/>
      <w:sz w:val="22"/>
      <w:szCs w:val="22"/>
    </w:rPr>
  </w:style>
  <w:style w:type="character" w:customStyle="1" w:styleId="27">
    <w:name w:val="未处理的提及2"/>
    <w:basedOn w:val="a0"/>
    <w:uiPriority w:val="99"/>
    <w:semiHidden/>
    <w:unhideWhenUsed/>
    <w:qFormat/>
    <w:rPr>
      <w:color w:val="605E5C"/>
      <w:shd w:val="clear" w:color="auto" w:fill="E1DFDD"/>
    </w:rPr>
  </w:style>
  <w:style w:type="paragraph" w:customStyle="1" w:styleId="41">
    <w:name w:val="修订4"/>
    <w:hidden/>
    <w:uiPriority w:val="99"/>
    <w:semiHidden/>
    <w:qFormat/>
    <w:rPr>
      <w:rFonts w:ascii="Arial Narrow" w:eastAsia="仿宋_GB2312" w:hAnsi="Arial Narrow" w:cs="Arial"/>
      <w:kern w:val="2"/>
      <w:sz w:val="22"/>
      <w:szCs w:val="22"/>
    </w:rPr>
  </w:style>
  <w:style w:type="paragraph" w:customStyle="1" w:styleId="51">
    <w:name w:val="修订5"/>
    <w:hidden/>
    <w:uiPriority w:val="99"/>
    <w:semiHidden/>
    <w:qFormat/>
    <w:rPr>
      <w:rFonts w:ascii="Arial Narrow" w:eastAsia="仿宋_GB2312" w:hAnsi="Arial Narrow" w:cs="Arial"/>
      <w:kern w:val="2"/>
      <w:sz w:val="22"/>
      <w:szCs w:val="22"/>
    </w:rPr>
  </w:style>
  <w:style w:type="paragraph" w:customStyle="1" w:styleId="61">
    <w:name w:val="修订6"/>
    <w:hidden/>
    <w:uiPriority w:val="99"/>
    <w:semiHidden/>
    <w:qFormat/>
    <w:rPr>
      <w:rFonts w:ascii="Arial Narrow" w:eastAsia="仿宋_GB2312" w:hAnsi="Arial Narrow" w:cs="Arial"/>
      <w:kern w:val="2"/>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7.xml"/><Relationship Id="rId26" Type="http://schemas.openxmlformats.org/officeDocument/2006/relationships/header" Target="header13.xml"/><Relationship Id="rId39" Type="http://schemas.openxmlformats.org/officeDocument/2006/relationships/theme" Target="theme/theme1.xml"/><Relationship Id="rId21" Type="http://schemas.openxmlformats.org/officeDocument/2006/relationships/footer" Target="footer4.xml"/><Relationship Id="rId34" Type="http://schemas.openxmlformats.org/officeDocument/2006/relationships/header" Target="header16.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3.xml"/><Relationship Id="rId25" Type="http://schemas.openxmlformats.org/officeDocument/2006/relationships/footer" Target="footer5.xml"/><Relationship Id="rId33" Type="http://schemas.openxmlformats.org/officeDocument/2006/relationships/header" Target="header15.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header" Target="header9.xml"/><Relationship Id="rId29" Type="http://schemas.openxmlformats.org/officeDocument/2006/relationships/chart" Target="charts/chart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12.xml"/><Relationship Id="rId32" Type="http://schemas.openxmlformats.org/officeDocument/2006/relationships/header" Target="header14.xml"/><Relationship Id="rId37" Type="http://schemas.openxmlformats.org/officeDocument/2006/relationships/chart" Target="charts/chart3.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eader" Target="header11.xml"/><Relationship Id="rId28" Type="http://schemas.openxmlformats.org/officeDocument/2006/relationships/image" Target="media/image3.png"/><Relationship Id="rId36"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header" Target="header8.xml"/><Relationship Id="rId31"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header" Target="header10.xml"/><Relationship Id="rId27" Type="http://schemas.openxmlformats.org/officeDocument/2006/relationships/image" Target="media/image2.png"/><Relationship Id="rId30" Type="http://schemas.openxmlformats.org/officeDocument/2006/relationships/chart" Target="charts/chart2.xml"/><Relationship Id="rId35" Type="http://schemas.openxmlformats.org/officeDocument/2006/relationships/image" Target="media/image5.png"/><Relationship Id="rId8" Type="http://schemas.openxmlformats.org/officeDocument/2006/relationships/image" Target="media/image1.jpeg"/><Relationship Id="rId3"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556256960417299"/>
          <c:y val="6.8669527896995694E-2"/>
          <c:w val="0.86169400466732704"/>
          <c:h val="0.80430175841753704"/>
        </c:manualLayout>
      </c:layout>
      <c:barChart>
        <c:barDir val="col"/>
        <c:grouping val="clustered"/>
        <c:varyColors val="0"/>
        <c:ser>
          <c:idx val="0"/>
          <c:order val="0"/>
          <c:tx>
            <c:strRef>
              <c:f>Sheet1!$B$1</c:f>
              <c:strCache>
                <c:ptCount val="1"/>
                <c:pt idx="0">
                  <c:v>系列 1</c:v>
                </c:pt>
              </c:strCache>
            </c:strRef>
          </c:tx>
          <c:spPr>
            <a:solidFill>
              <a:schemeClr val="accent1"/>
            </a:solidFill>
            <a:ln>
              <a:noFill/>
            </a:ln>
            <a:effectLst/>
          </c:spPr>
          <c:invertIfNegative val="0"/>
          <c:dLbls>
            <c:dLbl>
              <c:idx val="3"/>
              <c:layout>
                <c:manualLayout>
                  <c:x val="-2.2385261543799599E-7"/>
                  <c:y val="1.4306151645207399E-2"/>
                </c:manualLayout>
              </c:layout>
              <c:tx>
                <c:rich>
                  <a:bodyPr rot="0" spcFirstLastPara="1" vertOverflow="ellipsis" vert="horz" wrap="square" lIns="38100" tIns="19050" rIns="38100" bIns="19050" anchor="ctr" anchorCtr="1">
                    <a:noAutofit/>
                  </a:bodyPr>
                  <a:lstStyle/>
                  <a:p>
                    <a:pPr>
                      <a:defRPr lang="zh-CN" sz="900" b="0" i="0" u="none" strike="noStrike" kern="1200" baseline="0">
                        <a:solidFill>
                          <a:schemeClr val="tx1">
                            <a:lumMod val="75000"/>
                            <a:lumOff val="25000"/>
                          </a:schemeClr>
                        </a:solidFill>
                        <a:latin typeface="+mn-lt"/>
                        <a:ea typeface="+mn-ea"/>
                        <a:cs typeface="+mn-cs"/>
                      </a:defRPr>
                    </a:pPr>
                    <a:r>
                      <a:rPr lang="en-US" altLang="zh-CN"/>
                      <a:t>3,711,928</a:t>
                    </a:r>
                  </a:p>
                </c:rich>
              </c:tx>
              <c:spPr>
                <a:noFill/>
                <a:ln>
                  <a:noFill/>
                </a:ln>
                <a:effectLst/>
              </c:spPr>
              <c:txPr>
                <a:bodyPr rot="0" spcFirstLastPara="1" vertOverflow="ellipsis" vert="horz" wrap="square" lIns="38100" tIns="19050" rIns="38100" bIns="19050" anchor="ctr" anchorCtr="1">
                  <a:noAutofit/>
                </a:bodyPr>
                <a:lstStyle/>
                <a:p>
                  <a:pPr>
                    <a:defRPr lang="zh-CN" sz="900" b="0" i="0" u="none" strike="noStrike" kern="1200" baseline="0">
                      <a:solidFill>
                        <a:schemeClr val="tx1">
                          <a:lumMod val="75000"/>
                          <a:lumOff val="25000"/>
                        </a:schemeClr>
                      </a:solidFill>
                      <a:latin typeface="+mn-lt"/>
                      <a:ea typeface="+mn-ea"/>
                      <a:cs typeface="+mn-cs"/>
                    </a:defRPr>
                  </a:pPr>
                  <a:endParaRPr lang="zh-CN"/>
                </a:p>
              </c:txPr>
              <c:dLblPos val="outEnd"/>
              <c:showLegendKey val="0"/>
              <c:showVal val="1"/>
              <c:showCatName val="0"/>
              <c:showSerName val="0"/>
              <c:showPercent val="0"/>
              <c:showBubbleSize val="0"/>
              <c:extLst>
                <c:ext xmlns:c15="http://schemas.microsoft.com/office/drawing/2012/chart" uri="{CE6537A1-D6FC-4f65-9D91-7224C49458BB}">
                  <c15:layout>
                    <c:manualLayout>
                      <c:w val="0.135550817341862"/>
                      <c:h val="8.5751298255100097E-2"/>
                    </c:manualLayout>
                  </c15:layout>
                  <c15:showDataLabelsRange val="0"/>
                </c:ext>
                <c:ext xmlns:c16="http://schemas.microsoft.com/office/drawing/2014/chart" uri="{C3380CC4-5D6E-409C-BE32-E72D297353CC}">
                  <c16:uniqueId val="{00000000-E4DB-41C8-8626-8C9E03C94258}"/>
                </c:ext>
              </c:extLst>
            </c:dLbl>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mn-lt"/>
                    <a:ea typeface="+mn-ea"/>
                    <a:cs typeface="+mn-cs"/>
                  </a:defRPr>
                </a:pPr>
                <a:endParaRPr lang="zh-C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Sheet1!$A$2:$A$6</c:f>
              <c:numCache>
                <c:formatCode>General</c:formatCode>
                <c:ptCount val="5"/>
                <c:pt idx="0">
                  <c:v>2019</c:v>
                </c:pt>
                <c:pt idx="1">
                  <c:v>2020</c:v>
                </c:pt>
                <c:pt idx="2">
                  <c:v>2021</c:v>
                </c:pt>
                <c:pt idx="3">
                  <c:v>2022</c:v>
                </c:pt>
                <c:pt idx="4">
                  <c:v>2023</c:v>
                </c:pt>
              </c:numCache>
            </c:numRef>
          </c:cat>
          <c:val>
            <c:numRef>
              <c:f>Sheet1!$B$2:$B$6</c:f>
              <c:numCache>
                <c:formatCode>_ * #,##0_ ;_ * \-#,##0_ ;_ * "-"??_ ;_ @_ </c:formatCode>
                <c:ptCount val="5"/>
                <c:pt idx="0">
                  <c:v>3435500</c:v>
                </c:pt>
                <c:pt idx="1">
                  <c:v>3426413</c:v>
                </c:pt>
                <c:pt idx="2">
                  <c:v>3913889</c:v>
                </c:pt>
                <c:pt idx="3">
                  <c:v>3711928</c:v>
                </c:pt>
                <c:pt idx="4">
                  <c:v>4033681</c:v>
                </c:pt>
              </c:numCache>
            </c:numRef>
          </c:val>
          <c:extLst>
            <c:ext xmlns:c16="http://schemas.microsoft.com/office/drawing/2014/chart" uri="{C3380CC4-5D6E-409C-BE32-E72D297353CC}">
              <c16:uniqueId val="{00000001-E4DB-41C8-8626-8C9E03C94258}"/>
            </c:ext>
          </c:extLst>
        </c:ser>
        <c:dLbls>
          <c:showLegendKey val="0"/>
          <c:showVal val="0"/>
          <c:showCatName val="0"/>
          <c:showSerName val="0"/>
          <c:showPercent val="0"/>
          <c:showBubbleSize val="0"/>
        </c:dLbls>
        <c:gapWidth val="219"/>
        <c:overlap val="-27"/>
        <c:axId val="1087172224"/>
        <c:axId val="1087172768"/>
      </c:barChart>
      <c:catAx>
        <c:axId val="10871722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1087172768"/>
        <c:crosses val="autoZero"/>
        <c:auto val="1"/>
        <c:lblAlgn val="ctr"/>
        <c:lblOffset val="100"/>
        <c:noMultiLvlLbl val="0"/>
      </c:catAx>
      <c:valAx>
        <c:axId val="1087172768"/>
        <c:scaling>
          <c:orientation val="minMax"/>
          <c:max val="5000000"/>
          <c:min val="2500000"/>
        </c:scaling>
        <c:delete val="0"/>
        <c:axPos val="l"/>
        <c:majorGridlines>
          <c:spPr>
            <a:ln w="9525" cap="flat" cmpd="sng" algn="ctr">
              <a:solidFill>
                <a:schemeClr val="tx1">
                  <a:lumMod val="15000"/>
                  <a:lumOff val="85000"/>
                </a:schemeClr>
              </a:solidFill>
              <a:round/>
            </a:ln>
            <a:effectLst/>
          </c:spPr>
        </c:majorGridlines>
        <c:numFmt formatCode="_ * #,##0_ ;_ * \-#,##0_ ;_ * &quot;-&quot;??_ ;_ @_ "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1087172224"/>
        <c:crosses val="autoZero"/>
        <c:crossBetween val="between"/>
        <c:majorUnit val="500000"/>
      </c:valAx>
      <c:spPr>
        <a:noFill/>
        <a:ln>
          <a:noFill/>
        </a:ln>
        <a:effectLst/>
      </c:spPr>
    </c:plotArea>
    <c:plotVisOnly val="1"/>
    <c:dispBlanksAs val="gap"/>
    <c:showDLblsOverMax val="0"/>
    <c:extLst>
      <c:ext uri="{0b15fc19-7d7d-44ad-8c2d-2c3a37ce22c3}">
        <chartProps xmlns="https://web.wps.cn/et/2018/main" chartId="{6f4d1862-958d-4285-9516-ea1837692452}"/>
      </c:ext>
    </c:extLst>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manualLayout>
          <c:layoutTarget val="inner"/>
          <c:xMode val="edge"/>
          <c:yMode val="edge"/>
          <c:x val="5.7083432752724102E-2"/>
          <c:y val="5.9423414925866601E-3"/>
          <c:w val="0.49185868660738002"/>
          <c:h val="0.92933364991967704"/>
        </c:manualLayout>
      </c:layout>
      <c:pieChart>
        <c:varyColors val="1"/>
        <c:ser>
          <c:idx val="0"/>
          <c:order val="0"/>
          <c:tx>
            <c:strRef>
              <c:f>Sheet1!$B$1</c:f>
              <c:strCache>
                <c:ptCount val="1"/>
                <c:pt idx="0">
                  <c:v>销售份额</c:v>
                </c:pt>
              </c:strCache>
            </c:strRef>
          </c:tx>
          <c:dPt>
            <c:idx val="0"/>
            <c:bubble3D val="0"/>
            <c:spPr>
              <a:solidFill>
                <a:schemeClr val="accent1">
                  <a:shade val="58000"/>
                </a:schemeClr>
              </a:solidFill>
              <a:ln w="19050">
                <a:solidFill>
                  <a:schemeClr val="lt1"/>
                </a:solidFill>
              </a:ln>
              <a:effectLst/>
            </c:spPr>
            <c:extLst>
              <c:ext xmlns:c16="http://schemas.microsoft.com/office/drawing/2014/chart" uri="{C3380CC4-5D6E-409C-BE32-E72D297353CC}">
                <c16:uniqueId val="{00000001-92D2-403E-8CFF-601102C220B4}"/>
              </c:ext>
            </c:extLst>
          </c:dPt>
          <c:dPt>
            <c:idx val="1"/>
            <c:bubble3D val="0"/>
            <c:spPr>
              <a:solidFill>
                <a:schemeClr val="accent1">
                  <a:shade val="86000"/>
                </a:schemeClr>
              </a:solidFill>
              <a:ln w="19050">
                <a:solidFill>
                  <a:schemeClr val="lt1"/>
                </a:solidFill>
              </a:ln>
              <a:effectLst/>
            </c:spPr>
            <c:extLst>
              <c:ext xmlns:c16="http://schemas.microsoft.com/office/drawing/2014/chart" uri="{C3380CC4-5D6E-409C-BE32-E72D297353CC}">
                <c16:uniqueId val="{00000003-92D2-403E-8CFF-601102C220B4}"/>
              </c:ext>
            </c:extLst>
          </c:dPt>
          <c:dPt>
            <c:idx val="2"/>
            <c:bubble3D val="0"/>
            <c:spPr>
              <a:solidFill>
                <a:schemeClr val="accent1">
                  <a:tint val="86000"/>
                </a:schemeClr>
              </a:solidFill>
              <a:ln w="19050">
                <a:solidFill>
                  <a:schemeClr val="lt1"/>
                </a:solidFill>
              </a:ln>
              <a:effectLst/>
            </c:spPr>
            <c:extLst>
              <c:ext xmlns:c16="http://schemas.microsoft.com/office/drawing/2014/chart" uri="{C3380CC4-5D6E-409C-BE32-E72D297353CC}">
                <c16:uniqueId val="{00000005-92D2-403E-8CFF-601102C220B4}"/>
              </c:ext>
            </c:extLst>
          </c:dPt>
          <c:dPt>
            <c:idx val="3"/>
            <c:bubble3D val="0"/>
            <c:spPr>
              <a:solidFill>
                <a:schemeClr val="accent1">
                  <a:tint val="58000"/>
                </a:schemeClr>
              </a:solidFill>
              <a:ln w="19050">
                <a:solidFill>
                  <a:schemeClr val="lt1"/>
                </a:solidFill>
              </a:ln>
              <a:effectLst/>
            </c:spPr>
            <c:extLst>
              <c:ext xmlns:c16="http://schemas.microsoft.com/office/drawing/2014/chart" uri="{C3380CC4-5D6E-409C-BE32-E72D297353CC}">
                <c16:uniqueId val="{00000007-92D2-403E-8CFF-601102C220B4}"/>
              </c:ext>
            </c:extLst>
          </c:dPt>
          <c:dLbls>
            <c:dLbl>
              <c:idx val="0"/>
              <c:layout>
                <c:manualLayout>
                  <c:x val="-0.15409421689700001"/>
                  <c:y val="0.142019141710404"/>
                </c:manualLayout>
              </c:layout>
              <c:spPr>
                <a:noFill/>
                <a:ln>
                  <a:noFill/>
                </a:ln>
                <a:effectLst/>
              </c:spPr>
              <c:txPr>
                <a:bodyPr rot="0" spcFirstLastPara="1" vertOverflow="ellipsis" vert="horz" wrap="square" lIns="38100" tIns="19050" rIns="38100" bIns="19050" anchor="ctr" anchorCtr="1"/>
                <a:lstStyle/>
                <a:p>
                  <a:pPr>
                    <a:defRPr lang="zh-CN" sz="900" b="1" i="0" u="none" strike="noStrike" kern="1200" baseline="0">
                      <a:solidFill>
                        <a:schemeClr val="bg1"/>
                      </a:solidFill>
                      <a:latin typeface="仿宋_GB2312" pitchFamily="3" charset="-122"/>
                      <a:ea typeface="仿宋_GB2312" pitchFamily="3" charset="-122"/>
                      <a:cs typeface="+mn-cs"/>
                    </a:defRPr>
                  </a:pPr>
                  <a:endParaRPr lang="zh-CN"/>
                </a:p>
              </c:txPr>
              <c:dLblPos val="bestFit"/>
              <c:showLegendKey val="0"/>
              <c:showVal val="1"/>
              <c:showCatName val="1"/>
              <c:showSerName val="0"/>
              <c:showPercent val="0"/>
              <c:showBubbleSize val="0"/>
              <c:extLst>
                <c:ext xmlns:c15="http://schemas.microsoft.com/office/drawing/2012/chart" uri="{CE6537A1-D6FC-4f65-9D91-7224C49458BB}">
                  <c15:layout>
                    <c:manualLayout>
                      <c:w val="0.16750000000000001"/>
                      <c:h val="0.37033010577290099"/>
                    </c:manualLayout>
                  </c15:layout>
                </c:ext>
                <c:ext xmlns:c16="http://schemas.microsoft.com/office/drawing/2014/chart" uri="{C3380CC4-5D6E-409C-BE32-E72D297353CC}">
                  <c16:uniqueId val="{00000001-92D2-403E-8CFF-601102C220B4}"/>
                </c:ext>
              </c:extLst>
            </c:dLbl>
            <c:dLbl>
              <c:idx val="1"/>
              <c:layout>
                <c:manualLayout>
                  <c:x val="1.72408857589487E-2"/>
                  <c:y val="-9.5246661626389104E-2"/>
                </c:manualLayout>
              </c:layout>
              <c:spPr>
                <a:noFill/>
                <a:ln>
                  <a:noFill/>
                </a:ln>
                <a:effectLst/>
              </c:spPr>
              <c:txPr>
                <a:bodyPr rot="0" spcFirstLastPara="1" vertOverflow="ellipsis" vert="horz" wrap="square" lIns="38100" tIns="19050" rIns="38100" bIns="19050" anchor="ctr" anchorCtr="1"/>
                <a:lstStyle/>
                <a:p>
                  <a:pPr>
                    <a:defRPr lang="zh-CN" sz="900" b="1" i="0" u="none" strike="noStrike" kern="1200" baseline="0">
                      <a:solidFill>
                        <a:sysClr val="windowText" lastClr="000000"/>
                      </a:solidFill>
                      <a:latin typeface="仿宋_GB2312" pitchFamily="3" charset="-122"/>
                      <a:ea typeface="仿宋_GB2312" pitchFamily="3" charset="-122"/>
                      <a:cs typeface="+mn-cs"/>
                    </a:defRPr>
                  </a:pPr>
                  <a:endParaRPr lang="zh-CN"/>
                </a:p>
              </c:txPr>
              <c:dLblPos val="bestFit"/>
              <c:showLegendKey val="0"/>
              <c:showVal val="1"/>
              <c:showCatName val="1"/>
              <c:showSerName val="0"/>
              <c:showPercent val="0"/>
              <c:showBubbleSize val="0"/>
              <c:extLst>
                <c:ext xmlns:c15="http://schemas.microsoft.com/office/drawing/2012/chart" uri="{CE6537A1-D6FC-4f65-9D91-7224C49458BB}">
                  <c15:layout>
                    <c:manualLayout>
                      <c:w val="0.157323232323232"/>
                      <c:h val="0.40120383223168399"/>
                    </c:manualLayout>
                  </c15:layout>
                </c:ext>
                <c:ext xmlns:c16="http://schemas.microsoft.com/office/drawing/2014/chart" uri="{C3380CC4-5D6E-409C-BE32-E72D297353CC}">
                  <c16:uniqueId val="{00000003-92D2-403E-8CFF-601102C220B4}"/>
                </c:ext>
              </c:extLst>
            </c:dLbl>
            <c:dLbl>
              <c:idx val="2"/>
              <c:layout>
                <c:manualLayout>
                  <c:x val="5.0924965316723997E-2"/>
                  <c:y val="-9.2621422476559107E-2"/>
                </c:manualLayout>
              </c:layout>
              <c:tx>
                <c:rich>
                  <a:bodyPr rot="0" spcFirstLastPara="1" vertOverflow="ellipsis" vert="horz" wrap="square" lIns="38100" tIns="19050" rIns="38100" bIns="19050" anchor="ctr" anchorCtr="1"/>
                  <a:lstStyle/>
                  <a:p>
                    <a:pPr defTabSz="914400">
                      <a:defRPr lang="zh-CN" sz="900" b="1" i="0" u="none" strike="noStrike" kern="1200" baseline="0">
                        <a:solidFill>
                          <a:schemeClr val="bg1"/>
                        </a:solidFill>
                        <a:latin typeface="仿宋_GB2312" pitchFamily="3" charset="-122"/>
                        <a:ea typeface="仿宋_GB2312" pitchFamily="3" charset="-122"/>
                        <a:cs typeface="+mn-cs"/>
                      </a:defRPr>
                    </a:pPr>
                    <a:r>
                      <a:rPr lang="zh-CN" altLang="en-US" sz="900">
                        <a:latin typeface="仿宋_GB2312" pitchFamily="3" charset="-122"/>
                        <a:ea typeface="仿宋_GB2312" pitchFamily="3" charset="-122"/>
                      </a:rPr>
                      <a:t>牵引车</a:t>
                    </a:r>
                    <a:r>
                      <a:rPr lang="en-US" altLang="zh-CN" sz="900">
                        <a:latin typeface="仿宋_GB2312" pitchFamily="3" charset="-122"/>
                        <a:ea typeface="仿宋_GB2312" pitchFamily="3" charset="-122"/>
                      </a:rPr>
                      <a:t>, 31.9%</a:t>
                    </a:r>
                  </a:p>
                </c:rich>
              </c:tx>
              <c:spPr>
                <a:noFill/>
                <a:ln>
                  <a:noFill/>
                </a:ln>
                <a:effectLst/>
              </c:spPr>
              <c:dLblPos val="bestFit"/>
              <c:showLegendKey val="0"/>
              <c:showVal val="1"/>
              <c:showCatName val="1"/>
              <c:showSerName val="0"/>
              <c:showPercent val="0"/>
              <c:showBubbleSize val="0"/>
              <c:extLst>
                <c:ext xmlns:c15="http://schemas.microsoft.com/office/drawing/2012/chart" uri="{CE6537A1-D6FC-4f65-9D91-7224C49458BB}">
                  <c15:layout>
                    <c:manualLayout>
                      <c:w val="0.147222222222222"/>
                      <c:h val="0.364155360481144"/>
                    </c:manualLayout>
                  </c15:layout>
                  <c15:showDataLabelsRange val="0"/>
                </c:ext>
                <c:ext xmlns:c16="http://schemas.microsoft.com/office/drawing/2014/chart" uri="{C3380CC4-5D6E-409C-BE32-E72D297353CC}">
                  <c16:uniqueId val="{00000005-92D2-403E-8CFF-601102C220B4}"/>
                </c:ext>
              </c:extLst>
            </c:dLbl>
            <c:dLbl>
              <c:idx val="3"/>
              <c:layout>
                <c:manualLayout>
                  <c:x val="0.14321045054113399"/>
                  <c:y val="0.114078662365414"/>
                </c:manualLayout>
              </c:layout>
              <c:tx>
                <c:rich>
                  <a:bodyPr rot="0" spcFirstLastPara="1" vertOverflow="ellipsis" vert="horz" wrap="square" lIns="38100" tIns="0" rIns="38100" bIns="19050" anchor="ctr" anchorCtr="1"/>
                  <a:lstStyle/>
                  <a:p>
                    <a:fld id="{5C817BD6-3D76-4016-A3F7-0F7B229C2DF6}" type="CATEGORYNAME">
                      <a:rPr lang="zh-CN" altLang="en-US" sz="1050"/>
                      <a:pPr/>
                      <a:t>[类别名称]</a:t>
                    </a:fld>
                    <a:r>
                      <a:rPr lang="en-US" altLang="zh-CN" sz="1050"/>
                      <a:t>,</a:t>
                    </a:r>
                    <a:fld id="{7C9FE64E-644E-4640-AA4C-8364E3E2D4D3}" type="VALUE">
                      <a:rPr lang="en-US" altLang="zh-CN" sz="1050"/>
                      <a:pPr/>
                      <a:t>[值]</a:t>
                    </a:fld>
                    <a:endParaRPr lang="en-US" altLang="zh-CN" sz="1050"/>
                  </a:p>
                </c:rich>
              </c:tx>
              <c:spPr>
                <a:noFill/>
                <a:ln>
                  <a:noFill/>
                </a:ln>
                <a:effectLst/>
              </c:spPr>
              <c:dLblPos val="bestFit"/>
              <c:showLegendKey val="0"/>
              <c:showVal val="1"/>
              <c:showCatName val="1"/>
              <c:showSerName val="0"/>
              <c:showPercent val="0"/>
              <c:showBubbleSize val="0"/>
              <c:extLst>
                <c:ext xmlns:c15="http://schemas.microsoft.com/office/drawing/2012/chart" uri="{CE6537A1-D6FC-4f65-9D91-7224C49458BB}">
                  <c15:layout>
                    <c:manualLayout>
                      <c:w val="0.14462121212121201"/>
                      <c:h val="0.40120383223168399"/>
                    </c:manualLayout>
                  </c15:layout>
                  <c15:dlblFieldTable/>
                  <c15:showDataLabelsRange val="0"/>
                </c:ext>
                <c:ext xmlns:c16="http://schemas.microsoft.com/office/drawing/2014/chart" uri="{C3380CC4-5D6E-409C-BE32-E72D297353CC}">
                  <c16:uniqueId val="{00000007-92D2-403E-8CFF-601102C220B4}"/>
                </c:ext>
              </c:extLst>
            </c:dLbl>
            <c:spPr>
              <a:noFill/>
              <a:ln>
                <a:noFill/>
              </a:ln>
              <a:effectLst/>
            </c:spPr>
            <c:txPr>
              <a:bodyPr rot="0" spcFirstLastPara="1" vertOverflow="ellipsis" vert="horz" wrap="square" lIns="38100" tIns="19050" rIns="38100" bIns="19050" anchor="ctr" anchorCtr="1">
                <a:spAutoFit/>
              </a:bodyPr>
              <a:lstStyle/>
              <a:p>
                <a:pPr>
                  <a:defRPr lang="zh-CN" sz="900" b="1" i="0" u="none" strike="noStrike" kern="1200" baseline="0">
                    <a:solidFill>
                      <a:schemeClr val="tx1">
                        <a:lumMod val="75000"/>
                        <a:lumOff val="25000"/>
                      </a:schemeClr>
                    </a:solidFill>
                    <a:latin typeface="仿宋_GB2312" pitchFamily="3" charset="-122"/>
                    <a:ea typeface="仿宋_GB2312" pitchFamily="3" charset="-122"/>
                    <a:cs typeface="+mn-cs"/>
                  </a:defRPr>
                </a:pPr>
                <a:endParaRPr lang="zh-CN"/>
              </a:p>
            </c:txPr>
            <c:dLblPos val="bestFit"/>
            <c:showLegendKey val="0"/>
            <c:showVal val="1"/>
            <c:showCatName val="1"/>
            <c:showSerName val="0"/>
            <c:showPercent val="0"/>
            <c:showBubbleSize val="0"/>
            <c:showLeaderLines val="1"/>
            <c:leaderLines>
              <c:spPr>
                <a:ln w="9525" cap="flat" cmpd="sng" algn="ctr">
                  <a:solidFill>
                    <a:schemeClr val="tx1">
                      <a:lumMod val="35000"/>
                      <a:lumOff val="65000"/>
                    </a:schemeClr>
                  </a:solidFill>
                  <a:prstDash val="solid"/>
                  <a:round/>
                </a:ln>
                <a:effectLst/>
              </c:spPr>
            </c:leaderLines>
            <c:extLst>
              <c:ext xmlns:c15="http://schemas.microsoft.com/office/drawing/2012/chart" uri="{CE6537A1-D6FC-4f65-9D91-7224C49458BB}"/>
            </c:extLst>
          </c:dLbls>
          <c:cat>
            <c:strRef>
              <c:f>Sheet1!$A$2:$A$5</c:f>
              <c:strCache>
                <c:ptCount val="4"/>
                <c:pt idx="0">
                  <c:v>普通货车</c:v>
                </c:pt>
                <c:pt idx="1">
                  <c:v>专用货车</c:v>
                </c:pt>
                <c:pt idx="2">
                  <c:v>牵引车</c:v>
                </c:pt>
                <c:pt idx="3">
                  <c:v>挂车</c:v>
                </c:pt>
              </c:strCache>
            </c:strRef>
          </c:cat>
          <c:val>
            <c:numRef>
              <c:f>Sheet1!$B$2:$B$5</c:f>
              <c:numCache>
                <c:formatCode>0.0%</c:formatCode>
                <c:ptCount val="4"/>
                <c:pt idx="0">
                  <c:v>0.30599999999999999</c:v>
                </c:pt>
                <c:pt idx="1">
                  <c:v>5.8999999999999997E-2</c:v>
                </c:pt>
                <c:pt idx="2">
                  <c:v>0.316</c:v>
                </c:pt>
                <c:pt idx="3">
                  <c:v>0.31900000000000001</c:v>
                </c:pt>
              </c:numCache>
            </c:numRef>
          </c:val>
          <c:extLst>
            <c:ext xmlns:c16="http://schemas.microsoft.com/office/drawing/2014/chart" uri="{C3380CC4-5D6E-409C-BE32-E72D297353CC}">
              <c16:uniqueId val="{00000008-92D2-403E-8CFF-601102C220B4}"/>
            </c:ext>
          </c:extLst>
        </c:ser>
        <c:dLbls>
          <c:showLegendKey val="0"/>
          <c:showVal val="0"/>
          <c:showCatName val="0"/>
          <c:showSerName val="0"/>
          <c:showPercent val="0"/>
          <c:showBubbleSize val="0"/>
          <c:showLeaderLines val="1"/>
        </c:dLbls>
        <c:firstSliceAng val="0"/>
      </c:pieChart>
      <c:spPr>
        <a:noFill/>
        <a:ln>
          <a:noFill/>
        </a:ln>
        <a:effectLst/>
      </c:spPr>
    </c:plotArea>
    <c:plotVisOnly val="1"/>
    <c:dispBlanksAs val="gap"/>
    <c:showDLblsOverMax val="0"/>
    <c:extLst>
      <c:ext uri="{0b15fc19-7d7d-44ad-8c2d-2c3a37ce22c3}">
        <chartProps xmlns="https://web.wps.cn/et/2018/main" chartId="{7753e46b-e0fb-458f-be9c-d6497c60db13}"/>
      </c:ext>
    </c:extLst>
  </c:chart>
  <c:spPr>
    <a:noFill/>
    <a:ln w="9525" cap="flat" cmpd="sng" algn="ctr">
      <a:noFill/>
      <a:prstDash val="solid"/>
      <a:round/>
    </a:ln>
    <a:effectLst/>
  </c:spPr>
  <c:txPr>
    <a:bodyPr/>
    <a:lstStyle/>
    <a:p>
      <a:pPr>
        <a:defRPr lang="zh-CN" b="1">
          <a:latin typeface="Arial Narrow" panose="020B0606020202030204" pitchFamily="2" charset="0"/>
          <a:ea typeface="仿宋_GB2312" pitchFamily="3" charset="-122"/>
        </a:defRPr>
      </a:pPr>
      <a:endParaRPr lang="zh-CN"/>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1396706657504"/>
          <c:y val="5.6323604710701497E-2"/>
          <c:w val="0.72249618364659796"/>
          <c:h val="0.66054565759925199"/>
        </c:manualLayout>
      </c:layout>
      <c:barChart>
        <c:barDir val="col"/>
        <c:grouping val="clustered"/>
        <c:varyColors val="0"/>
        <c:ser>
          <c:idx val="0"/>
          <c:order val="0"/>
          <c:tx>
            <c:strRef>
              <c:f>Sheet1!$B$1</c:f>
              <c:strCache>
                <c:ptCount val="1"/>
                <c:pt idx="0">
                  <c:v>城镇私营单位就业人员年平均工资</c:v>
                </c:pt>
              </c:strCache>
            </c:strRef>
          </c:tx>
          <c:spPr>
            <a:solidFill>
              <a:schemeClr val="accent1"/>
            </a:solidFill>
            <a:ln>
              <a:noFill/>
            </a:ln>
            <a:effectLst/>
          </c:spPr>
          <c:invertIfNegative val="0"/>
          <c:cat>
            <c:strRef>
              <c:f>Sheet1!$A$3:$A$9</c:f>
              <c:strCache>
                <c:ptCount val="7"/>
                <c:pt idx="0">
                  <c:v>FY2017</c:v>
                </c:pt>
                <c:pt idx="1">
                  <c:v>FY2018</c:v>
                </c:pt>
                <c:pt idx="2">
                  <c:v>FY2019</c:v>
                </c:pt>
                <c:pt idx="3">
                  <c:v>FY2020</c:v>
                </c:pt>
                <c:pt idx="4">
                  <c:v>FY2021</c:v>
                </c:pt>
                <c:pt idx="5">
                  <c:v>FY2022</c:v>
                </c:pt>
                <c:pt idx="6">
                  <c:v>FY2023</c:v>
                </c:pt>
              </c:strCache>
            </c:strRef>
          </c:cat>
          <c:val>
            <c:numRef>
              <c:f>Sheet1!$B$3:$B$9</c:f>
              <c:numCache>
                <c:formatCode>General</c:formatCode>
                <c:ptCount val="7"/>
                <c:pt idx="0">
                  <c:v>45761</c:v>
                </c:pt>
                <c:pt idx="1">
                  <c:v>49575</c:v>
                </c:pt>
                <c:pt idx="2">
                  <c:v>53604</c:v>
                </c:pt>
                <c:pt idx="3">
                  <c:v>57727</c:v>
                </c:pt>
                <c:pt idx="4">
                  <c:v>62884</c:v>
                </c:pt>
                <c:pt idx="5">
                  <c:v>65237</c:v>
                </c:pt>
                <c:pt idx="6">
                  <c:v>68340</c:v>
                </c:pt>
              </c:numCache>
            </c:numRef>
          </c:val>
          <c:extLst>
            <c:ext xmlns:c16="http://schemas.microsoft.com/office/drawing/2014/chart" uri="{C3380CC4-5D6E-409C-BE32-E72D297353CC}">
              <c16:uniqueId val="{00000000-5C76-4E9A-98FA-6D43BD6576D4}"/>
            </c:ext>
          </c:extLst>
        </c:ser>
        <c:ser>
          <c:idx val="1"/>
          <c:order val="1"/>
          <c:tx>
            <c:strRef>
              <c:f>Sheet1!$C$1</c:f>
              <c:strCache>
                <c:ptCount val="1"/>
                <c:pt idx="0">
                  <c:v>城镇非私营单位就业人员年平均工资</c:v>
                </c:pt>
              </c:strCache>
            </c:strRef>
          </c:tx>
          <c:spPr>
            <a:solidFill>
              <a:schemeClr val="accent3"/>
            </a:solidFill>
            <a:ln>
              <a:noFill/>
            </a:ln>
            <a:effectLst/>
          </c:spPr>
          <c:invertIfNegative val="0"/>
          <c:cat>
            <c:strRef>
              <c:f>Sheet1!$A$3:$A$9</c:f>
              <c:strCache>
                <c:ptCount val="7"/>
                <c:pt idx="0">
                  <c:v>FY2017</c:v>
                </c:pt>
                <c:pt idx="1">
                  <c:v>FY2018</c:v>
                </c:pt>
                <c:pt idx="2">
                  <c:v>FY2019</c:v>
                </c:pt>
                <c:pt idx="3">
                  <c:v>FY2020</c:v>
                </c:pt>
                <c:pt idx="4">
                  <c:v>FY2021</c:v>
                </c:pt>
                <c:pt idx="5">
                  <c:v>FY2022</c:v>
                </c:pt>
                <c:pt idx="6">
                  <c:v>FY2023</c:v>
                </c:pt>
              </c:strCache>
            </c:strRef>
          </c:cat>
          <c:val>
            <c:numRef>
              <c:f>Sheet1!$C$3:$C$9</c:f>
              <c:numCache>
                <c:formatCode>General</c:formatCode>
                <c:ptCount val="7"/>
                <c:pt idx="0">
                  <c:v>74318</c:v>
                </c:pt>
                <c:pt idx="1">
                  <c:v>82461</c:v>
                </c:pt>
                <c:pt idx="2">
                  <c:v>90501</c:v>
                </c:pt>
                <c:pt idx="3">
                  <c:v>97379</c:v>
                </c:pt>
                <c:pt idx="4">
                  <c:v>106837</c:v>
                </c:pt>
                <c:pt idx="5">
                  <c:v>114029</c:v>
                </c:pt>
                <c:pt idx="6">
                  <c:v>120698</c:v>
                </c:pt>
              </c:numCache>
            </c:numRef>
          </c:val>
          <c:extLst>
            <c:ext xmlns:c16="http://schemas.microsoft.com/office/drawing/2014/chart" uri="{C3380CC4-5D6E-409C-BE32-E72D297353CC}">
              <c16:uniqueId val="{00000001-5C76-4E9A-98FA-6D43BD6576D4}"/>
            </c:ext>
          </c:extLst>
        </c:ser>
        <c:dLbls>
          <c:showLegendKey val="0"/>
          <c:showVal val="0"/>
          <c:showCatName val="0"/>
          <c:showSerName val="0"/>
          <c:showPercent val="0"/>
          <c:showBubbleSize val="0"/>
        </c:dLbls>
        <c:gapWidth val="219"/>
        <c:axId val="-390489120"/>
        <c:axId val="-390494016"/>
      </c:barChart>
      <c:lineChart>
        <c:grouping val="standard"/>
        <c:varyColors val="0"/>
        <c:ser>
          <c:idx val="2"/>
          <c:order val="2"/>
          <c:tx>
            <c:strRef>
              <c:f>Sheet1!$D$1</c:f>
              <c:strCache>
                <c:ptCount val="1"/>
                <c:pt idx="0">
                  <c:v>私营单位实际增长率</c:v>
                </c:pt>
              </c:strCache>
            </c:strRef>
          </c:tx>
          <c:spPr>
            <a:ln w="28575" cap="rnd">
              <a:solidFill>
                <a:schemeClr val="accent5"/>
              </a:solidFill>
              <a:round/>
            </a:ln>
            <a:effectLst/>
          </c:spPr>
          <c:marker>
            <c:symbol val="none"/>
          </c:marker>
          <c:cat>
            <c:strRef>
              <c:f>Sheet1!$A$3:$A$9</c:f>
              <c:strCache>
                <c:ptCount val="7"/>
                <c:pt idx="0">
                  <c:v>FY2017</c:v>
                </c:pt>
                <c:pt idx="1">
                  <c:v>FY2018</c:v>
                </c:pt>
                <c:pt idx="2">
                  <c:v>FY2019</c:v>
                </c:pt>
                <c:pt idx="3">
                  <c:v>FY2020</c:v>
                </c:pt>
                <c:pt idx="4">
                  <c:v>FY2021</c:v>
                </c:pt>
                <c:pt idx="5">
                  <c:v>FY2022</c:v>
                </c:pt>
                <c:pt idx="6">
                  <c:v>FY2023</c:v>
                </c:pt>
              </c:strCache>
            </c:strRef>
          </c:cat>
          <c:val>
            <c:numRef>
              <c:f>Sheet1!$D$3:$D$9</c:f>
              <c:numCache>
                <c:formatCode>0.00%</c:formatCode>
                <c:ptCount val="7"/>
                <c:pt idx="0" formatCode="0%">
                  <c:v>0.05</c:v>
                </c:pt>
                <c:pt idx="1">
                  <c:v>6.0999999999999999E-2</c:v>
                </c:pt>
                <c:pt idx="2">
                  <c:v>5.1999999999999998E-2</c:v>
                </c:pt>
                <c:pt idx="3">
                  <c:v>5.2999999999999999E-2</c:v>
                </c:pt>
                <c:pt idx="4">
                  <c:v>7.8E-2</c:v>
                </c:pt>
                <c:pt idx="5">
                  <c:v>1.7000000000000001E-2</c:v>
                </c:pt>
                <c:pt idx="6">
                  <c:v>4.4999999999999998E-2</c:v>
                </c:pt>
              </c:numCache>
            </c:numRef>
          </c:val>
          <c:smooth val="0"/>
          <c:extLst>
            <c:ext xmlns:c16="http://schemas.microsoft.com/office/drawing/2014/chart" uri="{C3380CC4-5D6E-409C-BE32-E72D297353CC}">
              <c16:uniqueId val="{00000002-5C76-4E9A-98FA-6D43BD6576D4}"/>
            </c:ext>
          </c:extLst>
        </c:ser>
        <c:ser>
          <c:idx val="3"/>
          <c:order val="3"/>
          <c:tx>
            <c:strRef>
              <c:f>Sheet1!$E$1</c:f>
              <c:strCache>
                <c:ptCount val="1"/>
                <c:pt idx="0">
                  <c:v>非私营单位实际增长率</c:v>
                </c:pt>
              </c:strCache>
            </c:strRef>
          </c:tx>
          <c:spPr>
            <a:ln w="28575" cap="rnd">
              <a:solidFill>
                <a:schemeClr val="accent1">
                  <a:lumMod val="60000"/>
                </a:schemeClr>
              </a:solidFill>
              <a:round/>
            </a:ln>
            <a:effectLst/>
          </c:spPr>
          <c:marker>
            <c:symbol val="none"/>
          </c:marker>
          <c:cat>
            <c:strRef>
              <c:f>Sheet1!$A$3:$A$9</c:f>
              <c:strCache>
                <c:ptCount val="7"/>
                <c:pt idx="0">
                  <c:v>FY2017</c:v>
                </c:pt>
                <c:pt idx="1">
                  <c:v>FY2018</c:v>
                </c:pt>
                <c:pt idx="2">
                  <c:v>FY2019</c:v>
                </c:pt>
                <c:pt idx="3">
                  <c:v>FY2020</c:v>
                </c:pt>
                <c:pt idx="4">
                  <c:v>FY2021</c:v>
                </c:pt>
                <c:pt idx="5">
                  <c:v>FY2022</c:v>
                </c:pt>
                <c:pt idx="6">
                  <c:v>FY2023</c:v>
                </c:pt>
              </c:strCache>
            </c:strRef>
          </c:cat>
          <c:val>
            <c:numRef>
              <c:f>Sheet1!$E$3:$E$9</c:f>
              <c:numCache>
                <c:formatCode>0.00%</c:formatCode>
                <c:ptCount val="7"/>
                <c:pt idx="0">
                  <c:v>8.2000000000000003E-2</c:v>
                </c:pt>
                <c:pt idx="1">
                  <c:v>8.3000000000000004E-2</c:v>
                </c:pt>
                <c:pt idx="2">
                  <c:v>6.8000000000000005E-2</c:v>
                </c:pt>
                <c:pt idx="3">
                  <c:v>5.1999999999999998E-2</c:v>
                </c:pt>
                <c:pt idx="4">
                  <c:v>8.5999999999999993E-2</c:v>
                </c:pt>
                <c:pt idx="5">
                  <c:v>4.5999999999999999E-2</c:v>
                </c:pt>
                <c:pt idx="6">
                  <c:v>5.5E-2</c:v>
                </c:pt>
              </c:numCache>
            </c:numRef>
          </c:val>
          <c:smooth val="0"/>
          <c:extLst>
            <c:ext xmlns:c16="http://schemas.microsoft.com/office/drawing/2014/chart" uri="{C3380CC4-5D6E-409C-BE32-E72D297353CC}">
              <c16:uniqueId val="{00000003-5C76-4E9A-98FA-6D43BD6576D4}"/>
            </c:ext>
          </c:extLst>
        </c:ser>
        <c:dLbls>
          <c:showLegendKey val="0"/>
          <c:showVal val="0"/>
          <c:showCatName val="0"/>
          <c:showSerName val="0"/>
          <c:showPercent val="0"/>
          <c:showBubbleSize val="0"/>
        </c:dLbls>
        <c:marker val="1"/>
        <c:smooth val="0"/>
        <c:axId val="-390493472"/>
        <c:axId val="-390495648"/>
      </c:lineChart>
      <c:catAx>
        <c:axId val="-3904891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Arial Narrow" panose="020B0606020202030204" pitchFamily="2" charset="0"/>
                <a:ea typeface="仿宋_GB2312" pitchFamily="3" charset="-122"/>
                <a:cs typeface="Verdana" panose="020B0604030504040204" pitchFamily="2" charset="0"/>
              </a:defRPr>
            </a:pPr>
            <a:endParaRPr lang="zh-CN"/>
          </a:p>
        </c:txPr>
        <c:crossAx val="-390494016"/>
        <c:crosses val="autoZero"/>
        <c:auto val="1"/>
        <c:lblAlgn val="ctr"/>
        <c:lblOffset val="100"/>
        <c:noMultiLvlLbl val="0"/>
      </c:catAx>
      <c:valAx>
        <c:axId val="-39049401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Arial Narrow" panose="020B0606020202030204" pitchFamily="2" charset="0"/>
                <a:ea typeface="仿宋_GB2312" pitchFamily="3" charset="-122"/>
                <a:cs typeface="Verdana" panose="020B0604030504040204" pitchFamily="2" charset="0"/>
              </a:defRPr>
            </a:pPr>
            <a:endParaRPr lang="zh-CN"/>
          </a:p>
        </c:txPr>
        <c:crossAx val="-390489120"/>
        <c:crosses val="autoZero"/>
        <c:crossBetween val="between"/>
      </c:valAx>
      <c:catAx>
        <c:axId val="-390493472"/>
        <c:scaling>
          <c:orientation val="minMax"/>
        </c:scaling>
        <c:delete val="1"/>
        <c:axPos val="b"/>
        <c:numFmt formatCode="General" sourceLinked="1"/>
        <c:majorTickMark val="out"/>
        <c:minorTickMark val="none"/>
        <c:tickLblPos val="nextTo"/>
        <c:crossAx val="-390495648"/>
        <c:crosses val="autoZero"/>
        <c:auto val="1"/>
        <c:lblAlgn val="ctr"/>
        <c:lblOffset val="100"/>
        <c:noMultiLvlLbl val="0"/>
      </c:catAx>
      <c:valAx>
        <c:axId val="-390495648"/>
        <c:scaling>
          <c:orientation val="minMax"/>
        </c:scaling>
        <c:delete val="0"/>
        <c:axPos val="r"/>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Arial Narrow" panose="020B0606020202030204" pitchFamily="2" charset="0"/>
                <a:ea typeface="仿宋_GB2312" pitchFamily="3" charset="-122"/>
                <a:cs typeface="Verdana" panose="020B0604030504040204" pitchFamily="2" charset="0"/>
              </a:defRPr>
            </a:pPr>
            <a:endParaRPr lang="zh-CN"/>
          </a:p>
        </c:txPr>
        <c:crossAx val="-390493472"/>
        <c:crosses val="max"/>
        <c:crossBetween val="between"/>
      </c:valAx>
      <c:spPr>
        <a:noFill/>
        <a:ln>
          <a:noFill/>
        </a:ln>
        <a:effectLst/>
      </c:spPr>
    </c:plotArea>
    <c:legend>
      <c:legendPos val="b"/>
      <c:layout>
        <c:manualLayout>
          <c:xMode val="edge"/>
          <c:yMode val="edge"/>
          <c:x val="1.5656124263614301E-2"/>
          <c:y val="0.81657857283968505"/>
          <c:w val="0.95802798134576905"/>
          <c:h val="0.15269946095447701"/>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仿宋_GB2312" pitchFamily="3" charset="-122"/>
              <a:ea typeface="仿宋_GB2312" pitchFamily="3" charset="-122"/>
              <a:cs typeface="Verdana" panose="020B0604030504040204" pitchFamily="2" charset="0"/>
            </a:defRPr>
          </a:pPr>
          <a:endParaRPr lang="zh-CN"/>
        </a:p>
      </c:txPr>
    </c:legend>
    <c:plotVisOnly val="1"/>
    <c:dispBlanksAs val="gap"/>
    <c:showDLblsOverMax val="0"/>
    <c:extLst>
      <c:ext uri="{0b15fc19-7d7d-44ad-8c2d-2c3a37ce22c3}">
        <chartProps xmlns="https://web.wps.cn/et/2018/main" chartId="{9dac6b11-f5bd-4a66-8fcd-4b0d4af7a327}"/>
      </c:ext>
    </c:extLst>
  </c:chart>
  <c:spPr>
    <a:solidFill>
      <a:schemeClr val="bg1"/>
    </a:solidFill>
    <a:ln w="9525" cap="flat" cmpd="sng" algn="ctr">
      <a:solidFill>
        <a:schemeClr val="tx1">
          <a:lumMod val="15000"/>
          <a:lumOff val="85000"/>
        </a:schemeClr>
      </a:solidFill>
      <a:round/>
    </a:ln>
    <a:effectLst/>
  </c:spPr>
  <c:txPr>
    <a:bodyPr/>
    <a:lstStyle/>
    <a:p>
      <a:pPr>
        <a:defRPr lang="zh-CN">
          <a:latin typeface="仿宋_GB2312" pitchFamily="3" charset="-122"/>
          <a:ea typeface="仿宋_GB2312" pitchFamily="3" charset="-122"/>
          <a:cs typeface="Verdana" panose="020B0604030504040204" pitchFamily="2" charset="0"/>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Deloitte">
      <a:dk1>
        <a:srgbClr val="000000"/>
      </a:dk1>
      <a:lt1>
        <a:srgbClr val="FFFFFF"/>
      </a:lt1>
      <a:dk2>
        <a:srgbClr val="002776"/>
      </a:dk2>
      <a:lt2>
        <a:srgbClr val="FFFFFF"/>
      </a:lt2>
      <a:accent1>
        <a:srgbClr val="002776"/>
      </a:accent1>
      <a:accent2>
        <a:srgbClr val="92D400"/>
      </a:accent2>
      <a:accent3>
        <a:srgbClr val="00A1DE"/>
      </a:accent3>
      <a:accent4>
        <a:srgbClr val="3C8A2E"/>
      </a:accent4>
      <a:accent5>
        <a:srgbClr val="72C7E7"/>
      </a:accent5>
      <a:accent6>
        <a:srgbClr val="C9DD03"/>
      </a:accent6>
      <a:hlink>
        <a:srgbClr val="00A1DE"/>
      </a:hlink>
      <a:folHlink>
        <a:srgbClr val="72C7E7"/>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Deloitte">
    <a:dk1>
      <a:srgbClr val="000000"/>
    </a:dk1>
    <a:lt1>
      <a:srgbClr val="FFFFFF"/>
    </a:lt1>
    <a:dk2>
      <a:srgbClr val="002776"/>
    </a:dk2>
    <a:lt2>
      <a:srgbClr val="FFFFFF"/>
    </a:lt2>
    <a:accent1>
      <a:srgbClr val="002776"/>
    </a:accent1>
    <a:accent2>
      <a:srgbClr val="92D400"/>
    </a:accent2>
    <a:accent3>
      <a:srgbClr val="00A1DE"/>
    </a:accent3>
    <a:accent4>
      <a:srgbClr val="3C8A2E"/>
    </a:accent4>
    <a:accent5>
      <a:srgbClr val="72C7E7"/>
    </a:accent5>
    <a:accent6>
      <a:srgbClr val="C9DD03"/>
    </a:accent6>
    <a:hlink>
      <a:srgbClr val="00A1DE"/>
    </a:hlink>
    <a:folHlink>
      <a:srgbClr val="72C7E7"/>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Pages>
  <Words>5508</Words>
  <Characters>31397</Characters>
  <Application>Microsoft Office Word</Application>
  <DocSecurity>0</DocSecurity>
  <Lines>261</Lines>
  <Paragraphs>73</Paragraphs>
  <ScaleCrop>false</ScaleCrop>
  <Company>Deloitte Touche Tohmatsu Services, Inc.</Company>
  <LinksUpToDate>false</LinksUpToDate>
  <CharactersWithSpaces>36832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Deng Lillian</dc:creator>
  <cp:lastModifiedBy>李仁鹏(上海-税务七部)</cp:lastModifiedBy>
  <cp:revision>10</cp:revision>
  <cp:lastPrinted>2025-03-07T09:17:00Z</cp:lastPrinted>
  <dcterms:created xsi:type="dcterms:W3CDTF">2025-02-12T03:27:00Z</dcterms:created>
  <dcterms:modified xsi:type="dcterms:W3CDTF">2025-03-07T09:18:00Z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-199500528</vt:i4>
  </property>
  <property fmtid="{D5CDD505-2E9C-101B-9397-08002B2CF9AE}" pid="3" name="KSOProductBuildVer">
    <vt:lpwstr>2052-12.1.0.20305</vt:lpwstr>
  </property>
  <property fmtid="{D5CDD505-2E9C-101B-9397-08002B2CF9AE}" pid="4" name="ICV">
    <vt:lpwstr>15F95190183A4A35B16DD0969047614D_13</vt:lpwstr>
  </property>
  <property fmtid="{D5CDD505-2E9C-101B-9397-08002B2CF9AE}" pid="5" name="KSOTemplateDocerSaveRecord">
    <vt:lpwstr>eyJoZGlkIjoiNjliMmJjYzlmM2MxNGNiNDlmODgwOGY0NDE2NjRjNTgiLCJ1c2VySWQiOiIyNzUyNzMyMDQifQ==</vt:lpwstr>
  </property>
</Properties>
</file>