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4.3.0 -->
  <w:body>
    <w:p w:rsidR="00A77B3E">
      <w:pPr>
        <w:sectPr>
          <w:pgSz w:w="12240" w:h="15840"/>
          <w:pgMar w:top="1440" w:right="1440" w:bottom="1440" w:left="1440" w:header="720" w:footer="720" w:gutter="0"/>
          <w:cols w:space="720"/>
          <w:docGrid w:linePitch="360"/>
        </w:sectPr>
      </w:pPr>
    </w:p>
    <w:p/>
    <w:p>
      <w:pPr>
        <w:jc w:val="both"/>
      </w:pPr>
      <w:r>
        <w:rPr>
          <w:rFonts w:ascii="Arial" w:eastAsia="Arial" w:hAnsi="Arial" w:cs="Arial"/>
          <w:b/>
          <w:bCs/>
        </w:rPr>
        <w:t> </w:t>
      </w:r>
    </w:p>
    <w:p>
      <w:pPr>
        <w:jc w:val="both"/>
      </w:pPr>
      <w:r>
        <w:rPr>
          <w:rFonts w:ascii="Arial" w:eastAsia="Arial" w:hAnsi="Arial" w:cs="Arial"/>
          <w:b/>
          <w:bCs/>
        </w:rPr>
        <w:t> </w:t>
      </w:r>
    </w:p>
    <w:p>
      <w:pPr>
        <w:jc w:val="both"/>
      </w:pPr>
      <w:r>
        <w:rPr>
          <w:rFonts w:ascii="Arial" w:eastAsia="Arial" w:hAnsi="Arial" w:cs="Arial"/>
          <w:b/>
          <w:bCs/>
          <w:color w:val="00B0F0"/>
        </w:rPr>
        <w:t> </w:t>
      </w:r>
    </w:p>
    <w:p>
      <w:pPr>
        <w:jc w:val="both"/>
      </w:pPr>
    </w:p>
    <w:p>
      <w:pPr>
        <w:jc w:val="both"/>
      </w:pPr>
    </w:p>
    <w:p>
      <w:pPr>
        <w:spacing w:before="120" w:after="120"/>
        <w:ind w:left="0"/>
      </w:pPr>
      <w:r>
        <w:rPr>
          <w:rFonts w:ascii="仿宋_GB2312" w:eastAsia="仿宋_GB2312" w:hAnsi="仿宋_GB2312" w:cs="仿宋_GB2312"/>
          <w:color w:val="002060"/>
          <w:sz w:val="48"/>
          <w:szCs w:val="48"/>
        </w:rPr>
        <w:t>上海远化物流有限公司</w:t>
      </w:r>
    </w:p>
    <w:p>
      <w:r>
        <w:rPr>
          <w:rFonts w:ascii="Arial" w:eastAsia="Arial" w:hAnsi="Arial" w:cs="Arial"/>
          <w:b/>
          <w:bCs/>
          <w:color w:val="C75B12"/>
          <w:sz w:val="53"/>
          <w:szCs w:val="53"/>
        </w:rPr>
        <w:t> </w:t>
      </w:r>
    </w:p>
    <w:p>
      <w:pPr>
        <w:jc w:val="both"/>
      </w:pPr>
      <w:r>
        <w:rPr>
          <w:rFonts w:ascii="仿宋_GB2312" w:eastAsia="仿宋_GB2312" w:hAnsi="仿宋_GB2312" w:cs="仿宋_GB2312"/>
          <w:color w:val="000000"/>
          <w:sz w:val="32"/>
          <w:szCs w:val="32"/>
        </w:rPr>
        <w:t>关联交易同期资料的本地文档</w:t>
      </w:r>
    </w:p>
    <w:p>
      <w:pPr>
        <w:spacing w:before="45" w:after="120" w:line="360" w:lineRule="atLeast"/>
        <w:ind w:left="0" w:right="0"/>
      </w:pPr>
      <w:r>
        <w:rPr>
          <w:rFonts w:ascii="Arial" w:eastAsia="Arial" w:hAnsi="Arial" w:cs="Arial"/>
          <w:color w:val="000000"/>
          <w:sz w:val="32"/>
          <w:szCs w:val="32"/>
        </w:rPr>
        <w:t>23</w:t>
      </w:r>
      <w:r>
        <w:rPr>
          <w:rFonts w:ascii="仿宋_GB2312" w:eastAsia="仿宋_GB2312" w:hAnsi="仿宋_GB2312" w:cs="仿宋_GB2312"/>
          <w:color w:val="000000"/>
          <w:sz w:val="32"/>
          <w:szCs w:val="32"/>
        </w:rPr>
        <w:t>财务年度（截至</w:t>
      </w:r>
      <w:r>
        <w:rPr>
          <w:rFonts w:ascii="Arial" w:eastAsia="Arial" w:hAnsi="Arial" w:cs="Arial"/>
          <w:color w:val="000000"/>
          <w:sz w:val="32"/>
          <w:szCs w:val="32"/>
        </w:rPr>
        <w:t xml:space="preserve"> </w:t>
      </w:r>
      <w:r>
        <w:rPr>
          <w:rFonts w:ascii="Arial" w:eastAsia="Arial" w:hAnsi="Arial" w:cs="Arial"/>
          <w:color w:val="000000"/>
          <w:sz w:val="32"/>
          <w:szCs w:val="32"/>
        </w:rPr>
        <w:t>23</w:t>
      </w:r>
      <w:r>
        <w:rPr>
          <w:rFonts w:ascii="仿宋_GB2312" w:eastAsia="仿宋_GB2312" w:hAnsi="仿宋_GB2312" w:cs="仿宋_GB2312"/>
          <w:color w:val="000000"/>
          <w:sz w:val="32"/>
          <w:szCs w:val="32"/>
        </w:rPr>
        <w:t>年</w:t>
      </w:r>
      <w:r>
        <w:rPr>
          <w:rFonts w:ascii="Arial" w:eastAsia="Arial" w:hAnsi="Arial" w:cs="Arial"/>
          <w:color w:val="000000"/>
          <w:sz w:val="32"/>
          <w:szCs w:val="32"/>
        </w:rPr>
        <w:t xml:space="preserve"> 12 </w:t>
      </w:r>
      <w:r>
        <w:rPr>
          <w:rFonts w:ascii="仿宋_GB2312" w:eastAsia="仿宋_GB2312" w:hAnsi="仿宋_GB2312" w:cs="仿宋_GB2312"/>
          <w:color w:val="000000"/>
          <w:sz w:val="32"/>
          <w:szCs w:val="32"/>
        </w:rPr>
        <w:t>月</w:t>
      </w:r>
      <w:r>
        <w:rPr>
          <w:rFonts w:ascii="Arial" w:eastAsia="Arial" w:hAnsi="Arial" w:cs="Arial"/>
          <w:color w:val="000000"/>
          <w:sz w:val="32"/>
          <w:szCs w:val="32"/>
        </w:rPr>
        <w:t xml:space="preserve"> 31 </w:t>
      </w:r>
      <w:r>
        <w:rPr>
          <w:rFonts w:ascii="仿宋_GB2312" w:eastAsia="仿宋_GB2312" w:hAnsi="仿宋_GB2312" w:cs="仿宋_GB2312"/>
          <w:color w:val="000000"/>
          <w:sz w:val="32"/>
          <w:szCs w:val="32"/>
        </w:rPr>
        <w:t>日）</w:t>
      </w:r>
    </w:p>
    <w:p>
      <w:pPr>
        <w:spacing w:before="45" w:after="120" w:line="360" w:lineRule="atLeast"/>
        <w:ind w:left="0" w:right="0"/>
      </w:pPr>
      <w:r>
        <w:rPr>
          <w:rFonts w:ascii="Arial" w:eastAsia="Arial" w:hAnsi="Arial" w:cs="Arial"/>
          <w:color w:val="000000"/>
          <w:sz w:val="32"/>
          <w:szCs w:val="32"/>
        </w:rPr>
        <w:t> </w:t>
      </w:r>
    </w:p>
    <w:p>
      <w:pPr>
        <w:spacing w:before="45" w:after="120" w:line="360" w:lineRule="atLeast"/>
        <w:ind w:left="0" w:right="0"/>
      </w:pPr>
      <w:r>
        <w:rPr>
          <w:rFonts w:ascii="Arial" w:eastAsia="Arial" w:hAnsi="Arial" w:cs="Arial"/>
          <w:color w:val="000000"/>
          <w:sz w:val="32"/>
          <w:szCs w:val="32"/>
        </w:rPr>
        <w:t> </w:t>
      </w:r>
    </w:p>
    <w:p>
      <w:pPr>
        <w:sectPr>
          <w:pgMar w:header="720" w:footer="720"/>
          <w:cols w:space="720"/>
        </w:sectPr>
      </w:pPr>
    </w:p>
    <w:p>
      <w:pPr>
        <w:pStyle w:val="BodyText"/>
        <w:numPr>
          <w:ilvl w:val="0"/>
          <w:numId w:val="0"/>
        </w:numPr>
      </w:pPr>
    </w:p>
    <w:p>
      <w:pPr>
        <w:pStyle w:val="Heading1"/>
        <w:jc w:val="center"/>
      </w:pPr>
      <w:bookmarkStart w:id="0" w:name="_Toc256003208"/>
      <w:r>
        <w:rPr>
          <w:rFonts w:ascii="微软雅黑" w:eastAsia="微软雅黑" w:hAnsi="微软雅黑" w:cs="微软雅黑"/>
          <w:b/>
          <w:sz w:val="40"/>
        </w:rPr>
        <w:t>声明</w:t>
      </w:r>
      <w:bookmarkEnd w:id="0"/>
    </w:p>
    <w:p>
      <w:pPr>
        <w:spacing w:before="240" w:after="0" w:line="360" w:lineRule="auto"/>
        <w:ind w:left="135" w:right="90"/>
        <w:jc w:val="center"/>
      </w:pPr>
      <w:r>
        <w:rPr>
          <w:rFonts w:ascii="仿宋_GB2312" w:eastAsia="仿宋_GB2312" w:hAnsi="仿宋_GB2312" w:cs="仿宋_GB2312"/>
          <w:b/>
          <w:bCs/>
          <w:sz w:val="29"/>
          <w:szCs w:val="29"/>
        </w:rPr>
        <w:t>上海远化物流有限公司</w:t>
      </w:r>
      <w:r>
        <w:rPr>
          <w:rFonts w:ascii="仿宋_GB2312" w:eastAsia="仿宋_GB2312" w:hAnsi="仿宋_GB2312" w:cs="仿宋_GB2312"/>
          <w:b/>
          <w:bCs/>
          <w:sz w:val="29"/>
          <w:szCs w:val="29"/>
        </w:rPr>
        <w:t>声明</w:t>
      </w:r>
    </w:p>
    <w:p>
      <w:pPr>
        <w:spacing w:before="240" w:after="240"/>
        <w:ind w:left="135" w:right="90" w:firstLine="435"/>
      </w:pPr>
      <w:r>
        <w:rPr>
          <w:rFonts w:ascii="仿宋_GB2312" w:eastAsia="仿宋_GB2312" w:hAnsi="仿宋_GB2312" w:cs="仿宋_GB2312"/>
          <w:sz w:val="23"/>
          <w:szCs w:val="23"/>
        </w:rPr>
        <w:t>本公司根据以下规定准备</w:t>
      </w:r>
      <w:r>
        <w:rPr>
          <w:rFonts w:ascii="Arial" w:eastAsia="Arial" w:hAnsi="Arial" w:cs="Arial"/>
          <w:sz w:val="23"/>
          <w:szCs w:val="23"/>
        </w:rPr>
        <w:t>23</w:t>
      </w:r>
      <w:r>
        <w:rPr>
          <w:rFonts w:ascii="仿宋_GB2312" w:eastAsia="仿宋_GB2312" w:hAnsi="仿宋_GB2312" w:cs="仿宋_GB2312"/>
          <w:sz w:val="23"/>
          <w:szCs w:val="23"/>
        </w:rPr>
        <w:t>年度同期资料的本地文档（以下简称</w:t>
      </w:r>
      <w:r>
        <w:rPr>
          <w:rFonts w:ascii="Arial" w:eastAsia="Arial" w:hAnsi="Arial" w:cs="Arial"/>
          <w:sz w:val="23"/>
          <w:szCs w:val="23"/>
        </w:rPr>
        <w:t>“</w:t>
      </w:r>
      <w:r>
        <w:rPr>
          <w:rFonts w:ascii="仿宋_GB2312" w:eastAsia="仿宋_GB2312" w:hAnsi="仿宋_GB2312" w:cs="仿宋_GB2312"/>
          <w:sz w:val="23"/>
          <w:szCs w:val="23"/>
        </w:rPr>
        <w:t>本报告</w:t>
      </w:r>
      <w:r>
        <w:rPr>
          <w:rFonts w:ascii="Arial" w:eastAsia="Arial" w:hAnsi="Arial" w:cs="Arial"/>
          <w:sz w:val="23"/>
          <w:szCs w:val="23"/>
        </w:rPr>
        <w:t>”</w:t>
      </w:r>
      <w:r>
        <w:rPr>
          <w:rFonts w:ascii="仿宋_GB2312" w:eastAsia="仿宋_GB2312" w:hAnsi="仿宋_GB2312" w:cs="仿宋_GB2312"/>
          <w:sz w:val="23"/>
          <w:szCs w:val="23"/>
        </w:rPr>
        <w:t>）：</w:t>
      </w:r>
    </w:p>
    <w:p>
      <w:pPr>
        <w:spacing w:before="240" w:after="240"/>
        <w:ind w:left="135" w:right="90" w:firstLine="435"/>
      </w:pPr>
      <w:r>
        <w:rPr>
          <w:rFonts w:ascii="仿宋_GB2312" w:eastAsia="仿宋_GB2312" w:hAnsi="仿宋_GB2312" w:cs="仿宋_GB2312"/>
          <w:sz w:val="23"/>
          <w:szCs w:val="23"/>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pPr>
        <w:spacing w:before="240" w:after="240"/>
        <w:ind w:left="135" w:right="90" w:firstLine="435"/>
      </w:pPr>
      <w:r>
        <w:rPr>
          <w:rFonts w:ascii="仿宋_GB2312" w:eastAsia="仿宋_GB2312" w:hAnsi="仿宋_GB2312" w:cs="仿宋_GB2312"/>
          <w:sz w:val="23"/>
          <w:szCs w:val="23"/>
        </w:rPr>
        <w:t>本报告的目的在于从中国特别纳税调整税制的角度，分析本公司</w:t>
      </w:r>
      <w:r>
        <w:rPr>
          <w:rFonts w:ascii="Arial" w:eastAsia="Arial" w:hAnsi="Arial" w:cs="Arial"/>
          <w:sz w:val="23"/>
          <w:szCs w:val="23"/>
        </w:rPr>
        <w:t>2023</w:t>
      </w:r>
      <w:r>
        <w:rPr>
          <w:rFonts w:ascii="仿宋_GB2312" w:eastAsia="仿宋_GB2312" w:hAnsi="仿宋_GB2312" w:cs="仿宋_GB2312"/>
          <w:sz w:val="23"/>
          <w:szCs w:val="23"/>
        </w:rPr>
        <w:t>年度与关联方之间关联交易定价的合理性。为此，本公司按以下规定以及程序准备本报告：</w:t>
      </w:r>
    </w:p>
    <w:p>
      <w:pPr>
        <w:spacing w:before="240" w:after="240"/>
        <w:ind w:left="135" w:right="90" w:firstLine="0"/>
      </w:pPr>
      <w:r>
        <w:rPr>
          <w:rFonts w:ascii="仿宋_GB2312" w:eastAsia="仿宋_GB2312" w:hAnsi="仿宋_GB2312" w:cs="仿宋_GB2312"/>
          <w:sz w:val="23"/>
          <w:szCs w:val="23"/>
        </w:rPr>
        <w:t>一、本公司保证根据下列政策法规及实施办法制作本报告</w:t>
      </w:r>
    </w:p>
    <w:p>
      <w:pPr>
        <w:spacing w:before="240" w:after="240"/>
        <w:ind w:left="135" w:right="90" w:firstLine="435"/>
      </w:pPr>
      <w:r>
        <w:rPr>
          <w:rFonts w:ascii="Arial" w:eastAsia="Arial" w:hAnsi="Arial" w:cs="Arial"/>
          <w:sz w:val="23"/>
          <w:szCs w:val="23"/>
        </w:rPr>
        <w:t>1</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《中华人民共和国企业所得税法》及其实施条例</w:t>
      </w:r>
    </w:p>
    <w:p>
      <w:pPr>
        <w:spacing w:before="240" w:after="240"/>
        <w:ind w:left="135" w:right="90" w:firstLine="435"/>
      </w:pPr>
      <w:r>
        <w:rPr>
          <w:rFonts w:ascii="Arial" w:eastAsia="Arial" w:hAnsi="Arial" w:cs="Arial"/>
          <w:sz w:val="23"/>
          <w:szCs w:val="23"/>
        </w:rPr>
        <w:t>2</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《中华人民共和国税收征收管理法》及其实施细则</w:t>
      </w:r>
    </w:p>
    <w:p>
      <w:pPr>
        <w:spacing w:before="240" w:after="240"/>
        <w:ind w:left="135" w:right="90" w:firstLine="435"/>
      </w:pPr>
      <w:r>
        <w:rPr>
          <w:rFonts w:ascii="Arial" w:eastAsia="Arial" w:hAnsi="Arial" w:cs="Arial"/>
          <w:sz w:val="23"/>
          <w:szCs w:val="23"/>
        </w:rPr>
        <w:t>3</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《国家税务总局关于完善关联申报和同期资料管理有关事项的公告》（国家税务总局</w:t>
      </w:r>
      <w:r>
        <w:rPr>
          <w:rFonts w:ascii="Arial" w:eastAsia="Arial" w:hAnsi="Arial" w:cs="Arial"/>
          <w:sz w:val="23"/>
          <w:szCs w:val="23"/>
        </w:rPr>
        <w:t>2016</w:t>
      </w:r>
      <w:r>
        <w:rPr>
          <w:rFonts w:ascii="仿宋_GB2312" w:eastAsia="仿宋_GB2312" w:hAnsi="仿宋_GB2312" w:cs="仿宋_GB2312"/>
          <w:sz w:val="23"/>
          <w:szCs w:val="23"/>
        </w:rPr>
        <w:t>年第</w:t>
      </w:r>
      <w:r>
        <w:rPr>
          <w:rFonts w:ascii="Arial" w:eastAsia="Arial" w:hAnsi="Arial" w:cs="Arial"/>
          <w:sz w:val="23"/>
          <w:szCs w:val="23"/>
        </w:rPr>
        <w:t>42</w:t>
      </w:r>
      <w:r>
        <w:rPr>
          <w:rFonts w:ascii="仿宋_GB2312" w:eastAsia="仿宋_GB2312" w:hAnsi="仿宋_GB2312" w:cs="仿宋_GB2312"/>
          <w:sz w:val="23"/>
          <w:szCs w:val="23"/>
        </w:rPr>
        <w:t>号公告，以下简称</w:t>
      </w:r>
      <w:r>
        <w:rPr>
          <w:rFonts w:ascii="Arial" w:eastAsia="Arial" w:hAnsi="Arial" w:cs="Arial"/>
          <w:sz w:val="23"/>
          <w:szCs w:val="23"/>
        </w:rPr>
        <w:t>“[2016]42</w:t>
      </w:r>
      <w:r>
        <w:rPr>
          <w:rFonts w:ascii="仿宋_GB2312" w:eastAsia="仿宋_GB2312" w:hAnsi="仿宋_GB2312" w:cs="仿宋_GB2312"/>
          <w:sz w:val="23"/>
          <w:szCs w:val="23"/>
        </w:rPr>
        <w:t>号公告</w:t>
      </w:r>
      <w:r>
        <w:rPr>
          <w:rFonts w:ascii="Arial" w:eastAsia="Arial" w:hAnsi="Arial" w:cs="Arial"/>
          <w:sz w:val="23"/>
          <w:szCs w:val="23"/>
        </w:rPr>
        <w:t>”</w:t>
      </w:r>
      <w:r>
        <w:rPr>
          <w:rFonts w:ascii="仿宋_GB2312" w:eastAsia="仿宋_GB2312" w:hAnsi="仿宋_GB2312" w:cs="仿宋_GB2312"/>
          <w:sz w:val="23"/>
          <w:szCs w:val="23"/>
        </w:rPr>
        <w:t>）</w:t>
      </w:r>
    </w:p>
    <w:p>
      <w:pPr>
        <w:spacing w:before="240" w:after="240"/>
        <w:ind w:left="135" w:right="90" w:firstLine="435"/>
      </w:pPr>
      <w:r>
        <w:rPr>
          <w:rFonts w:ascii="Arial" w:eastAsia="Arial" w:hAnsi="Arial" w:cs="Arial"/>
          <w:sz w:val="23"/>
          <w:szCs w:val="23"/>
        </w:rPr>
        <w:t>4</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《国家税务总局关于发布</w:t>
      </w:r>
      <w:r>
        <w:rPr>
          <w:rFonts w:ascii="Arial" w:eastAsia="Arial" w:hAnsi="Arial" w:cs="Arial"/>
          <w:sz w:val="23"/>
          <w:szCs w:val="23"/>
        </w:rPr>
        <w:t>&lt;</w:t>
      </w:r>
      <w:r>
        <w:rPr>
          <w:rFonts w:ascii="仿宋_GB2312" w:eastAsia="仿宋_GB2312" w:hAnsi="仿宋_GB2312" w:cs="仿宋_GB2312"/>
          <w:sz w:val="23"/>
          <w:szCs w:val="23"/>
        </w:rPr>
        <w:t>特别纳税调查调整及相互协商程序管理办法</w:t>
      </w:r>
      <w:r>
        <w:rPr>
          <w:rFonts w:ascii="Arial" w:eastAsia="Arial" w:hAnsi="Arial" w:cs="Arial"/>
          <w:sz w:val="23"/>
          <w:szCs w:val="23"/>
        </w:rPr>
        <w:t>&gt;</w:t>
      </w:r>
      <w:r>
        <w:rPr>
          <w:rFonts w:ascii="仿宋_GB2312" w:eastAsia="仿宋_GB2312" w:hAnsi="仿宋_GB2312" w:cs="仿宋_GB2312"/>
          <w:sz w:val="23"/>
          <w:szCs w:val="23"/>
        </w:rPr>
        <w:t>的公告》（国家税务总局</w:t>
      </w:r>
      <w:r>
        <w:rPr>
          <w:rFonts w:ascii="Arial" w:eastAsia="Arial" w:hAnsi="Arial" w:cs="Arial"/>
          <w:sz w:val="23"/>
          <w:szCs w:val="23"/>
        </w:rPr>
        <w:t>2017</w:t>
      </w:r>
      <w:r>
        <w:rPr>
          <w:rFonts w:ascii="仿宋_GB2312" w:eastAsia="仿宋_GB2312" w:hAnsi="仿宋_GB2312" w:cs="仿宋_GB2312"/>
          <w:sz w:val="23"/>
          <w:szCs w:val="23"/>
        </w:rPr>
        <w:t>年第</w:t>
      </w:r>
      <w:r>
        <w:rPr>
          <w:rFonts w:ascii="Arial" w:eastAsia="Arial" w:hAnsi="Arial" w:cs="Arial"/>
          <w:sz w:val="23"/>
          <w:szCs w:val="23"/>
        </w:rPr>
        <w:t>6</w:t>
      </w:r>
      <w:r>
        <w:rPr>
          <w:rFonts w:ascii="仿宋_GB2312" w:eastAsia="仿宋_GB2312" w:hAnsi="仿宋_GB2312" w:cs="仿宋_GB2312"/>
          <w:sz w:val="23"/>
          <w:szCs w:val="23"/>
        </w:rPr>
        <w:t>号公告，以下简称</w:t>
      </w:r>
      <w:r>
        <w:rPr>
          <w:rFonts w:ascii="Arial" w:eastAsia="Arial" w:hAnsi="Arial" w:cs="Arial"/>
          <w:sz w:val="23"/>
          <w:szCs w:val="23"/>
        </w:rPr>
        <w:t>“[2017]6</w:t>
      </w:r>
      <w:r>
        <w:rPr>
          <w:rFonts w:ascii="仿宋_GB2312" w:eastAsia="仿宋_GB2312" w:hAnsi="仿宋_GB2312" w:cs="仿宋_GB2312"/>
          <w:sz w:val="23"/>
          <w:szCs w:val="23"/>
        </w:rPr>
        <w:t>号公告</w:t>
      </w:r>
      <w:r>
        <w:rPr>
          <w:rFonts w:ascii="Arial" w:eastAsia="Arial" w:hAnsi="Arial" w:cs="Arial"/>
          <w:sz w:val="23"/>
          <w:szCs w:val="23"/>
        </w:rPr>
        <w:t>”</w:t>
      </w:r>
      <w:r>
        <w:rPr>
          <w:rFonts w:ascii="仿宋_GB2312" w:eastAsia="仿宋_GB2312" w:hAnsi="仿宋_GB2312" w:cs="仿宋_GB2312"/>
          <w:sz w:val="23"/>
          <w:szCs w:val="23"/>
        </w:rPr>
        <w:t>）</w:t>
      </w:r>
    </w:p>
    <w:p>
      <w:pPr>
        <w:spacing w:before="240" w:after="240"/>
        <w:ind w:left="135" w:right="90"/>
      </w:pPr>
      <w:r>
        <w:rPr>
          <w:rFonts w:ascii="仿宋_GB2312" w:eastAsia="仿宋_GB2312" w:hAnsi="仿宋_GB2312" w:cs="仿宋_GB2312"/>
          <w:sz w:val="23"/>
          <w:szCs w:val="23"/>
        </w:rPr>
        <w:t>二、本公司保证实施以下程序，并保证提供任何与同期资料有关的数据及资料</w:t>
      </w:r>
    </w:p>
    <w:p>
      <w:pPr>
        <w:spacing w:before="240" w:after="240"/>
        <w:ind w:left="135" w:right="90" w:firstLine="435"/>
      </w:pPr>
      <w:r>
        <w:rPr>
          <w:rFonts w:ascii="Arial" w:eastAsia="Arial" w:hAnsi="Arial" w:cs="Arial"/>
          <w:sz w:val="23"/>
          <w:szCs w:val="23"/>
        </w:rPr>
        <w:t>1</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整理本公司基本资料信息，包括公司及所属集团的组织结构、企业生产经营情况、以及企业所处的行业分析等；</w:t>
      </w:r>
    </w:p>
    <w:p>
      <w:pPr>
        <w:spacing w:before="240" w:after="240"/>
        <w:ind w:left="135" w:right="90" w:firstLine="435"/>
      </w:pPr>
      <w:r>
        <w:rPr>
          <w:rFonts w:ascii="Arial" w:eastAsia="Arial" w:hAnsi="Arial" w:cs="Arial"/>
          <w:sz w:val="23"/>
          <w:szCs w:val="23"/>
        </w:rPr>
        <w:t>2</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整理本公司关联交易的资料，包括关联交易情况、关联交易业务流程、与关联公司签订的合同、关联交易的定价情况及其他相关信息；</w:t>
      </w:r>
    </w:p>
    <w:p>
      <w:pPr>
        <w:spacing w:before="240" w:after="240"/>
        <w:ind w:left="135" w:right="90" w:firstLine="435"/>
      </w:pPr>
      <w:r>
        <w:rPr>
          <w:rFonts w:ascii="Arial" w:eastAsia="Arial" w:hAnsi="Arial" w:cs="Arial"/>
          <w:sz w:val="23"/>
          <w:szCs w:val="23"/>
        </w:rPr>
        <w:t>3</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分析本公司和关联公司在关联业务往来中各自承担的功能和风险；</w:t>
      </w:r>
    </w:p>
    <w:p>
      <w:pPr>
        <w:spacing w:before="240" w:after="240"/>
        <w:ind w:left="135" w:right="90" w:firstLine="435"/>
      </w:pPr>
      <w:r>
        <w:rPr>
          <w:rFonts w:ascii="Arial" w:eastAsia="Arial" w:hAnsi="Arial" w:cs="Arial"/>
          <w:sz w:val="23"/>
          <w:szCs w:val="23"/>
        </w:rPr>
        <w:t>4</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比较分析并选择适当的关联交易转让定价方法，用以分析和验证本公司与关联公司交易定价的合理性；</w:t>
      </w:r>
    </w:p>
    <w:p>
      <w:pPr>
        <w:spacing w:before="240" w:after="240"/>
        <w:ind w:left="135" w:right="90" w:firstLine="435"/>
      </w:pPr>
      <w:r>
        <w:rPr>
          <w:rFonts w:ascii="Arial" w:eastAsia="Arial" w:hAnsi="Arial" w:cs="Arial"/>
          <w:sz w:val="23"/>
          <w:szCs w:val="23"/>
        </w:rPr>
        <w:t>5</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选取可比企业，说明可比信息来源、可比企业选择过程，实施经济分析；</w:t>
      </w:r>
    </w:p>
    <w:p>
      <w:pPr>
        <w:spacing w:before="240" w:after="240"/>
        <w:ind w:left="135" w:right="90" w:firstLine="435"/>
      </w:pPr>
      <w:r>
        <w:rPr>
          <w:rFonts w:ascii="Arial" w:eastAsia="Arial" w:hAnsi="Arial" w:cs="Arial"/>
          <w:sz w:val="23"/>
          <w:szCs w:val="23"/>
        </w:rPr>
        <w:t>6</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运用合理的转让定价方法和可比性分析结果，确定可比非关联交易利润，确定正常情况下本公司与关联公司关联交易定价的合理范围；</w:t>
      </w:r>
    </w:p>
    <w:p>
      <w:pPr>
        <w:spacing w:before="240" w:after="240"/>
        <w:ind w:left="135" w:right="90" w:firstLine="435"/>
      </w:pPr>
      <w:r>
        <w:rPr>
          <w:rFonts w:ascii="Arial" w:eastAsia="Arial" w:hAnsi="Arial" w:cs="Arial"/>
          <w:sz w:val="23"/>
          <w:szCs w:val="23"/>
        </w:rPr>
        <w:t>7</w:t>
      </w:r>
      <w:r>
        <w:rPr>
          <w:rFonts w:ascii="仿宋_GB2312" w:eastAsia="仿宋_GB2312" w:hAnsi="仿宋_GB2312" w:cs="仿宋_GB2312"/>
          <w:sz w:val="23"/>
          <w:szCs w:val="23"/>
        </w:rPr>
        <w:t>、</w:t>
      </w:r>
      <w:r>
        <w:t xml:space="preserve"> </w:t>
      </w:r>
      <w:r>
        <w:rPr>
          <w:rFonts w:ascii="仿宋_GB2312" w:eastAsia="仿宋_GB2312" w:hAnsi="仿宋_GB2312" w:cs="仿宋_GB2312"/>
          <w:sz w:val="23"/>
          <w:szCs w:val="23"/>
        </w:rPr>
        <w:t>根据以上实施程序，制作本报告。</w:t>
      </w:r>
    </w:p>
    <w:p>
      <w:pPr>
        <w:sectPr>
          <w:pgMar w:header="720" w:footer="720"/>
          <w:cols w:space="720"/>
        </w:sectPr>
      </w:pPr>
    </w:p>
    <w:p>
      <w:pPr>
        <w:pStyle w:val="BodyText"/>
        <w:numPr>
          <w:ilvl w:val="0"/>
          <w:numId w:val="0"/>
        </w:numPr>
      </w:pPr>
    </w:p>
    <w:p>
      <w:pPr>
        <w:pStyle w:val="Heading1"/>
        <w:jc w:val="center"/>
      </w:pPr>
      <w:bookmarkStart w:id="1" w:name="_Toc256003209"/>
      <w:r>
        <w:rPr>
          <w:rFonts w:ascii="微软雅黑" w:eastAsia="微软雅黑" w:hAnsi="微软雅黑" w:cs="微软雅黑"/>
          <w:b/>
          <w:sz w:val="40"/>
        </w:rPr>
        <w:t>目录</w:t>
      </w:r>
      <w:bookmarkEnd w:id="1"/>
    </w:p>
    <w:p>
      <w:pPr>
        <w:pStyle w:val="TOC1"/>
        <w:tabs>
          <w:tab w:val="right" w:leader="dot" w:pos="9350"/>
        </w:tabs>
        <w:rPr>
          <w:rFonts w:ascii="Calibri" w:hAnsi="Calibri"/>
          <w:noProof/>
          <w:sz w:val="22"/>
        </w:rPr>
      </w:pPr>
      <w:r>
        <w:fldChar w:fldCharType="begin"/>
      </w:r>
      <w:r>
        <w:instrText>TOC \o "1-3" \h \z \u</w:instrText>
      </w:r>
      <w:r>
        <w:fldChar w:fldCharType="separate"/>
      </w:r>
      <w:hyperlink w:anchor="_Toc256003208" w:history="1">
        <w:r>
          <w:rPr>
            <w:rStyle w:val="Hyperlink"/>
            <w:rFonts w:ascii="微软雅黑" w:eastAsia="微软雅黑" w:hAnsi="微软雅黑" w:cs="微软雅黑"/>
          </w:rPr>
          <w:t>声明</w:t>
        </w:r>
        <w:r>
          <w:tab/>
        </w:r>
        <w:r>
          <w:fldChar w:fldCharType="begin"/>
        </w:r>
        <w:r>
          <w:instrText xml:space="preserve"> PAGEREF _Toc256003208 \h </w:instrText>
        </w:r>
        <w:r>
          <w:fldChar w:fldCharType="separate"/>
        </w:r>
        <w:r>
          <w:t>3</w:t>
        </w:r>
        <w:r>
          <w:fldChar w:fldCharType="end"/>
        </w:r>
      </w:hyperlink>
    </w:p>
    <w:p>
      <w:pPr>
        <w:pStyle w:val="TOC1"/>
        <w:tabs>
          <w:tab w:val="right" w:leader="dot" w:pos="9350"/>
        </w:tabs>
        <w:rPr>
          <w:rFonts w:ascii="Calibri" w:hAnsi="Calibri"/>
          <w:noProof/>
          <w:sz w:val="22"/>
        </w:rPr>
      </w:pPr>
      <w:hyperlink w:anchor="_Toc256003209" w:history="1">
        <w:r>
          <w:rPr>
            <w:rStyle w:val="Hyperlink"/>
            <w:rFonts w:ascii="微软雅黑" w:eastAsia="微软雅黑" w:hAnsi="微软雅黑" w:cs="微软雅黑"/>
          </w:rPr>
          <w:t>目录</w:t>
        </w:r>
        <w:r>
          <w:tab/>
        </w:r>
        <w:r>
          <w:fldChar w:fldCharType="begin"/>
        </w:r>
        <w:r>
          <w:instrText xml:space="preserve"> PAGEREF _Toc256003209 \h </w:instrText>
        </w:r>
        <w:r>
          <w:fldChar w:fldCharType="separate"/>
        </w:r>
        <w:r>
          <w:t>4</w:t>
        </w:r>
        <w:r>
          <w:fldChar w:fldCharType="end"/>
        </w:r>
      </w:hyperlink>
    </w:p>
    <w:p>
      <w:pPr>
        <w:pStyle w:val="TOC1"/>
        <w:tabs>
          <w:tab w:val="right" w:leader="dot" w:pos="9350"/>
        </w:tabs>
        <w:rPr>
          <w:rFonts w:ascii="Calibri" w:hAnsi="Calibri"/>
          <w:noProof/>
          <w:sz w:val="22"/>
        </w:rPr>
      </w:pPr>
      <w:hyperlink w:anchor="_Toc256003210" w:history="1">
        <w:r>
          <w:rPr>
            <w:rStyle w:val="Hyperlink"/>
            <w:rFonts w:ascii="微软雅黑" w:eastAsia="微软雅黑" w:hAnsi="微软雅黑" w:cs="微软雅黑"/>
          </w:rPr>
          <w:t>服务范围与责任声明</w:t>
        </w:r>
        <w:r>
          <w:tab/>
        </w:r>
        <w:r>
          <w:fldChar w:fldCharType="begin"/>
        </w:r>
        <w:r>
          <w:instrText xml:space="preserve"> PAGEREF _Toc256003210 \h </w:instrText>
        </w:r>
        <w:r>
          <w:fldChar w:fldCharType="separate"/>
        </w:r>
        <w:r>
          <w:t>6</w:t>
        </w:r>
        <w:r>
          <w:fldChar w:fldCharType="end"/>
        </w:r>
      </w:hyperlink>
    </w:p>
    <w:p>
      <w:pPr>
        <w:pStyle w:val="TOC1"/>
        <w:tabs>
          <w:tab w:val="right" w:leader="dot" w:pos="9350"/>
        </w:tabs>
        <w:rPr>
          <w:rFonts w:ascii="Calibri" w:hAnsi="Calibri"/>
          <w:noProof/>
          <w:sz w:val="22"/>
        </w:rPr>
      </w:pPr>
      <w:hyperlink w:anchor="_Toc256003211" w:history="1">
        <w:r>
          <w:rPr>
            <w:rStyle w:val="Hyperlink"/>
            <w:rFonts w:ascii="微软雅黑" w:eastAsia="微软雅黑" w:hAnsi="微软雅黑" w:cs="微软雅黑"/>
          </w:rPr>
          <w:t>简称或术语</w:t>
        </w:r>
        <w:r>
          <w:tab/>
        </w:r>
        <w:r>
          <w:fldChar w:fldCharType="begin"/>
        </w:r>
        <w:r>
          <w:instrText xml:space="preserve"> PAGEREF _Toc256003211 \h </w:instrText>
        </w:r>
        <w:r>
          <w:fldChar w:fldCharType="separate"/>
        </w:r>
        <w:r>
          <w:t>8</w:t>
        </w:r>
        <w:r>
          <w:fldChar w:fldCharType="end"/>
        </w:r>
      </w:hyperlink>
    </w:p>
    <w:p>
      <w:pPr>
        <w:pStyle w:val="TOC1"/>
        <w:tabs>
          <w:tab w:val="left" w:pos="480"/>
          <w:tab w:val="right" w:leader="dot" w:pos="9350"/>
        </w:tabs>
        <w:rPr>
          <w:rFonts w:ascii="Calibri" w:hAnsi="Calibri"/>
          <w:noProof/>
          <w:sz w:val="22"/>
        </w:rPr>
      </w:pPr>
      <w:hyperlink w:anchor="_Toc256003212" w:history="1">
        <w:r>
          <w:rPr>
            <w:rStyle w:val="Hyperlink"/>
          </w:rPr>
          <w:t>1.</w:t>
        </w:r>
        <w:r>
          <w:rPr>
            <w:rFonts w:ascii="Calibri" w:hAnsi="Calibri"/>
            <w:noProof/>
            <w:sz w:val="22"/>
          </w:rPr>
          <w:tab/>
        </w:r>
        <w:r>
          <w:rPr>
            <w:rStyle w:val="Hyperlink"/>
          </w:rPr>
          <w:t>报告摘要</w:t>
        </w:r>
        <w:r>
          <w:tab/>
        </w:r>
        <w:r>
          <w:fldChar w:fldCharType="begin"/>
        </w:r>
        <w:r>
          <w:instrText xml:space="preserve"> PAGEREF _Toc256003212 \h </w:instrText>
        </w:r>
        <w:r>
          <w:fldChar w:fldCharType="separate"/>
        </w:r>
        <w:r>
          <w:t>10</w:t>
        </w:r>
        <w:r>
          <w:fldChar w:fldCharType="end"/>
        </w:r>
      </w:hyperlink>
    </w:p>
    <w:p>
      <w:pPr>
        <w:pStyle w:val="TOC2"/>
        <w:tabs>
          <w:tab w:val="left" w:pos="1100"/>
          <w:tab w:val="right" w:leader="dot" w:pos="9350"/>
        </w:tabs>
        <w:rPr>
          <w:rFonts w:ascii="Calibri" w:hAnsi="Calibri"/>
          <w:noProof/>
          <w:sz w:val="22"/>
        </w:rPr>
      </w:pPr>
      <w:hyperlink w:anchor="_Toc256003213" w:history="1">
        <w:r>
          <w:rPr>
            <w:rStyle w:val="Hyperlink"/>
          </w:rPr>
          <w:t>1.1.</w:t>
        </w:r>
        <w:r>
          <w:rPr>
            <w:rFonts w:ascii="Calibri" w:hAnsi="Calibri"/>
            <w:noProof/>
            <w:sz w:val="22"/>
          </w:rPr>
          <w:tab/>
        </w:r>
        <w:r>
          <w:rPr>
            <w:rStyle w:val="Hyperlink"/>
          </w:rPr>
          <w:t>范围和目的</w:t>
        </w:r>
        <w:r>
          <w:tab/>
        </w:r>
        <w:r>
          <w:fldChar w:fldCharType="begin"/>
        </w:r>
        <w:r>
          <w:instrText xml:space="preserve"> PAGEREF _Toc256003213 \h </w:instrText>
        </w:r>
        <w:r>
          <w:fldChar w:fldCharType="separate"/>
        </w:r>
        <w:r>
          <w:t>10</w:t>
        </w:r>
        <w:r>
          <w:fldChar w:fldCharType="end"/>
        </w:r>
      </w:hyperlink>
    </w:p>
    <w:p>
      <w:pPr>
        <w:pStyle w:val="TOC2"/>
        <w:tabs>
          <w:tab w:val="left" w:pos="1100"/>
          <w:tab w:val="right" w:leader="dot" w:pos="9350"/>
        </w:tabs>
        <w:rPr>
          <w:rFonts w:ascii="Calibri" w:hAnsi="Calibri"/>
          <w:noProof/>
          <w:sz w:val="22"/>
        </w:rPr>
      </w:pPr>
      <w:hyperlink w:anchor="_Toc256003214" w:history="1">
        <w:r>
          <w:rPr>
            <w:rStyle w:val="Hyperlink"/>
          </w:rPr>
          <w:t>1.2.</w:t>
        </w:r>
        <w:r>
          <w:rPr>
            <w:rFonts w:ascii="Calibri" w:hAnsi="Calibri"/>
            <w:noProof/>
            <w:sz w:val="22"/>
          </w:rPr>
          <w:tab/>
        </w:r>
        <w:r>
          <w:rPr>
            <w:rStyle w:val="Hyperlink"/>
          </w:rPr>
          <w:t>受测关联交易</w:t>
        </w:r>
        <w:r>
          <w:tab/>
        </w:r>
        <w:r>
          <w:fldChar w:fldCharType="begin"/>
        </w:r>
        <w:r>
          <w:instrText xml:space="preserve"> PAGEREF _Toc256003214 \h </w:instrText>
        </w:r>
        <w:r>
          <w:fldChar w:fldCharType="separate"/>
        </w:r>
        <w:r>
          <w:t>10</w:t>
        </w:r>
        <w:r>
          <w:fldChar w:fldCharType="end"/>
        </w:r>
      </w:hyperlink>
    </w:p>
    <w:p>
      <w:pPr>
        <w:pStyle w:val="TOC2"/>
        <w:tabs>
          <w:tab w:val="left" w:pos="1100"/>
          <w:tab w:val="right" w:leader="dot" w:pos="9350"/>
        </w:tabs>
        <w:rPr>
          <w:rFonts w:ascii="Calibri" w:hAnsi="Calibri"/>
          <w:noProof/>
          <w:sz w:val="22"/>
        </w:rPr>
      </w:pPr>
      <w:hyperlink w:anchor="_Toc256003215" w:history="1">
        <w:r>
          <w:rPr>
            <w:rStyle w:val="Hyperlink"/>
          </w:rPr>
          <w:t>1.3.</w:t>
        </w:r>
        <w:r>
          <w:rPr>
            <w:rFonts w:ascii="Calibri" w:hAnsi="Calibri"/>
            <w:noProof/>
            <w:sz w:val="22"/>
          </w:rPr>
          <w:tab/>
        </w:r>
        <w:r>
          <w:rPr>
            <w:rStyle w:val="Hyperlink"/>
          </w:rPr>
          <w:t>功能和风险分析及价值链分析总结</w:t>
        </w:r>
        <w:r>
          <w:tab/>
        </w:r>
        <w:r>
          <w:fldChar w:fldCharType="begin"/>
        </w:r>
        <w:r>
          <w:instrText xml:space="preserve"> PAGEREF _Toc256003215 \h </w:instrText>
        </w:r>
        <w:r>
          <w:fldChar w:fldCharType="separate"/>
        </w:r>
        <w:r>
          <w:t>10</w:t>
        </w:r>
        <w:r>
          <w:fldChar w:fldCharType="end"/>
        </w:r>
      </w:hyperlink>
    </w:p>
    <w:p>
      <w:pPr>
        <w:pStyle w:val="TOC2"/>
        <w:tabs>
          <w:tab w:val="left" w:pos="1100"/>
          <w:tab w:val="right" w:leader="dot" w:pos="9350"/>
        </w:tabs>
        <w:rPr>
          <w:rFonts w:ascii="Calibri" w:hAnsi="Calibri"/>
          <w:noProof/>
          <w:sz w:val="22"/>
        </w:rPr>
      </w:pPr>
      <w:hyperlink w:anchor="_Toc256003216" w:history="1">
        <w:r>
          <w:rPr>
            <w:rStyle w:val="Hyperlink"/>
          </w:rPr>
          <w:t>1.4.</w:t>
        </w:r>
        <w:r>
          <w:rPr>
            <w:rFonts w:ascii="Calibri" w:hAnsi="Calibri"/>
            <w:noProof/>
            <w:sz w:val="22"/>
          </w:rPr>
          <w:tab/>
        </w:r>
        <w:r>
          <w:rPr>
            <w:rStyle w:val="Hyperlink"/>
          </w:rPr>
          <w:t>经济分析总结 —— 对受测关联交易的分析</w:t>
        </w:r>
        <w:r>
          <w:tab/>
        </w:r>
        <w:r>
          <w:fldChar w:fldCharType="begin"/>
        </w:r>
        <w:r>
          <w:instrText xml:space="preserve"> PAGEREF _Toc256003216 \h </w:instrText>
        </w:r>
        <w:r>
          <w:fldChar w:fldCharType="separate"/>
        </w:r>
        <w:r>
          <w:t>10</w:t>
        </w:r>
        <w:r>
          <w:fldChar w:fldCharType="end"/>
        </w:r>
      </w:hyperlink>
    </w:p>
    <w:p>
      <w:pPr>
        <w:pStyle w:val="TOC2"/>
        <w:tabs>
          <w:tab w:val="left" w:pos="1100"/>
          <w:tab w:val="right" w:leader="dot" w:pos="9350"/>
        </w:tabs>
        <w:rPr>
          <w:rFonts w:ascii="Calibri" w:hAnsi="Calibri"/>
          <w:noProof/>
          <w:sz w:val="22"/>
        </w:rPr>
      </w:pPr>
      <w:hyperlink w:anchor="_Toc256003217" w:history="1">
        <w:r>
          <w:rPr>
            <w:rStyle w:val="Hyperlink"/>
          </w:rPr>
          <w:t>1.5.</w:t>
        </w:r>
        <w:r>
          <w:rPr>
            <w:rFonts w:ascii="Calibri" w:hAnsi="Calibri"/>
            <w:noProof/>
            <w:sz w:val="22"/>
          </w:rPr>
          <w:tab/>
        </w:r>
        <w:r>
          <w:rPr>
            <w:rStyle w:val="Hyperlink"/>
          </w:rPr>
          <w:t>局限性</w:t>
        </w:r>
        <w:r>
          <w:tab/>
        </w:r>
        <w:r>
          <w:fldChar w:fldCharType="begin"/>
        </w:r>
        <w:r>
          <w:instrText xml:space="preserve"> PAGEREF _Toc256003217 \h </w:instrText>
        </w:r>
        <w:r>
          <w:fldChar w:fldCharType="separate"/>
        </w:r>
        <w:r>
          <w:t>11</w:t>
        </w:r>
        <w:r>
          <w:fldChar w:fldCharType="end"/>
        </w:r>
      </w:hyperlink>
    </w:p>
    <w:p>
      <w:pPr>
        <w:pStyle w:val="TOC1"/>
        <w:tabs>
          <w:tab w:val="left" w:pos="480"/>
          <w:tab w:val="right" w:leader="dot" w:pos="9350"/>
        </w:tabs>
        <w:rPr>
          <w:rFonts w:ascii="Calibri" w:hAnsi="Calibri"/>
          <w:noProof/>
          <w:sz w:val="22"/>
        </w:rPr>
      </w:pPr>
      <w:hyperlink w:anchor="_Toc256003218" w:history="1">
        <w:r>
          <w:rPr>
            <w:rStyle w:val="Hyperlink"/>
          </w:rPr>
          <w:t>2.</w:t>
        </w:r>
        <w:r>
          <w:rPr>
            <w:rFonts w:ascii="Calibri" w:hAnsi="Calibri"/>
            <w:noProof/>
            <w:sz w:val="22"/>
          </w:rPr>
          <w:tab/>
        </w:r>
        <w:r>
          <w:rPr>
            <w:rStyle w:val="Hyperlink"/>
          </w:rPr>
          <w:t>企业概况</w:t>
        </w:r>
        <w:r>
          <w:tab/>
        </w:r>
        <w:r>
          <w:fldChar w:fldCharType="begin"/>
        </w:r>
        <w:r>
          <w:instrText xml:space="preserve"> PAGEREF _Toc256003218 \h </w:instrText>
        </w:r>
        <w:r>
          <w:fldChar w:fldCharType="separate"/>
        </w:r>
        <w:r>
          <w:t>12</w:t>
        </w:r>
        <w:r>
          <w:fldChar w:fldCharType="end"/>
        </w:r>
      </w:hyperlink>
    </w:p>
    <w:p>
      <w:pPr>
        <w:pStyle w:val="TOC2"/>
        <w:tabs>
          <w:tab w:val="left" w:pos="1100"/>
          <w:tab w:val="right" w:leader="dot" w:pos="9350"/>
        </w:tabs>
        <w:rPr>
          <w:rFonts w:ascii="Calibri" w:hAnsi="Calibri"/>
          <w:noProof/>
          <w:sz w:val="22"/>
        </w:rPr>
      </w:pPr>
      <w:hyperlink w:anchor="_Toc256003219" w:history="1">
        <w:r>
          <w:rPr>
            <w:rStyle w:val="Hyperlink"/>
          </w:rPr>
          <w:t>2.1.</w:t>
        </w:r>
        <w:r>
          <w:rPr>
            <w:rFonts w:ascii="Calibri" w:hAnsi="Calibri"/>
            <w:noProof/>
            <w:sz w:val="22"/>
          </w:rPr>
          <w:tab/>
        </w:r>
        <w:r>
          <w:rPr>
            <w:rStyle w:val="Hyperlink"/>
          </w:rPr>
          <w:t>公司概况</w:t>
        </w:r>
        <w:r>
          <w:tab/>
        </w:r>
        <w:r>
          <w:fldChar w:fldCharType="begin"/>
        </w:r>
        <w:r>
          <w:instrText xml:space="preserve"> PAGEREF _Toc256003219 \h </w:instrText>
        </w:r>
        <w:r>
          <w:fldChar w:fldCharType="separate"/>
        </w:r>
        <w:r>
          <w:t>12</w:t>
        </w:r>
        <w:r>
          <w:fldChar w:fldCharType="end"/>
        </w:r>
      </w:hyperlink>
    </w:p>
    <w:p>
      <w:pPr>
        <w:pStyle w:val="TOC3"/>
        <w:tabs>
          <w:tab w:val="left" w:pos="1540"/>
          <w:tab w:val="right" w:leader="dot" w:pos="9350"/>
        </w:tabs>
        <w:rPr>
          <w:rFonts w:ascii="Calibri" w:hAnsi="Calibri"/>
          <w:noProof/>
          <w:sz w:val="22"/>
        </w:rPr>
      </w:pPr>
      <w:hyperlink w:anchor="_Toc256003220" w:history="1">
        <w:r>
          <w:rPr>
            <w:rStyle w:val="Hyperlink"/>
          </w:rPr>
          <w:t>2.1.1.</w:t>
        </w:r>
        <w:r>
          <w:rPr>
            <w:rFonts w:ascii="Calibri" w:hAnsi="Calibri"/>
            <w:noProof/>
            <w:sz w:val="22"/>
          </w:rPr>
          <w:tab/>
        </w:r>
        <w:r>
          <w:rPr>
            <w:rStyle w:val="Hyperlink"/>
          </w:rPr>
          <w:t>公司基本信息</w:t>
        </w:r>
        <w:r>
          <w:tab/>
        </w:r>
        <w:r>
          <w:fldChar w:fldCharType="begin"/>
        </w:r>
        <w:r>
          <w:instrText xml:space="preserve"> PAGEREF _Toc256003220 \h </w:instrText>
        </w:r>
        <w:r>
          <w:fldChar w:fldCharType="separate"/>
        </w:r>
        <w:r>
          <w:t>12</w:t>
        </w:r>
        <w:r>
          <w:fldChar w:fldCharType="end"/>
        </w:r>
      </w:hyperlink>
    </w:p>
    <w:p>
      <w:pPr>
        <w:pStyle w:val="TOC3"/>
        <w:tabs>
          <w:tab w:val="left" w:pos="1540"/>
          <w:tab w:val="right" w:leader="dot" w:pos="9350"/>
        </w:tabs>
        <w:rPr>
          <w:rFonts w:ascii="Calibri" w:hAnsi="Calibri"/>
          <w:noProof/>
          <w:sz w:val="22"/>
        </w:rPr>
      </w:pPr>
      <w:hyperlink w:anchor="_Toc256003221" w:history="1">
        <w:r>
          <w:rPr>
            <w:rStyle w:val="Hyperlink"/>
          </w:rPr>
          <w:t>2.1.2.</w:t>
        </w:r>
        <w:r>
          <w:rPr>
            <w:rFonts w:ascii="Calibri" w:hAnsi="Calibri"/>
            <w:noProof/>
            <w:sz w:val="22"/>
          </w:rPr>
          <w:tab/>
        </w:r>
        <w:r>
          <w:rPr>
            <w:rStyle w:val="Hyperlink"/>
          </w:rPr>
          <w:t>公司组织结构图和主要部门</w:t>
        </w:r>
        <w:r>
          <w:tab/>
        </w:r>
        <w:r>
          <w:fldChar w:fldCharType="begin"/>
        </w:r>
        <w:r>
          <w:instrText xml:space="preserve"> PAGEREF _Toc256003221 \h </w:instrText>
        </w:r>
        <w:r>
          <w:fldChar w:fldCharType="separate"/>
        </w:r>
        <w:r>
          <w:t>12</w:t>
        </w:r>
        <w:r>
          <w:fldChar w:fldCharType="end"/>
        </w:r>
      </w:hyperlink>
    </w:p>
    <w:p>
      <w:pPr>
        <w:pStyle w:val="TOC2"/>
        <w:tabs>
          <w:tab w:val="left" w:pos="1100"/>
          <w:tab w:val="right" w:leader="dot" w:pos="9350"/>
        </w:tabs>
        <w:rPr>
          <w:rFonts w:ascii="Calibri" w:hAnsi="Calibri"/>
          <w:noProof/>
          <w:sz w:val="22"/>
        </w:rPr>
      </w:pPr>
      <w:hyperlink w:anchor="_Toc256003222" w:history="1">
        <w:r>
          <w:rPr>
            <w:rStyle w:val="Hyperlink"/>
          </w:rPr>
          <w:t>2.2.</w:t>
        </w:r>
        <w:r>
          <w:rPr>
            <w:rFonts w:ascii="Calibri" w:hAnsi="Calibri"/>
            <w:noProof/>
            <w:sz w:val="22"/>
          </w:rPr>
          <w:tab/>
        </w:r>
        <w:r>
          <w:rPr>
            <w:rStyle w:val="Hyperlink"/>
          </w:rPr>
          <w:t>主营业务及财务状况</w:t>
        </w:r>
        <w:r>
          <w:tab/>
        </w:r>
        <w:r>
          <w:fldChar w:fldCharType="begin"/>
        </w:r>
        <w:r>
          <w:instrText xml:space="preserve"> PAGEREF _Toc256003222 \h </w:instrText>
        </w:r>
        <w:r>
          <w:fldChar w:fldCharType="separate"/>
        </w:r>
        <w:r>
          <w:t>13</w:t>
        </w:r>
        <w:r>
          <w:fldChar w:fldCharType="end"/>
        </w:r>
      </w:hyperlink>
    </w:p>
    <w:p>
      <w:pPr>
        <w:pStyle w:val="TOC2"/>
        <w:tabs>
          <w:tab w:val="left" w:pos="1100"/>
          <w:tab w:val="right" w:leader="dot" w:pos="9350"/>
        </w:tabs>
        <w:rPr>
          <w:rFonts w:ascii="Calibri" w:hAnsi="Calibri"/>
          <w:noProof/>
          <w:sz w:val="22"/>
        </w:rPr>
      </w:pPr>
      <w:hyperlink w:anchor="_Toc256003223" w:history="1">
        <w:r>
          <w:rPr>
            <w:rStyle w:val="Hyperlink"/>
          </w:rPr>
          <w:t>2.3.</w:t>
        </w:r>
        <w:r>
          <w:rPr>
            <w:rFonts w:ascii="Calibri" w:hAnsi="Calibri"/>
            <w:noProof/>
            <w:sz w:val="22"/>
          </w:rPr>
          <w:tab/>
        </w:r>
        <w:r>
          <w:rPr>
            <w:rStyle w:val="Hyperlink"/>
          </w:rPr>
          <w:t>本年度重大变化事项</w:t>
        </w:r>
        <w:r>
          <w:tab/>
        </w:r>
        <w:r>
          <w:fldChar w:fldCharType="begin"/>
        </w:r>
        <w:r>
          <w:instrText xml:space="preserve"> PAGEREF _Toc256003223 \h </w:instrText>
        </w:r>
        <w:r>
          <w:fldChar w:fldCharType="separate"/>
        </w:r>
        <w:r>
          <w:t>13</w:t>
        </w:r>
        <w:r>
          <w:fldChar w:fldCharType="end"/>
        </w:r>
      </w:hyperlink>
    </w:p>
    <w:p>
      <w:pPr>
        <w:pStyle w:val="TOC1"/>
        <w:tabs>
          <w:tab w:val="left" w:pos="480"/>
          <w:tab w:val="right" w:leader="dot" w:pos="9350"/>
        </w:tabs>
        <w:rPr>
          <w:rFonts w:ascii="Calibri" w:hAnsi="Calibri"/>
          <w:noProof/>
          <w:sz w:val="22"/>
        </w:rPr>
      </w:pPr>
      <w:hyperlink w:anchor="_Toc256003224" w:history="1">
        <w:r>
          <w:rPr>
            <w:rStyle w:val="Hyperlink"/>
          </w:rPr>
          <w:t>3.</w:t>
        </w:r>
        <w:r>
          <w:rPr>
            <w:rFonts w:ascii="Calibri" w:hAnsi="Calibri"/>
            <w:noProof/>
            <w:sz w:val="22"/>
          </w:rPr>
          <w:tab/>
        </w:r>
        <w:r>
          <w:rPr>
            <w:rStyle w:val="Hyperlink"/>
          </w:rPr>
          <w:t>行业分析</w:t>
        </w:r>
        <w:r>
          <w:tab/>
        </w:r>
        <w:r>
          <w:fldChar w:fldCharType="begin"/>
        </w:r>
        <w:r>
          <w:instrText xml:space="preserve"> PAGEREF _Toc256003224 \h </w:instrText>
        </w:r>
        <w:r>
          <w:fldChar w:fldCharType="separate"/>
        </w:r>
        <w:r>
          <w:t>14</w:t>
        </w:r>
        <w:r>
          <w:fldChar w:fldCharType="end"/>
        </w:r>
      </w:hyperlink>
    </w:p>
    <w:p>
      <w:pPr>
        <w:pStyle w:val="TOC2"/>
        <w:tabs>
          <w:tab w:val="left" w:pos="1100"/>
          <w:tab w:val="right" w:leader="dot" w:pos="9350"/>
        </w:tabs>
        <w:rPr>
          <w:rFonts w:ascii="Calibri" w:hAnsi="Calibri"/>
          <w:noProof/>
          <w:sz w:val="22"/>
        </w:rPr>
      </w:pPr>
      <w:hyperlink w:anchor="_Toc256003225" w:history="1">
        <w:r>
          <w:rPr>
            <w:rStyle w:val="Hyperlink"/>
          </w:rPr>
          <w:t>3.1.</w:t>
        </w:r>
        <w:r>
          <w:rPr>
            <w:rFonts w:ascii="Calibri" w:hAnsi="Calibri"/>
            <w:noProof/>
            <w:sz w:val="22"/>
          </w:rPr>
          <w:tab/>
        </w:r>
        <w:r>
          <w:rPr>
            <w:rStyle w:val="Hyperlink"/>
          </w:rPr>
          <w:t>道路运输行业概述</w:t>
        </w:r>
        <w:r>
          <w:tab/>
        </w:r>
        <w:r>
          <w:fldChar w:fldCharType="begin"/>
        </w:r>
        <w:r>
          <w:instrText xml:space="preserve"> PAGEREF _Toc256003225 \h </w:instrText>
        </w:r>
        <w:r>
          <w:fldChar w:fldCharType="separate"/>
        </w:r>
        <w:r>
          <w:t>14</w:t>
        </w:r>
        <w:r>
          <w:fldChar w:fldCharType="end"/>
        </w:r>
      </w:hyperlink>
    </w:p>
    <w:p>
      <w:pPr>
        <w:pStyle w:val="TOC2"/>
        <w:tabs>
          <w:tab w:val="left" w:pos="1100"/>
          <w:tab w:val="right" w:leader="dot" w:pos="9350"/>
        </w:tabs>
        <w:rPr>
          <w:rFonts w:ascii="Calibri" w:hAnsi="Calibri"/>
          <w:noProof/>
          <w:sz w:val="22"/>
        </w:rPr>
      </w:pPr>
      <w:hyperlink w:anchor="_Toc256003226" w:history="1">
        <w:r>
          <w:rPr>
            <w:rStyle w:val="Hyperlink"/>
          </w:rPr>
          <w:t>3.2.</w:t>
        </w:r>
        <w:r>
          <w:rPr>
            <w:rFonts w:ascii="Calibri" w:hAnsi="Calibri"/>
            <w:noProof/>
            <w:sz w:val="22"/>
          </w:rPr>
          <w:tab/>
        </w:r>
        <w:r>
          <w:rPr>
            <w:rStyle w:val="Hyperlink"/>
          </w:rPr>
          <w:t>市场规模与结构</w:t>
        </w:r>
        <w:r>
          <w:tab/>
        </w:r>
        <w:r>
          <w:fldChar w:fldCharType="begin"/>
        </w:r>
        <w:r>
          <w:instrText xml:space="preserve"> PAGEREF _Toc256003226 \h </w:instrText>
        </w:r>
        <w:r>
          <w:fldChar w:fldCharType="separate"/>
        </w:r>
        <w:r>
          <w:t>14</w:t>
        </w:r>
        <w:r>
          <w:fldChar w:fldCharType="end"/>
        </w:r>
      </w:hyperlink>
    </w:p>
    <w:p>
      <w:pPr>
        <w:pStyle w:val="TOC2"/>
        <w:tabs>
          <w:tab w:val="left" w:pos="1100"/>
          <w:tab w:val="right" w:leader="dot" w:pos="9350"/>
        </w:tabs>
        <w:rPr>
          <w:rFonts w:ascii="Calibri" w:hAnsi="Calibri"/>
          <w:noProof/>
          <w:sz w:val="22"/>
        </w:rPr>
      </w:pPr>
      <w:hyperlink w:anchor="_Toc256003227" w:history="1">
        <w:r>
          <w:rPr>
            <w:rStyle w:val="Hyperlink"/>
          </w:rPr>
          <w:t>3.3.</w:t>
        </w:r>
        <w:r>
          <w:rPr>
            <w:rFonts w:ascii="Calibri" w:hAnsi="Calibri"/>
            <w:noProof/>
            <w:sz w:val="22"/>
          </w:rPr>
          <w:tab/>
        </w:r>
        <w:r>
          <w:rPr>
            <w:rStyle w:val="Hyperlink"/>
          </w:rPr>
          <w:t>产业链上中下游</w:t>
        </w:r>
        <w:r>
          <w:tab/>
        </w:r>
        <w:r>
          <w:fldChar w:fldCharType="begin"/>
        </w:r>
        <w:r>
          <w:instrText xml:space="preserve"> PAGEREF _Toc256003227 \h </w:instrText>
        </w:r>
        <w:r>
          <w:fldChar w:fldCharType="separate"/>
        </w:r>
        <w:r>
          <w:t>16</w:t>
        </w:r>
        <w:r>
          <w:fldChar w:fldCharType="end"/>
        </w:r>
      </w:hyperlink>
    </w:p>
    <w:p>
      <w:pPr>
        <w:pStyle w:val="TOC2"/>
        <w:tabs>
          <w:tab w:val="left" w:pos="1100"/>
          <w:tab w:val="right" w:leader="dot" w:pos="9350"/>
        </w:tabs>
        <w:rPr>
          <w:rFonts w:ascii="Calibri" w:hAnsi="Calibri"/>
          <w:noProof/>
          <w:sz w:val="22"/>
        </w:rPr>
      </w:pPr>
      <w:hyperlink w:anchor="_Toc256003228" w:history="1">
        <w:r>
          <w:rPr>
            <w:rStyle w:val="Hyperlink"/>
          </w:rPr>
          <w:t>3.4.</w:t>
        </w:r>
        <w:r>
          <w:rPr>
            <w:rFonts w:ascii="Calibri" w:hAnsi="Calibri"/>
            <w:noProof/>
            <w:sz w:val="22"/>
          </w:rPr>
          <w:tab/>
        </w:r>
        <w:r>
          <w:rPr>
            <w:rStyle w:val="Hyperlink"/>
          </w:rPr>
          <w:t>行业竞争</w:t>
        </w:r>
        <w:r>
          <w:tab/>
        </w:r>
        <w:r>
          <w:fldChar w:fldCharType="begin"/>
        </w:r>
        <w:r>
          <w:instrText xml:space="preserve"> PAGEREF _Toc256003228 \h </w:instrText>
        </w:r>
        <w:r>
          <w:fldChar w:fldCharType="separate"/>
        </w:r>
        <w:r>
          <w:t>16</w:t>
        </w:r>
        <w:r>
          <w:fldChar w:fldCharType="end"/>
        </w:r>
      </w:hyperlink>
    </w:p>
    <w:p>
      <w:pPr>
        <w:pStyle w:val="TOC2"/>
        <w:tabs>
          <w:tab w:val="left" w:pos="1100"/>
          <w:tab w:val="right" w:leader="dot" w:pos="9350"/>
        </w:tabs>
        <w:rPr>
          <w:rFonts w:ascii="Calibri" w:hAnsi="Calibri"/>
          <w:noProof/>
          <w:sz w:val="22"/>
        </w:rPr>
      </w:pPr>
      <w:hyperlink w:anchor="_Toc256003229" w:history="1">
        <w:r>
          <w:rPr>
            <w:rStyle w:val="Hyperlink"/>
          </w:rPr>
          <w:t>3.5.</w:t>
        </w:r>
        <w:r>
          <w:rPr>
            <w:rFonts w:ascii="Calibri" w:hAnsi="Calibri"/>
            <w:noProof/>
            <w:sz w:val="22"/>
          </w:rPr>
          <w:tab/>
        </w:r>
        <w:r>
          <w:rPr>
            <w:rStyle w:val="Hyperlink"/>
          </w:rPr>
          <w:t>政策法规环境</w:t>
        </w:r>
        <w:r>
          <w:tab/>
        </w:r>
        <w:r>
          <w:fldChar w:fldCharType="begin"/>
        </w:r>
        <w:r>
          <w:instrText xml:space="preserve"> PAGEREF _Toc256003229 \h </w:instrText>
        </w:r>
        <w:r>
          <w:fldChar w:fldCharType="separate"/>
        </w:r>
        <w:r>
          <w:t>17</w:t>
        </w:r>
        <w:r>
          <w:fldChar w:fldCharType="end"/>
        </w:r>
      </w:hyperlink>
    </w:p>
    <w:p>
      <w:pPr>
        <w:pStyle w:val="TOC2"/>
        <w:tabs>
          <w:tab w:val="left" w:pos="880"/>
          <w:tab w:val="right" w:leader="dot" w:pos="9350"/>
        </w:tabs>
        <w:rPr>
          <w:rFonts w:ascii="Calibri" w:hAnsi="Calibri"/>
          <w:noProof/>
          <w:sz w:val="22"/>
        </w:rPr>
      </w:pPr>
      <w:hyperlink w:anchor="_Toc256003230" w:history="1">
        <w:r>
          <w:rPr>
            <w:rStyle w:val="Hyperlink"/>
            <w:rFonts w:ascii="Times New Roman" w:hAnsi="Times New Roman" w:cs="Times New Roman"/>
          </w:rPr>
          <w:t>1.1</w:t>
        </w:r>
        <w:r>
          <w:rPr>
            <w:rFonts w:ascii="Calibri" w:hAnsi="Calibri" w:cs="Times New Roman"/>
            <w:noProof/>
            <w:sz w:val="22"/>
          </w:rPr>
          <w:tab/>
        </w:r>
        <w:r>
          <w:rPr>
            <w:rStyle w:val="Hyperlink"/>
            <w:rFonts w:ascii="仿宋_GB2312" w:eastAsia="仿宋_GB2312" w:hAnsi="仿宋_GB2312" w:cs="仿宋_GB2312"/>
          </w:rPr>
          <w:t>行业发展趋势</w:t>
        </w:r>
        <w:r>
          <w:tab/>
        </w:r>
        <w:r>
          <w:fldChar w:fldCharType="begin"/>
        </w:r>
        <w:r>
          <w:instrText xml:space="preserve"> PAGEREF _Toc256003230 \h </w:instrText>
        </w:r>
        <w:r>
          <w:fldChar w:fldCharType="separate"/>
        </w:r>
        <w:r>
          <w:t>17</w:t>
        </w:r>
        <w:r>
          <w:fldChar w:fldCharType="end"/>
        </w:r>
      </w:hyperlink>
    </w:p>
    <w:p>
      <w:pPr>
        <w:pStyle w:val="TOC2"/>
        <w:tabs>
          <w:tab w:val="left" w:pos="1100"/>
          <w:tab w:val="right" w:leader="dot" w:pos="9350"/>
        </w:tabs>
        <w:rPr>
          <w:rFonts w:ascii="Calibri" w:hAnsi="Calibri"/>
          <w:noProof/>
          <w:sz w:val="22"/>
        </w:rPr>
      </w:pPr>
      <w:hyperlink w:anchor="_Toc256003231" w:history="1">
        <w:r>
          <w:rPr>
            <w:rStyle w:val="Hyperlink"/>
          </w:rPr>
          <w:t>3.6.</w:t>
        </w:r>
        <w:r>
          <w:rPr>
            <w:rFonts w:ascii="Calibri" w:hAnsi="Calibri"/>
            <w:noProof/>
            <w:sz w:val="22"/>
          </w:rPr>
          <w:tab/>
        </w:r>
        <w:r>
          <w:rPr>
            <w:rStyle w:val="Hyperlink"/>
          </w:rPr>
          <w:t>总结</w:t>
        </w:r>
        <w:r>
          <w:tab/>
        </w:r>
        <w:r>
          <w:fldChar w:fldCharType="begin"/>
        </w:r>
        <w:r>
          <w:instrText xml:space="preserve"> PAGEREF _Toc256003231 \h </w:instrText>
        </w:r>
        <w:r>
          <w:fldChar w:fldCharType="separate"/>
        </w:r>
        <w:r>
          <w:t>17</w:t>
        </w:r>
        <w:r>
          <w:fldChar w:fldCharType="end"/>
        </w:r>
      </w:hyperlink>
    </w:p>
    <w:p>
      <w:pPr>
        <w:pStyle w:val="TOC1"/>
        <w:tabs>
          <w:tab w:val="left" w:pos="480"/>
          <w:tab w:val="right" w:leader="dot" w:pos="9350"/>
        </w:tabs>
        <w:rPr>
          <w:rFonts w:ascii="Calibri" w:hAnsi="Calibri"/>
          <w:noProof/>
          <w:sz w:val="22"/>
        </w:rPr>
      </w:pPr>
      <w:hyperlink w:anchor="_Toc256003232" w:history="1">
        <w:r>
          <w:rPr>
            <w:rStyle w:val="Hyperlink"/>
            <w:rFonts w:ascii="Times New Roman" w:hAnsi="Times New Roman" w:cs="Times New Roman"/>
          </w:rPr>
          <w:t>1.</w:t>
        </w:r>
        <w:r>
          <w:rPr>
            <w:rFonts w:ascii="Calibri" w:hAnsi="Calibri" w:cs="Times New Roman"/>
            <w:noProof/>
            <w:sz w:val="22"/>
          </w:rPr>
          <w:tab/>
        </w:r>
        <w:r>
          <w:rPr>
            <w:rStyle w:val="Hyperlink"/>
            <w:rFonts w:ascii="仿宋_GB2312" w:eastAsia="仿宋_GB2312" w:hAnsi="仿宋_GB2312" w:cs="仿宋_GB2312"/>
          </w:rPr>
          <w:t>关联交易</w:t>
        </w:r>
        <w:r>
          <w:tab/>
        </w:r>
        <w:r>
          <w:fldChar w:fldCharType="begin"/>
        </w:r>
        <w:r>
          <w:instrText xml:space="preserve"> PAGEREF _Toc256003232 \h </w:instrText>
        </w:r>
        <w:r>
          <w:fldChar w:fldCharType="separate"/>
        </w:r>
        <w:r>
          <w:t>17</w:t>
        </w:r>
        <w:r>
          <w:fldChar w:fldCharType="end"/>
        </w:r>
      </w:hyperlink>
    </w:p>
    <w:p>
      <w:pPr>
        <w:pStyle w:val="TOC1"/>
        <w:tabs>
          <w:tab w:val="left" w:pos="480"/>
          <w:tab w:val="right" w:leader="dot" w:pos="9350"/>
        </w:tabs>
        <w:rPr>
          <w:rFonts w:ascii="Calibri" w:hAnsi="Calibri"/>
          <w:noProof/>
          <w:sz w:val="22"/>
        </w:rPr>
      </w:pPr>
      <w:hyperlink w:anchor="_Toc256003233" w:history="1">
        <w:r>
          <w:rPr>
            <w:rStyle w:val="Hyperlink"/>
          </w:rPr>
          <w:t>4.</w:t>
        </w:r>
        <w:r>
          <w:rPr>
            <w:rFonts w:ascii="Calibri" w:hAnsi="Calibri"/>
            <w:noProof/>
            <w:sz w:val="22"/>
          </w:rPr>
          <w:tab/>
        </w:r>
        <w:r>
          <w:rPr>
            <w:rStyle w:val="Hyperlink"/>
          </w:rPr>
          <w:t>关联交易</w:t>
        </w:r>
        <w:r>
          <w:tab/>
        </w:r>
        <w:r>
          <w:fldChar w:fldCharType="begin"/>
        </w:r>
        <w:r>
          <w:instrText xml:space="preserve"> PAGEREF _Toc256003233 \h </w:instrText>
        </w:r>
        <w:r>
          <w:fldChar w:fldCharType="separate"/>
        </w:r>
        <w:r>
          <w:t>18</w:t>
        </w:r>
        <w:r>
          <w:fldChar w:fldCharType="end"/>
        </w:r>
      </w:hyperlink>
    </w:p>
    <w:p>
      <w:pPr>
        <w:pStyle w:val="TOC2"/>
        <w:tabs>
          <w:tab w:val="left" w:pos="1100"/>
          <w:tab w:val="right" w:leader="dot" w:pos="9350"/>
        </w:tabs>
        <w:rPr>
          <w:rFonts w:ascii="Calibri" w:hAnsi="Calibri"/>
          <w:noProof/>
          <w:sz w:val="22"/>
        </w:rPr>
      </w:pPr>
      <w:hyperlink w:anchor="_Toc256003234" w:history="1">
        <w:r>
          <w:rPr>
            <w:rStyle w:val="Hyperlink"/>
          </w:rPr>
          <w:t>4.1.</w:t>
        </w:r>
        <w:r>
          <w:rPr>
            <w:rFonts w:ascii="Calibri" w:hAnsi="Calibri"/>
            <w:noProof/>
            <w:sz w:val="22"/>
          </w:rPr>
          <w:tab/>
        </w:r>
        <w:r>
          <w:rPr>
            <w:rStyle w:val="Hyperlink"/>
          </w:rPr>
          <w:t>关联方信息</w:t>
        </w:r>
        <w:r>
          <w:tab/>
        </w:r>
        <w:r>
          <w:fldChar w:fldCharType="begin"/>
        </w:r>
        <w:r>
          <w:instrText xml:space="preserve"> PAGEREF _Toc256003234 \h </w:instrText>
        </w:r>
        <w:r>
          <w:fldChar w:fldCharType="separate"/>
        </w:r>
        <w:r>
          <w:t>18</w:t>
        </w:r>
        <w:r>
          <w:fldChar w:fldCharType="end"/>
        </w:r>
      </w:hyperlink>
    </w:p>
    <w:p>
      <w:pPr>
        <w:pStyle w:val="TOC2"/>
        <w:tabs>
          <w:tab w:val="left" w:pos="1100"/>
          <w:tab w:val="right" w:leader="dot" w:pos="9350"/>
        </w:tabs>
        <w:rPr>
          <w:rFonts w:ascii="Calibri" w:hAnsi="Calibri"/>
          <w:noProof/>
          <w:sz w:val="22"/>
        </w:rPr>
      </w:pPr>
      <w:hyperlink w:anchor="_Toc256003235" w:history="1">
        <w:r>
          <w:rPr>
            <w:rStyle w:val="Hyperlink"/>
          </w:rPr>
          <w:t>4.2.</w:t>
        </w:r>
        <w:r>
          <w:rPr>
            <w:rFonts w:ascii="Calibri" w:hAnsi="Calibri"/>
            <w:noProof/>
            <w:sz w:val="22"/>
          </w:rPr>
          <w:tab/>
        </w:r>
        <w:r>
          <w:rPr>
            <w:rStyle w:val="Hyperlink"/>
          </w:rPr>
          <w:t>主要关联交易</w:t>
        </w:r>
        <w:r>
          <w:tab/>
        </w:r>
        <w:r>
          <w:fldChar w:fldCharType="begin"/>
        </w:r>
        <w:r>
          <w:instrText xml:space="preserve"> PAGEREF _Toc256003235 \h </w:instrText>
        </w:r>
        <w:r>
          <w:fldChar w:fldCharType="separate"/>
        </w:r>
        <w:r>
          <w:t>18</w:t>
        </w:r>
        <w:r>
          <w:fldChar w:fldCharType="end"/>
        </w:r>
      </w:hyperlink>
    </w:p>
    <w:p>
      <w:pPr>
        <w:pStyle w:val="TOC2"/>
        <w:tabs>
          <w:tab w:val="left" w:pos="1100"/>
          <w:tab w:val="right" w:leader="dot" w:pos="9350"/>
        </w:tabs>
        <w:rPr>
          <w:rFonts w:ascii="Calibri" w:hAnsi="Calibri"/>
          <w:noProof/>
          <w:sz w:val="22"/>
        </w:rPr>
      </w:pPr>
      <w:hyperlink w:anchor="_Toc256003236" w:history="1">
        <w:r>
          <w:rPr>
            <w:rStyle w:val="Hyperlink"/>
          </w:rPr>
          <w:t>4.3.</w:t>
        </w:r>
        <w:r>
          <w:rPr>
            <w:rFonts w:ascii="Calibri" w:hAnsi="Calibri"/>
            <w:noProof/>
            <w:sz w:val="22"/>
          </w:rPr>
          <w:tab/>
        </w:r>
        <w:r>
          <w:rPr>
            <w:rStyle w:val="Hyperlink"/>
          </w:rPr>
          <w:t>关联劳务</w:t>
        </w:r>
        <w:r>
          <w:tab/>
        </w:r>
        <w:r>
          <w:fldChar w:fldCharType="begin"/>
        </w:r>
        <w:r>
          <w:instrText xml:space="preserve"> PAGEREF _Toc256003236 \h </w:instrText>
        </w:r>
        <w:r>
          <w:fldChar w:fldCharType="separate"/>
        </w:r>
        <w:r>
          <w:t>18</w:t>
        </w:r>
        <w:r>
          <w:fldChar w:fldCharType="end"/>
        </w:r>
      </w:hyperlink>
    </w:p>
    <w:p>
      <w:pPr>
        <w:pStyle w:val="TOC2"/>
        <w:tabs>
          <w:tab w:val="left" w:pos="1100"/>
          <w:tab w:val="right" w:leader="dot" w:pos="9350"/>
        </w:tabs>
        <w:rPr>
          <w:rFonts w:ascii="Calibri" w:hAnsi="Calibri"/>
          <w:noProof/>
          <w:sz w:val="22"/>
        </w:rPr>
      </w:pPr>
      <w:hyperlink w:anchor="_Toc256003237" w:history="1">
        <w:r>
          <w:rPr>
            <w:rStyle w:val="Hyperlink"/>
          </w:rPr>
          <w:t>4.4.</w:t>
        </w:r>
        <w:r>
          <w:rPr>
            <w:rFonts w:ascii="Calibri" w:hAnsi="Calibri"/>
            <w:noProof/>
            <w:sz w:val="22"/>
          </w:rPr>
          <w:tab/>
        </w:r>
        <w:r>
          <w:rPr>
            <w:rStyle w:val="Hyperlink"/>
          </w:rPr>
          <w:t>关联租赁</w:t>
        </w:r>
        <w:r>
          <w:tab/>
        </w:r>
        <w:r>
          <w:fldChar w:fldCharType="begin"/>
        </w:r>
        <w:r>
          <w:instrText xml:space="preserve"> PAGEREF _Toc256003237 \h </w:instrText>
        </w:r>
        <w:r>
          <w:fldChar w:fldCharType="separate"/>
        </w:r>
        <w:r>
          <w:t>19</w:t>
        </w:r>
        <w:r>
          <w:fldChar w:fldCharType="end"/>
        </w:r>
      </w:hyperlink>
    </w:p>
    <w:p>
      <w:pPr>
        <w:pStyle w:val="TOC2"/>
        <w:tabs>
          <w:tab w:val="left" w:pos="1100"/>
          <w:tab w:val="right" w:leader="dot" w:pos="9350"/>
        </w:tabs>
        <w:rPr>
          <w:rFonts w:ascii="Calibri" w:hAnsi="Calibri"/>
          <w:noProof/>
          <w:sz w:val="22"/>
        </w:rPr>
      </w:pPr>
      <w:hyperlink w:anchor="_Toc256003238" w:history="1">
        <w:r>
          <w:rPr>
            <w:rStyle w:val="Hyperlink"/>
          </w:rPr>
          <w:t>4.5.</w:t>
        </w:r>
        <w:r>
          <w:rPr>
            <w:rFonts w:ascii="Calibri" w:hAnsi="Calibri"/>
            <w:noProof/>
            <w:sz w:val="22"/>
          </w:rPr>
          <w:tab/>
        </w:r>
        <w:r>
          <w:rPr>
            <w:rStyle w:val="Hyperlink"/>
          </w:rPr>
          <w:t>关联交易合同及执行汇总</w:t>
        </w:r>
        <w:r>
          <w:tab/>
        </w:r>
        <w:r>
          <w:fldChar w:fldCharType="begin"/>
        </w:r>
        <w:r>
          <w:instrText xml:space="preserve"> PAGEREF _Toc256003238 \h </w:instrText>
        </w:r>
        <w:r>
          <w:fldChar w:fldCharType="separate"/>
        </w:r>
        <w:r>
          <w:t>19</w:t>
        </w:r>
        <w:r>
          <w:fldChar w:fldCharType="end"/>
        </w:r>
      </w:hyperlink>
    </w:p>
    <w:p>
      <w:pPr>
        <w:pStyle w:val="TOC2"/>
        <w:tabs>
          <w:tab w:val="left" w:pos="1100"/>
          <w:tab w:val="right" w:leader="dot" w:pos="9350"/>
        </w:tabs>
        <w:rPr>
          <w:rFonts w:ascii="Calibri" w:hAnsi="Calibri"/>
          <w:noProof/>
          <w:sz w:val="22"/>
        </w:rPr>
      </w:pPr>
      <w:hyperlink w:anchor="_Toc256003239" w:history="1">
        <w:r>
          <w:rPr>
            <w:rStyle w:val="Hyperlink"/>
          </w:rPr>
          <w:t>4.6.</w:t>
        </w:r>
        <w:r>
          <w:rPr>
            <w:rFonts w:ascii="Calibri" w:hAnsi="Calibri"/>
            <w:noProof/>
            <w:sz w:val="22"/>
          </w:rPr>
          <w:tab/>
        </w:r>
        <w:r>
          <w:rPr>
            <w:rStyle w:val="Hyperlink"/>
          </w:rPr>
          <w:t>与企业关联交易直接相关的预约定价安排和其他税收裁定</w:t>
        </w:r>
        <w:r>
          <w:tab/>
        </w:r>
        <w:r>
          <w:fldChar w:fldCharType="begin"/>
        </w:r>
        <w:r>
          <w:instrText xml:space="preserve"> PAGEREF _Toc256003239 \h </w:instrText>
        </w:r>
        <w:r>
          <w:fldChar w:fldCharType="separate"/>
        </w:r>
        <w:r>
          <w:t>19</w:t>
        </w:r>
        <w:r>
          <w:fldChar w:fldCharType="end"/>
        </w:r>
      </w:hyperlink>
    </w:p>
    <w:p>
      <w:pPr>
        <w:pStyle w:val="TOC2"/>
        <w:tabs>
          <w:tab w:val="left" w:pos="1100"/>
          <w:tab w:val="right" w:leader="dot" w:pos="9350"/>
        </w:tabs>
        <w:rPr>
          <w:rFonts w:ascii="Calibri" w:hAnsi="Calibri"/>
          <w:noProof/>
          <w:sz w:val="22"/>
        </w:rPr>
      </w:pPr>
      <w:hyperlink w:anchor="_Toc256003240" w:history="1">
        <w:r>
          <w:rPr>
            <w:rStyle w:val="Hyperlink"/>
          </w:rPr>
          <w:t>4.7.</w:t>
        </w:r>
        <w:r>
          <w:rPr>
            <w:rFonts w:ascii="Calibri" w:hAnsi="Calibri"/>
            <w:noProof/>
            <w:sz w:val="22"/>
          </w:rPr>
          <w:tab/>
        </w:r>
        <w:r>
          <w:rPr>
            <w:rStyle w:val="Hyperlink"/>
          </w:rPr>
          <w:t>关联交易财务状况</w:t>
        </w:r>
        <w:r>
          <w:tab/>
        </w:r>
        <w:r>
          <w:fldChar w:fldCharType="begin"/>
        </w:r>
        <w:r>
          <w:instrText xml:space="preserve"> PAGEREF _Toc256003240 \h </w:instrText>
        </w:r>
        <w:r>
          <w:fldChar w:fldCharType="separate"/>
        </w:r>
        <w:r>
          <w:t>19</w:t>
        </w:r>
        <w:r>
          <w:fldChar w:fldCharType="end"/>
        </w:r>
      </w:hyperlink>
    </w:p>
    <w:p>
      <w:pPr>
        <w:pStyle w:val="TOC2"/>
        <w:tabs>
          <w:tab w:val="left" w:pos="1100"/>
          <w:tab w:val="right" w:leader="dot" w:pos="9350"/>
        </w:tabs>
        <w:rPr>
          <w:rFonts w:ascii="Calibri" w:hAnsi="Calibri"/>
          <w:noProof/>
          <w:sz w:val="22"/>
        </w:rPr>
      </w:pPr>
      <w:hyperlink w:anchor="_Toc256003241" w:history="1">
        <w:r>
          <w:rPr>
            <w:rStyle w:val="Hyperlink"/>
          </w:rPr>
          <w:t>4.8.</w:t>
        </w:r>
        <w:r>
          <w:rPr>
            <w:rFonts w:ascii="Calibri" w:hAnsi="Calibri"/>
            <w:noProof/>
            <w:sz w:val="22"/>
          </w:rPr>
          <w:tab/>
        </w:r>
        <w:r>
          <w:rPr>
            <w:rStyle w:val="Hyperlink"/>
          </w:rPr>
          <w:t>结论</w:t>
        </w:r>
        <w:r>
          <w:tab/>
        </w:r>
        <w:r>
          <w:fldChar w:fldCharType="begin"/>
        </w:r>
        <w:r>
          <w:instrText xml:space="preserve"> PAGEREF _Toc256003241 \h </w:instrText>
        </w:r>
        <w:r>
          <w:fldChar w:fldCharType="separate"/>
        </w:r>
        <w:r>
          <w:t>19</w:t>
        </w:r>
        <w:r>
          <w:fldChar w:fldCharType="end"/>
        </w:r>
      </w:hyperlink>
    </w:p>
    <w:p>
      <w:pPr>
        <w:pStyle w:val="TOC1"/>
        <w:tabs>
          <w:tab w:val="left" w:pos="480"/>
          <w:tab w:val="right" w:leader="dot" w:pos="9350"/>
        </w:tabs>
        <w:rPr>
          <w:rFonts w:ascii="Calibri" w:hAnsi="Calibri"/>
          <w:noProof/>
          <w:sz w:val="22"/>
        </w:rPr>
      </w:pPr>
      <w:hyperlink w:anchor="_Toc256003242" w:history="1">
        <w:r>
          <w:rPr>
            <w:rStyle w:val="Hyperlink"/>
          </w:rPr>
          <w:t>5.</w:t>
        </w:r>
        <w:r>
          <w:rPr>
            <w:rFonts w:ascii="Calibri" w:hAnsi="Calibri"/>
            <w:noProof/>
            <w:sz w:val="22"/>
          </w:rPr>
          <w:tab/>
        </w:r>
        <w:r>
          <w:rPr>
            <w:rStyle w:val="Hyperlink"/>
          </w:rPr>
          <w:t>功能和风险分析</w:t>
        </w:r>
        <w:r>
          <w:tab/>
        </w:r>
        <w:r>
          <w:fldChar w:fldCharType="begin"/>
        </w:r>
        <w:r>
          <w:instrText xml:space="preserve"> PAGEREF _Toc256003242 \h </w:instrText>
        </w:r>
        <w:r>
          <w:fldChar w:fldCharType="separate"/>
        </w:r>
        <w:r>
          <w:t>25</w:t>
        </w:r>
        <w:r>
          <w:fldChar w:fldCharType="end"/>
        </w:r>
      </w:hyperlink>
    </w:p>
    <w:p>
      <w:pPr>
        <w:pStyle w:val="TOC2"/>
        <w:tabs>
          <w:tab w:val="left" w:pos="1100"/>
          <w:tab w:val="right" w:leader="dot" w:pos="9350"/>
        </w:tabs>
        <w:rPr>
          <w:rFonts w:ascii="Calibri" w:hAnsi="Calibri"/>
          <w:noProof/>
          <w:sz w:val="22"/>
        </w:rPr>
      </w:pPr>
      <w:hyperlink w:anchor="_Toc256003243" w:history="1">
        <w:r>
          <w:rPr>
            <w:rStyle w:val="Hyperlink"/>
          </w:rPr>
          <w:t>5.1.</w:t>
        </w:r>
        <w:r>
          <w:rPr>
            <w:rFonts w:ascii="Calibri" w:hAnsi="Calibri"/>
            <w:noProof/>
            <w:sz w:val="22"/>
          </w:rPr>
          <w:tab/>
        </w:r>
        <w:r>
          <w:rPr>
            <w:rStyle w:val="Hyperlink"/>
          </w:rPr>
          <w:t>简介</w:t>
        </w:r>
        <w:r>
          <w:tab/>
        </w:r>
        <w:r>
          <w:fldChar w:fldCharType="begin"/>
        </w:r>
        <w:r>
          <w:instrText xml:space="preserve"> PAGEREF _Toc256003243 \h </w:instrText>
        </w:r>
        <w:r>
          <w:fldChar w:fldCharType="separate"/>
        </w:r>
        <w:r>
          <w:t>25</w:t>
        </w:r>
        <w:r>
          <w:fldChar w:fldCharType="end"/>
        </w:r>
      </w:hyperlink>
    </w:p>
    <w:p>
      <w:pPr>
        <w:pStyle w:val="TOC2"/>
        <w:tabs>
          <w:tab w:val="left" w:pos="1100"/>
          <w:tab w:val="right" w:leader="dot" w:pos="9350"/>
        </w:tabs>
        <w:rPr>
          <w:rFonts w:ascii="Calibri" w:hAnsi="Calibri"/>
          <w:noProof/>
          <w:sz w:val="22"/>
        </w:rPr>
      </w:pPr>
      <w:hyperlink w:anchor="_Toc256003244" w:history="1">
        <w:r>
          <w:rPr>
            <w:rStyle w:val="Hyperlink"/>
          </w:rPr>
          <w:t>5.2.</w:t>
        </w:r>
        <w:r>
          <w:rPr>
            <w:rFonts w:ascii="Calibri" w:hAnsi="Calibri"/>
            <w:noProof/>
            <w:sz w:val="22"/>
          </w:rPr>
          <w:tab/>
        </w:r>
        <w:r>
          <w:rPr>
            <w:rStyle w:val="Hyperlink"/>
          </w:rPr>
          <w:t>功能及风险分析</w:t>
        </w:r>
        <w:r>
          <w:tab/>
        </w:r>
        <w:r>
          <w:fldChar w:fldCharType="begin"/>
        </w:r>
        <w:r>
          <w:instrText xml:space="preserve"> PAGEREF _Toc256003244 \h </w:instrText>
        </w:r>
        <w:r>
          <w:fldChar w:fldCharType="separate"/>
        </w:r>
        <w:r>
          <w:t>25</w:t>
        </w:r>
        <w:r>
          <w:fldChar w:fldCharType="end"/>
        </w:r>
      </w:hyperlink>
    </w:p>
    <w:p>
      <w:pPr>
        <w:pStyle w:val="TOC3"/>
        <w:tabs>
          <w:tab w:val="left" w:pos="1540"/>
          <w:tab w:val="right" w:leader="dot" w:pos="9350"/>
        </w:tabs>
        <w:rPr>
          <w:rFonts w:ascii="Calibri" w:hAnsi="Calibri"/>
          <w:noProof/>
          <w:sz w:val="22"/>
        </w:rPr>
      </w:pPr>
      <w:hyperlink w:anchor="_Toc256003245" w:history="1">
        <w:r>
          <w:rPr>
            <w:rStyle w:val="Hyperlink"/>
          </w:rPr>
          <w:t>5.2.1.</w:t>
        </w:r>
        <w:r>
          <w:rPr>
            <w:rFonts w:ascii="Calibri" w:hAnsi="Calibri"/>
            <w:noProof/>
            <w:sz w:val="22"/>
          </w:rPr>
          <w:tab/>
        </w:r>
        <w:r>
          <w:rPr>
            <w:rStyle w:val="Hyperlink"/>
          </w:rPr>
          <w:t>功能分析</w:t>
        </w:r>
        <w:r>
          <w:tab/>
        </w:r>
        <w:r>
          <w:fldChar w:fldCharType="begin"/>
        </w:r>
        <w:r>
          <w:instrText xml:space="preserve"> PAGEREF _Toc256003245 \h </w:instrText>
        </w:r>
        <w:r>
          <w:fldChar w:fldCharType="separate"/>
        </w:r>
        <w:r>
          <w:t>25</w:t>
        </w:r>
        <w:r>
          <w:fldChar w:fldCharType="end"/>
        </w:r>
      </w:hyperlink>
    </w:p>
    <w:p>
      <w:pPr>
        <w:pStyle w:val="TOC3"/>
        <w:tabs>
          <w:tab w:val="left" w:pos="1540"/>
          <w:tab w:val="right" w:leader="dot" w:pos="9350"/>
        </w:tabs>
        <w:rPr>
          <w:rFonts w:ascii="Calibri" w:hAnsi="Calibri"/>
          <w:noProof/>
          <w:sz w:val="22"/>
        </w:rPr>
      </w:pPr>
      <w:hyperlink w:anchor="_Toc256003246" w:history="1">
        <w:r>
          <w:rPr>
            <w:rStyle w:val="Hyperlink"/>
          </w:rPr>
          <w:t>5.2.2.</w:t>
        </w:r>
        <w:r>
          <w:rPr>
            <w:rFonts w:ascii="Calibri" w:hAnsi="Calibri"/>
            <w:noProof/>
            <w:sz w:val="22"/>
          </w:rPr>
          <w:tab/>
        </w:r>
        <w:r>
          <w:rPr>
            <w:rStyle w:val="Hyperlink"/>
          </w:rPr>
          <w:t>风险分析</w:t>
        </w:r>
        <w:r>
          <w:tab/>
        </w:r>
        <w:r>
          <w:fldChar w:fldCharType="begin"/>
        </w:r>
        <w:r>
          <w:instrText xml:space="preserve"> PAGEREF _Toc256003246 \h </w:instrText>
        </w:r>
        <w:r>
          <w:fldChar w:fldCharType="separate"/>
        </w:r>
        <w:r>
          <w:t>26</w:t>
        </w:r>
        <w:r>
          <w:fldChar w:fldCharType="end"/>
        </w:r>
      </w:hyperlink>
    </w:p>
    <w:p>
      <w:pPr>
        <w:pStyle w:val="TOC2"/>
        <w:tabs>
          <w:tab w:val="left" w:pos="1100"/>
          <w:tab w:val="right" w:leader="dot" w:pos="9350"/>
        </w:tabs>
        <w:rPr>
          <w:rFonts w:ascii="Calibri" w:hAnsi="Calibri"/>
          <w:noProof/>
          <w:sz w:val="22"/>
        </w:rPr>
      </w:pPr>
      <w:hyperlink w:anchor="_Toc256003247" w:history="1">
        <w:r>
          <w:rPr>
            <w:rStyle w:val="Hyperlink"/>
          </w:rPr>
          <w:t>5.3.</w:t>
        </w:r>
        <w:r>
          <w:rPr>
            <w:rFonts w:ascii="Calibri" w:hAnsi="Calibri"/>
            <w:noProof/>
            <w:sz w:val="22"/>
          </w:rPr>
          <w:tab/>
        </w:r>
        <w:r>
          <w:rPr>
            <w:rStyle w:val="Hyperlink"/>
          </w:rPr>
          <w:t>资产分析</w:t>
        </w:r>
        <w:r>
          <w:tab/>
        </w:r>
        <w:r>
          <w:fldChar w:fldCharType="begin"/>
        </w:r>
        <w:r>
          <w:instrText xml:space="preserve"> PAGEREF _Toc256003247 \h </w:instrText>
        </w:r>
        <w:r>
          <w:fldChar w:fldCharType="separate"/>
        </w:r>
        <w:r>
          <w:t>26</w:t>
        </w:r>
        <w:r>
          <w:fldChar w:fldCharType="end"/>
        </w:r>
      </w:hyperlink>
    </w:p>
    <w:p>
      <w:pPr>
        <w:pStyle w:val="TOC3"/>
        <w:tabs>
          <w:tab w:val="left" w:pos="1540"/>
          <w:tab w:val="right" w:leader="dot" w:pos="9350"/>
        </w:tabs>
        <w:rPr>
          <w:rFonts w:ascii="Calibri" w:hAnsi="Calibri"/>
          <w:noProof/>
          <w:sz w:val="22"/>
        </w:rPr>
      </w:pPr>
      <w:hyperlink w:anchor="_Toc256003248" w:history="1">
        <w:r>
          <w:rPr>
            <w:rStyle w:val="Hyperlink"/>
          </w:rPr>
          <w:t>5.3.1.</w:t>
        </w:r>
        <w:r>
          <w:rPr>
            <w:rFonts w:ascii="Calibri" w:hAnsi="Calibri"/>
            <w:noProof/>
            <w:sz w:val="22"/>
          </w:rPr>
          <w:tab/>
        </w:r>
        <w:r>
          <w:rPr>
            <w:rStyle w:val="Hyperlink"/>
          </w:rPr>
          <w:t>有形资产</w:t>
        </w:r>
        <w:r>
          <w:tab/>
        </w:r>
        <w:r>
          <w:fldChar w:fldCharType="begin"/>
        </w:r>
        <w:r>
          <w:instrText xml:space="preserve"> PAGEREF _Toc256003248 \h </w:instrText>
        </w:r>
        <w:r>
          <w:fldChar w:fldCharType="separate"/>
        </w:r>
        <w:r>
          <w:t>26</w:t>
        </w:r>
        <w:r>
          <w:fldChar w:fldCharType="end"/>
        </w:r>
      </w:hyperlink>
    </w:p>
    <w:p>
      <w:pPr>
        <w:pStyle w:val="TOC3"/>
        <w:tabs>
          <w:tab w:val="left" w:pos="1540"/>
          <w:tab w:val="right" w:leader="dot" w:pos="9350"/>
        </w:tabs>
        <w:rPr>
          <w:rFonts w:ascii="Calibri" w:hAnsi="Calibri"/>
          <w:noProof/>
          <w:sz w:val="22"/>
        </w:rPr>
      </w:pPr>
      <w:hyperlink w:anchor="_Toc256003249" w:history="1">
        <w:r>
          <w:rPr>
            <w:rStyle w:val="Hyperlink"/>
          </w:rPr>
          <w:t>5.3.2.</w:t>
        </w:r>
        <w:r>
          <w:rPr>
            <w:rFonts w:ascii="Calibri" w:hAnsi="Calibri"/>
            <w:noProof/>
            <w:sz w:val="22"/>
          </w:rPr>
          <w:tab/>
        </w:r>
        <w:r>
          <w:rPr>
            <w:rStyle w:val="Hyperlink"/>
          </w:rPr>
          <w:t>无形资产</w:t>
        </w:r>
        <w:r>
          <w:tab/>
        </w:r>
        <w:r>
          <w:fldChar w:fldCharType="begin"/>
        </w:r>
        <w:r>
          <w:instrText xml:space="preserve"> PAGEREF _Toc256003249 \h </w:instrText>
        </w:r>
        <w:r>
          <w:fldChar w:fldCharType="separate"/>
        </w:r>
        <w:r>
          <w:t>26</w:t>
        </w:r>
        <w:r>
          <w:fldChar w:fldCharType="end"/>
        </w:r>
      </w:hyperlink>
    </w:p>
    <w:p>
      <w:pPr>
        <w:pStyle w:val="TOC2"/>
        <w:tabs>
          <w:tab w:val="left" w:pos="1100"/>
          <w:tab w:val="right" w:leader="dot" w:pos="9350"/>
        </w:tabs>
        <w:rPr>
          <w:rFonts w:ascii="Calibri" w:hAnsi="Calibri"/>
          <w:noProof/>
          <w:sz w:val="22"/>
        </w:rPr>
      </w:pPr>
      <w:hyperlink w:anchor="_Toc256003250" w:history="1">
        <w:r>
          <w:rPr>
            <w:rStyle w:val="Hyperlink"/>
          </w:rPr>
          <w:t>5.4.</w:t>
        </w:r>
        <w:r>
          <w:rPr>
            <w:rFonts w:ascii="Calibri" w:hAnsi="Calibri"/>
            <w:noProof/>
            <w:sz w:val="22"/>
          </w:rPr>
          <w:tab/>
        </w:r>
        <w:r>
          <w:rPr>
            <w:rStyle w:val="Hyperlink"/>
          </w:rPr>
          <w:t>小结</w:t>
        </w:r>
        <w:r>
          <w:tab/>
        </w:r>
        <w:r>
          <w:fldChar w:fldCharType="begin"/>
        </w:r>
        <w:r>
          <w:instrText xml:space="preserve"> PAGEREF _Toc256003250 \h </w:instrText>
        </w:r>
        <w:r>
          <w:fldChar w:fldCharType="separate"/>
        </w:r>
        <w:r>
          <w:t>27</w:t>
        </w:r>
        <w:r>
          <w:fldChar w:fldCharType="end"/>
        </w:r>
      </w:hyperlink>
    </w:p>
    <w:p>
      <w:pPr>
        <w:pStyle w:val="TOC1"/>
        <w:tabs>
          <w:tab w:val="left" w:pos="480"/>
          <w:tab w:val="right" w:leader="dot" w:pos="9350"/>
        </w:tabs>
        <w:rPr>
          <w:rFonts w:ascii="Calibri" w:hAnsi="Calibri"/>
          <w:noProof/>
          <w:sz w:val="22"/>
        </w:rPr>
      </w:pPr>
      <w:hyperlink w:anchor="_Toc256003251" w:history="1">
        <w:r>
          <w:rPr>
            <w:rStyle w:val="Hyperlink"/>
          </w:rPr>
          <w:t>6.</w:t>
        </w:r>
        <w:r>
          <w:rPr>
            <w:rFonts w:ascii="Calibri" w:hAnsi="Calibri"/>
            <w:noProof/>
            <w:sz w:val="22"/>
          </w:rPr>
          <w:tab/>
        </w:r>
        <w:r>
          <w:rPr>
            <w:rStyle w:val="Hyperlink"/>
          </w:rPr>
          <w:t>价值链分析</w:t>
        </w:r>
        <w:r>
          <w:tab/>
        </w:r>
        <w:r>
          <w:fldChar w:fldCharType="begin"/>
        </w:r>
        <w:r>
          <w:instrText xml:space="preserve"> PAGEREF _Toc256003251 \h </w:instrText>
        </w:r>
        <w:r>
          <w:fldChar w:fldCharType="separate"/>
        </w:r>
        <w:r>
          <w:t>28</w:t>
        </w:r>
        <w:r>
          <w:fldChar w:fldCharType="end"/>
        </w:r>
      </w:hyperlink>
    </w:p>
    <w:p>
      <w:pPr>
        <w:pStyle w:val="TOC2"/>
        <w:tabs>
          <w:tab w:val="left" w:pos="1100"/>
          <w:tab w:val="right" w:leader="dot" w:pos="9350"/>
        </w:tabs>
        <w:rPr>
          <w:rFonts w:ascii="Calibri" w:hAnsi="Calibri"/>
          <w:noProof/>
          <w:sz w:val="22"/>
        </w:rPr>
      </w:pPr>
      <w:hyperlink w:anchor="_Toc256003252" w:history="1">
        <w:r>
          <w:rPr>
            <w:rStyle w:val="Hyperlink"/>
          </w:rPr>
          <w:t>6.1.</w:t>
        </w:r>
        <w:r>
          <w:rPr>
            <w:rFonts w:ascii="Calibri" w:hAnsi="Calibri"/>
            <w:noProof/>
            <w:sz w:val="22"/>
          </w:rPr>
          <w:tab/>
        </w:r>
        <w:r>
          <w:rPr>
            <w:rStyle w:val="Hyperlink"/>
          </w:rPr>
          <w:t>确定关键价值驱动因素</w:t>
        </w:r>
        <w:r>
          <w:tab/>
        </w:r>
        <w:r>
          <w:fldChar w:fldCharType="begin"/>
        </w:r>
        <w:r>
          <w:instrText xml:space="preserve"> PAGEREF _Toc256003252 \h </w:instrText>
        </w:r>
        <w:r>
          <w:fldChar w:fldCharType="separate"/>
        </w:r>
        <w:r>
          <w:t>28</w:t>
        </w:r>
        <w:r>
          <w:fldChar w:fldCharType="end"/>
        </w:r>
      </w:hyperlink>
    </w:p>
    <w:p>
      <w:pPr>
        <w:pStyle w:val="TOC2"/>
        <w:tabs>
          <w:tab w:val="left" w:pos="1100"/>
          <w:tab w:val="right" w:leader="dot" w:pos="9350"/>
        </w:tabs>
        <w:rPr>
          <w:rFonts w:ascii="Calibri" w:hAnsi="Calibri"/>
          <w:noProof/>
          <w:sz w:val="22"/>
        </w:rPr>
      </w:pPr>
      <w:hyperlink w:anchor="_Toc256003253" w:history="1">
        <w:r>
          <w:rPr>
            <w:rStyle w:val="Hyperlink"/>
          </w:rPr>
          <w:t>6.2.</w:t>
        </w:r>
        <w:r>
          <w:rPr>
            <w:rFonts w:ascii="Calibri" w:hAnsi="Calibri"/>
            <w:noProof/>
            <w:sz w:val="22"/>
          </w:rPr>
          <w:tab/>
        </w:r>
        <w:r>
          <w:rPr>
            <w:rStyle w:val="Hyperlink"/>
          </w:rPr>
          <w:t>集团价值链</w:t>
        </w:r>
        <w:r>
          <w:tab/>
        </w:r>
        <w:r>
          <w:fldChar w:fldCharType="begin"/>
        </w:r>
        <w:r>
          <w:instrText xml:space="preserve"> PAGEREF _Toc256003253 \h </w:instrText>
        </w:r>
        <w:r>
          <w:fldChar w:fldCharType="separate"/>
        </w:r>
        <w:r>
          <w:t>28</w:t>
        </w:r>
        <w:r>
          <w:fldChar w:fldCharType="end"/>
        </w:r>
      </w:hyperlink>
    </w:p>
    <w:p>
      <w:pPr>
        <w:pStyle w:val="TOC2"/>
        <w:tabs>
          <w:tab w:val="left" w:pos="1100"/>
          <w:tab w:val="right" w:leader="dot" w:pos="9350"/>
        </w:tabs>
        <w:rPr>
          <w:rFonts w:ascii="Calibri" w:hAnsi="Calibri"/>
          <w:noProof/>
          <w:sz w:val="22"/>
        </w:rPr>
      </w:pPr>
      <w:hyperlink w:anchor="_Toc256003254" w:history="1">
        <w:r>
          <w:rPr>
            <w:rStyle w:val="Hyperlink"/>
          </w:rPr>
          <w:t>6.3.</w:t>
        </w:r>
        <w:r>
          <w:rPr>
            <w:rFonts w:ascii="Calibri" w:hAnsi="Calibri"/>
            <w:noProof/>
            <w:sz w:val="22"/>
          </w:rPr>
          <w:tab/>
        </w:r>
        <w:r>
          <w:rPr>
            <w:rStyle w:val="Hyperlink"/>
          </w:rPr>
          <w:t>交易定价影响要素</w:t>
        </w:r>
        <w:r>
          <w:tab/>
        </w:r>
        <w:r>
          <w:fldChar w:fldCharType="begin"/>
        </w:r>
        <w:r>
          <w:instrText xml:space="preserve"> PAGEREF _Toc256003254 \h </w:instrText>
        </w:r>
        <w:r>
          <w:fldChar w:fldCharType="separate"/>
        </w:r>
        <w:r>
          <w:t>29</w:t>
        </w:r>
        <w:r>
          <w:fldChar w:fldCharType="end"/>
        </w:r>
      </w:hyperlink>
    </w:p>
    <w:p>
      <w:pPr>
        <w:pStyle w:val="TOC3"/>
        <w:tabs>
          <w:tab w:val="left" w:pos="1540"/>
          <w:tab w:val="right" w:leader="dot" w:pos="9350"/>
        </w:tabs>
        <w:rPr>
          <w:rFonts w:ascii="Calibri" w:hAnsi="Calibri"/>
          <w:noProof/>
          <w:sz w:val="22"/>
        </w:rPr>
      </w:pPr>
      <w:hyperlink w:anchor="_Toc256003255" w:history="1">
        <w:r>
          <w:rPr>
            <w:rStyle w:val="Hyperlink"/>
          </w:rPr>
          <w:t>6.3.1.</w:t>
        </w:r>
        <w:r>
          <w:rPr>
            <w:rFonts w:ascii="Calibri" w:hAnsi="Calibri"/>
            <w:noProof/>
            <w:sz w:val="22"/>
          </w:rPr>
          <w:tab/>
        </w:r>
        <w:r>
          <w:rPr>
            <w:rStyle w:val="Hyperlink"/>
          </w:rPr>
          <w:t>市场溢价</w:t>
        </w:r>
        <w:r>
          <w:tab/>
        </w:r>
        <w:r>
          <w:fldChar w:fldCharType="begin"/>
        </w:r>
        <w:r>
          <w:instrText xml:space="preserve"> PAGEREF _Toc256003255 \h </w:instrText>
        </w:r>
        <w:r>
          <w:fldChar w:fldCharType="separate"/>
        </w:r>
        <w:r>
          <w:t>30</w:t>
        </w:r>
        <w:r>
          <w:fldChar w:fldCharType="end"/>
        </w:r>
      </w:hyperlink>
    </w:p>
    <w:p>
      <w:pPr>
        <w:pStyle w:val="TOC2"/>
        <w:tabs>
          <w:tab w:val="left" w:pos="1100"/>
          <w:tab w:val="right" w:leader="dot" w:pos="9350"/>
        </w:tabs>
        <w:rPr>
          <w:rFonts w:ascii="Calibri" w:hAnsi="Calibri"/>
          <w:noProof/>
          <w:sz w:val="22"/>
        </w:rPr>
      </w:pPr>
      <w:hyperlink w:anchor="_Toc256003256" w:history="1">
        <w:r>
          <w:rPr>
            <w:rStyle w:val="Hyperlink"/>
          </w:rPr>
          <w:t>6.4.</w:t>
        </w:r>
        <w:r>
          <w:rPr>
            <w:rFonts w:ascii="Calibri" w:hAnsi="Calibri"/>
            <w:noProof/>
            <w:sz w:val="22"/>
          </w:rPr>
          <w:tab/>
        </w:r>
        <w:r>
          <w:rPr>
            <w:rStyle w:val="Hyperlink"/>
          </w:rPr>
          <w:t>价值链各参与方财务报表</w:t>
        </w:r>
        <w:r>
          <w:tab/>
        </w:r>
        <w:r>
          <w:fldChar w:fldCharType="begin"/>
        </w:r>
        <w:r>
          <w:instrText xml:space="preserve"> PAGEREF _Toc256003256 \h </w:instrText>
        </w:r>
        <w:r>
          <w:fldChar w:fldCharType="separate"/>
        </w:r>
        <w:r>
          <w:t>30</w:t>
        </w:r>
        <w:r>
          <w:fldChar w:fldCharType="end"/>
        </w:r>
      </w:hyperlink>
    </w:p>
    <w:p>
      <w:pPr>
        <w:pStyle w:val="TOC1"/>
        <w:tabs>
          <w:tab w:val="left" w:pos="480"/>
          <w:tab w:val="right" w:leader="dot" w:pos="9350"/>
        </w:tabs>
        <w:rPr>
          <w:rFonts w:ascii="Calibri" w:hAnsi="Calibri"/>
          <w:noProof/>
          <w:sz w:val="22"/>
        </w:rPr>
      </w:pPr>
      <w:hyperlink w:anchor="_Toc256003257" w:history="1">
        <w:r>
          <w:rPr>
            <w:rStyle w:val="Hyperlink"/>
          </w:rPr>
          <w:t>7.</w:t>
        </w:r>
        <w:r>
          <w:rPr>
            <w:rFonts w:ascii="Calibri" w:hAnsi="Calibri"/>
            <w:noProof/>
            <w:sz w:val="22"/>
          </w:rPr>
          <w:tab/>
        </w:r>
        <w:r>
          <w:rPr>
            <w:rStyle w:val="Hyperlink"/>
          </w:rPr>
          <w:t>可比性分析</w:t>
        </w:r>
        <w:r>
          <w:tab/>
        </w:r>
        <w:r>
          <w:fldChar w:fldCharType="begin"/>
        </w:r>
        <w:r>
          <w:instrText xml:space="preserve"> PAGEREF _Toc256003257 \h </w:instrText>
        </w:r>
        <w:r>
          <w:fldChar w:fldCharType="separate"/>
        </w:r>
        <w:r>
          <w:t>32</w:t>
        </w:r>
        <w:r>
          <w:fldChar w:fldCharType="end"/>
        </w:r>
      </w:hyperlink>
    </w:p>
    <w:p>
      <w:pPr>
        <w:pStyle w:val="TOC2"/>
        <w:tabs>
          <w:tab w:val="left" w:pos="1100"/>
          <w:tab w:val="right" w:leader="dot" w:pos="9350"/>
        </w:tabs>
        <w:rPr>
          <w:rFonts w:ascii="Calibri" w:hAnsi="Calibri"/>
          <w:noProof/>
          <w:sz w:val="22"/>
        </w:rPr>
      </w:pPr>
      <w:hyperlink w:anchor="_Toc256003258" w:history="1">
        <w:r>
          <w:rPr>
            <w:rStyle w:val="Hyperlink"/>
          </w:rPr>
          <w:t>7.1.</w:t>
        </w:r>
        <w:r>
          <w:rPr>
            <w:rFonts w:ascii="Calibri" w:hAnsi="Calibri"/>
            <w:noProof/>
            <w:sz w:val="22"/>
          </w:rPr>
          <w:tab/>
        </w:r>
        <w:r>
          <w:rPr>
            <w:rStyle w:val="Hyperlink"/>
          </w:rPr>
          <w:t>简介</w:t>
        </w:r>
        <w:r>
          <w:tab/>
        </w:r>
        <w:r>
          <w:fldChar w:fldCharType="begin"/>
        </w:r>
        <w:r>
          <w:instrText xml:space="preserve"> PAGEREF _Toc256003258 \h </w:instrText>
        </w:r>
        <w:r>
          <w:fldChar w:fldCharType="separate"/>
        </w:r>
        <w:r>
          <w:t>32</w:t>
        </w:r>
        <w:r>
          <w:fldChar w:fldCharType="end"/>
        </w:r>
      </w:hyperlink>
    </w:p>
    <w:p>
      <w:pPr>
        <w:pStyle w:val="TOC2"/>
        <w:tabs>
          <w:tab w:val="left" w:pos="1100"/>
          <w:tab w:val="right" w:leader="dot" w:pos="9350"/>
        </w:tabs>
        <w:rPr>
          <w:rFonts w:ascii="Calibri" w:hAnsi="Calibri"/>
          <w:noProof/>
          <w:sz w:val="22"/>
        </w:rPr>
      </w:pPr>
      <w:hyperlink w:anchor="_Toc256003259" w:history="1">
        <w:r>
          <w:rPr>
            <w:rStyle w:val="Hyperlink"/>
          </w:rPr>
          <w:t>7.2.</w:t>
        </w:r>
        <w:r>
          <w:rPr>
            <w:rFonts w:ascii="Calibri" w:hAnsi="Calibri"/>
            <w:noProof/>
            <w:sz w:val="22"/>
          </w:rPr>
          <w:tab/>
        </w:r>
        <w:r>
          <w:rPr>
            <w:rStyle w:val="Hyperlink"/>
          </w:rPr>
          <w:t>转让定价方法的选择</w:t>
        </w:r>
        <w:r>
          <w:tab/>
        </w:r>
        <w:r>
          <w:fldChar w:fldCharType="begin"/>
        </w:r>
        <w:r>
          <w:instrText xml:space="preserve"> PAGEREF _Toc256003259 \h </w:instrText>
        </w:r>
        <w:r>
          <w:fldChar w:fldCharType="separate"/>
        </w:r>
        <w:r>
          <w:t>32</w:t>
        </w:r>
        <w:r>
          <w:fldChar w:fldCharType="end"/>
        </w:r>
      </w:hyperlink>
    </w:p>
    <w:p>
      <w:pPr>
        <w:pStyle w:val="TOC2"/>
        <w:tabs>
          <w:tab w:val="left" w:pos="1100"/>
          <w:tab w:val="right" w:leader="dot" w:pos="9350"/>
        </w:tabs>
        <w:rPr>
          <w:rFonts w:ascii="Calibri" w:hAnsi="Calibri"/>
          <w:noProof/>
          <w:sz w:val="22"/>
        </w:rPr>
      </w:pPr>
      <w:hyperlink w:anchor="_Toc256003260" w:history="1">
        <w:r>
          <w:rPr>
            <w:rStyle w:val="Hyperlink"/>
          </w:rPr>
          <w:t>7.3.</w:t>
        </w:r>
        <w:r>
          <w:rPr>
            <w:rFonts w:ascii="Calibri" w:hAnsi="Calibri"/>
            <w:noProof/>
            <w:sz w:val="22"/>
          </w:rPr>
          <w:tab/>
        </w:r>
        <w:r>
          <w:rPr>
            <w:rStyle w:val="Hyperlink"/>
          </w:rPr>
          <w:t>验证对象的选择</w:t>
        </w:r>
        <w:r>
          <w:tab/>
        </w:r>
        <w:r>
          <w:fldChar w:fldCharType="begin"/>
        </w:r>
        <w:r>
          <w:instrText xml:space="preserve"> PAGEREF _Toc256003260 \h </w:instrText>
        </w:r>
        <w:r>
          <w:fldChar w:fldCharType="separate"/>
        </w:r>
        <w:r>
          <w:t>32</w:t>
        </w:r>
        <w:r>
          <w:fldChar w:fldCharType="end"/>
        </w:r>
      </w:hyperlink>
    </w:p>
    <w:p>
      <w:pPr>
        <w:pStyle w:val="TOC2"/>
        <w:tabs>
          <w:tab w:val="left" w:pos="1100"/>
          <w:tab w:val="right" w:leader="dot" w:pos="9350"/>
        </w:tabs>
        <w:rPr>
          <w:rFonts w:ascii="Calibri" w:hAnsi="Calibri"/>
          <w:noProof/>
          <w:sz w:val="22"/>
        </w:rPr>
      </w:pPr>
      <w:hyperlink w:anchor="_Toc256003261" w:history="1">
        <w:r>
          <w:rPr>
            <w:rStyle w:val="Hyperlink"/>
          </w:rPr>
          <w:t>7.4.</w:t>
        </w:r>
        <w:r>
          <w:rPr>
            <w:rFonts w:ascii="Calibri" w:hAnsi="Calibri"/>
            <w:noProof/>
            <w:sz w:val="22"/>
          </w:rPr>
          <w:tab/>
        </w:r>
        <w:r>
          <w:rPr>
            <w:rStyle w:val="Hyperlink"/>
          </w:rPr>
          <w:t>转让定价方法的应用</w:t>
        </w:r>
        <w:r>
          <w:tab/>
        </w:r>
        <w:r>
          <w:fldChar w:fldCharType="begin"/>
        </w:r>
        <w:r>
          <w:instrText xml:space="preserve"> PAGEREF _Toc256003261 \h </w:instrText>
        </w:r>
        <w:r>
          <w:fldChar w:fldCharType="separate"/>
        </w:r>
        <w:r>
          <w:t>33</w:t>
        </w:r>
        <w:r>
          <w:fldChar w:fldCharType="end"/>
        </w:r>
      </w:hyperlink>
    </w:p>
    <w:p>
      <w:pPr>
        <w:pStyle w:val="TOC3"/>
        <w:tabs>
          <w:tab w:val="left" w:pos="1540"/>
          <w:tab w:val="right" w:leader="dot" w:pos="9350"/>
        </w:tabs>
        <w:rPr>
          <w:rFonts w:ascii="Calibri" w:hAnsi="Calibri"/>
          <w:noProof/>
          <w:sz w:val="22"/>
        </w:rPr>
      </w:pPr>
      <w:hyperlink w:anchor="_Toc256003262" w:history="1">
        <w:r>
          <w:rPr>
            <w:rStyle w:val="Hyperlink"/>
          </w:rPr>
          <w:t>7.4.1.</w:t>
        </w:r>
        <w:r>
          <w:rPr>
            <w:rFonts w:ascii="Calibri" w:hAnsi="Calibri"/>
            <w:noProof/>
            <w:sz w:val="22"/>
          </w:rPr>
          <w:tab/>
        </w:r>
        <w:r>
          <w:rPr>
            <w:rStyle w:val="Hyperlink"/>
          </w:rPr>
          <w:t>概述</w:t>
        </w:r>
        <w:r>
          <w:tab/>
        </w:r>
        <w:r>
          <w:fldChar w:fldCharType="begin"/>
        </w:r>
        <w:r>
          <w:instrText xml:space="preserve"> PAGEREF _Toc256003262 \h </w:instrText>
        </w:r>
        <w:r>
          <w:fldChar w:fldCharType="separate"/>
        </w:r>
        <w:r>
          <w:t>33</w:t>
        </w:r>
        <w:r>
          <w:fldChar w:fldCharType="end"/>
        </w:r>
      </w:hyperlink>
    </w:p>
    <w:p>
      <w:pPr>
        <w:pStyle w:val="TOC3"/>
        <w:tabs>
          <w:tab w:val="left" w:pos="1540"/>
          <w:tab w:val="right" w:leader="dot" w:pos="9350"/>
        </w:tabs>
        <w:rPr>
          <w:rFonts w:ascii="Calibri" w:hAnsi="Calibri"/>
          <w:noProof/>
          <w:sz w:val="22"/>
        </w:rPr>
      </w:pPr>
      <w:hyperlink w:anchor="_Toc256003263" w:history="1">
        <w:r>
          <w:rPr>
            <w:rStyle w:val="Hyperlink"/>
          </w:rPr>
          <w:t>7.4.2.</w:t>
        </w:r>
        <w:r>
          <w:rPr>
            <w:rFonts w:ascii="Calibri" w:hAnsi="Calibri"/>
            <w:noProof/>
            <w:sz w:val="22"/>
          </w:rPr>
          <w:tab/>
        </w:r>
        <w:r>
          <w:rPr>
            <w:rStyle w:val="Hyperlink"/>
          </w:rPr>
          <w:t>确定与受测关联交易相关的财务数据</w:t>
        </w:r>
        <w:r>
          <w:tab/>
        </w:r>
        <w:r>
          <w:fldChar w:fldCharType="begin"/>
        </w:r>
        <w:r>
          <w:instrText xml:space="preserve"> PAGEREF _Toc256003263 \h </w:instrText>
        </w:r>
        <w:r>
          <w:fldChar w:fldCharType="separate"/>
        </w:r>
        <w:r>
          <w:t>33</w:t>
        </w:r>
        <w:r>
          <w:fldChar w:fldCharType="end"/>
        </w:r>
      </w:hyperlink>
    </w:p>
    <w:p>
      <w:pPr>
        <w:pStyle w:val="TOC3"/>
        <w:tabs>
          <w:tab w:val="left" w:pos="1540"/>
          <w:tab w:val="right" w:leader="dot" w:pos="9350"/>
        </w:tabs>
        <w:rPr>
          <w:rFonts w:ascii="Calibri" w:hAnsi="Calibri"/>
          <w:noProof/>
          <w:sz w:val="22"/>
        </w:rPr>
      </w:pPr>
      <w:hyperlink w:anchor="_Toc256003264" w:history="1">
        <w:r>
          <w:rPr>
            <w:rStyle w:val="Hyperlink"/>
          </w:rPr>
          <w:t>7.4.3.</w:t>
        </w:r>
        <w:r>
          <w:rPr>
            <w:rFonts w:ascii="Calibri" w:hAnsi="Calibri"/>
            <w:noProof/>
            <w:sz w:val="22"/>
          </w:rPr>
          <w:tab/>
        </w:r>
        <w:r>
          <w:rPr>
            <w:rStyle w:val="Hyperlink"/>
          </w:rPr>
          <w:t>搜寻外部可比公司</w:t>
        </w:r>
        <w:r>
          <w:tab/>
        </w:r>
        <w:r>
          <w:fldChar w:fldCharType="begin"/>
        </w:r>
        <w:r>
          <w:instrText xml:space="preserve"> PAGEREF _Toc256003264 \h </w:instrText>
        </w:r>
        <w:r>
          <w:fldChar w:fldCharType="separate"/>
        </w:r>
        <w:r>
          <w:t>33</w:t>
        </w:r>
        <w:r>
          <w:fldChar w:fldCharType="end"/>
        </w:r>
      </w:hyperlink>
    </w:p>
    <w:p>
      <w:pPr>
        <w:pStyle w:val="TOC3"/>
        <w:tabs>
          <w:tab w:val="left" w:pos="1540"/>
          <w:tab w:val="right" w:leader="dot" w:pos="9350"/>
        </w:tabs>
        <w:rPr>
          <w:rFonts w:ascii="Calibri" w:hAnsi="Calibri"/>
          <w:noProof/>
          <w:sz w:val="22"/>
        </w:rPr>
      </w:pPr>
      <w:hyperlink w:anchor="_Toc256003265" w:history="1">
        <w:r>
          <w:rPr>
            <w:rStyle w:val="Hyperlink"/>
          </w:rPr>
          <w:t>7.4.4.</w:t>
        </w:r>
        <w:r>
          <w:rPr>
            <w:rFonts w:ascii="Calibri" w:hAnsi="Calibri"/>
            <w:noProof/>
            <w:sz w:val="22"/>
          </w:rPr>
          <w:tab/>
        </w:r>
        <w:r>
          <w:rPr>
            <w:rStyle w:val="Hyperlink"/>
          </w:rPr>
          <w:t>可比公司利润水平</w:t>
        </w:r>
        <w:r>
          <w:tab/>
        </w:r>
        <w:r>
          <w:fldChar w:fldCharType="begin"/>
        </w:r>
        <w:r>
          <w:instrText xml:space="preserve"> PAGEREF _Toc256003265 \h </w:instrText>
        </w:r>
        <w:r>
          <w:fldChar w:fldCharType="separate"/>
        </w:r>
        <w:r>
          <w:t>34</w:t>
        </w:r>
        <w:r>
          <w:fldChar w:fldCharType="end"/>
        </w:r>
      </w:hyperlink>
    </w:p>
    <w:p>
      <w:pPr>
        <w:sectPr>
          <w:pgMar w:header="720" w:footer="720"/>
          <w:cols w:space="720"/>
        </w:sectPr>
      </w:pPr>
      <w:r>
        <w:fldChar w:fldCharType="end"/>
      </w:r>
    </w:p>
    <w:p>
      <w:pPr>
        <w:pStyle w:val="BodyText"/>
        <w:numPr>
          <w:ilvl w:val="0"/>
          <w:numId w:val="0"/>
        </w:numPr>
      </w:pPr>
    </w:p>
    <w:p>
      <w:pPr>
        <w:pStyle w:val="Heading1"/>
        <w:jc w:val="center"/>
      </w:pPr>
      <w:bookmarkStart w:id="2" w:name="_Toc256003210"/>
      <w:r>
        <w:rPr>
          <w:rFonts w:ascii="微软雅黑" w:eastAsia="微软雅黑" w:hAnsi="微软雅黑" w:cs="微软雅黑"/>
          <w:b/>
          <w:sz w:val="40"/>
        </w:rPr>
        <w:t>服务范围与责任声明</w:t>
      </w:r>
      <w:bookmarkEnd w:id="2"/>
    </w:p>
    <w:p>
      <w:pPr>
        <w:spacing w:before="240" w:after="240"/>
        <w:ind w:left="0" w:right="0" w:firstLine="480"/>
      </w:pPr>
      <w:r>
        <w:rPr>
          <w:rFonts w:ascii="仿宋_GB2312" w:eastAsia="仿宋_GB2312" w:hAnsi="仿宋_GB2312" w:cs="仿宋_GB2312"/>
          <w:sz w:val="23"/>
          <w:szCs w:val="23"/>
        </w:rPr>
        <w:t>以下是</w:t>
      </w:r>
      <w:r>
        <w:rPr>
          <w:rFonts w:ascii="仿宋_GB2312" w:eastAsia="仿宋_GB2312" w:hAnsi="仿宋_GB2312" w:cs="仿宋_GB2312"/>
          <w:sz w:val="23"/>
          <w:szCs w:val="23"/>
        </w:rPr>
        <w:t>上海远化物流有限公司</w:t>
      </w:r>
      <w:r>
        <w:rPr>
          <w:rFonts w:ascii="Arial" w:eastAsia="Arial" w:hAnsi="Arial" w:cs="Arial"/>
          <w:sz w:val="23"/>
          <w:szCs w:val="23"/>
        </w:rPr>
        <w:t>23</w:t>
      </w:r>
      <w:r>
        <w:rPr>
          <w:rFonts w:ascii="仿宋_GB2312" w:eastAsia="仿宋_GB2312" w:hAnsi="仿宋_GB2312" w:cs="仿宋_GB2312"/>
          <w:sz w:val="23"/>
          <w:szCs w:val="23"/>
        </w:rPr>
        <w:t>年度关联交易同期资料本地文档报告内容与</w:t>
      </w:r>
      <w:r>
        <w:rPr>
          <w:rFonts w:ascii="Arial" w:eastAsia="Arial" w:hAnsi="Arial" w:cs="Arial"/>
          <w:sz w:val="23"/>
          <w:szCs w:val="23"/>
        </w:rPr>
        <w:t>[2016]42</w:t>
      </w:r>
      <w:r>
        <w:rPr>
          <w:rFonts w:ascii="仿宋_GB2312" w:eastAsia="仿宋_GB2312" w:hAnsi="仿宋_GB2312" w:cs="仿宋_GB2312"/>
          <w:sz w:val="23"/>
          <w:szCs w:val="23"/>
        </w:rPr>
        <w:t>号公告第十四条规定的本地文档内容对照表。</w:t>
      </w:r>
    </w:p>
    <w:tbl>
      <w:tblPr>
        <w:tblCellSpacing w:w="0" w:type="dxa"/>
        <w:tblInd w:w="105" w:type="dxa"/>
        <w:tblCellMar>
          <w:top w:w="0" w:type="dxa"/>
          <w:left w:w="0" w:type="dxa"/>
          <w:bottom w:w="0" w:type="dxa"/>
          <w:right w:w="0" w:type="dxa"/>
        </w:tblCellMar>
      </w:tblPr>
      <w:tblGrid>
        <w:gridCol w:w="1345"/>
        <w:gridCol w:w="6995"/>
        <w:gridCol w:w="1125"/>
      </w:tblGrid>
      <w:tr>
        <w:tblPrEx>
          <w:tblCellSpacing w:w="0" w:type="dxa"/>
          <w:tblInd w:w="105" w:type="dxa"/>
          <w:tblCellMar>
            <w:top w:w="0" w:type="dxa"/>
            <w:left w:w="0" w:type="dxa"/>
            <w:bottom w:w="0" w:type="dxa"/>
            <w:right w:w="0" w:type="dxa"/>
          </w:tblCellMar>
        </w:tblPrEx>
        <w:trPr>
          <w:trHeight w:val="420"/>
          <w:tblHeader/>
          <w:tblCellSpacing w:w="0" w:type="dxa"/>
        </w:trPr>
        <w:tc>
          <w:tcPr>
            <w:tcW w:w="1200" w:type="dxa"/>
            <w:tcBorders>
              <w:bottom w:val="single" w:sz="6" w:space="0" w:color="000000"/>
            </w:tcBorders>
            <w:shd w:val="clear" w:color="auto" w:fill="002060"/>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FFFFFF"/>
                <w:sz w:val="20"/>
                <w:szCs w:val="20"/>
              </w:rPr>
              <w:t>条文</w:t>
            </w:r>
          </w:p>
        </w:tc>
        <w:tc>
          <w:tcPr>
            <w:tcW w:w="8970" w:type="dxa"/>
            <w:tcBorders>
              <w:bottom w:val="single" w:sz="6" w:space="0" w:color="000000"/>
            </w:tcBorders>
            <w:shd w:val="clear" w:color="auto" w:fill="002060"/>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FFFFFF"/>
                <w:sz w:val="20"/>
                <w:szCs w:val="20"/>
              </w:rPr>
              <w:t>法规要求</w:t>
            </w:r>
          </w:p>
        </w:tc>
        <w:tc>
          <w:tcPr>
            <w:tcW w:w="945" w:type="dxa"/>
            <w:tcBorders>
              <w:bottom w:val="single" w:sz="6" w:space="0" w:color="000000"/>
            </w:tcBorders>
            <w:shd w:val="clear" w:color="auto" w:fill="002060"/>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FFFFFF"/>
                <w:sz w:val="20"/>
                <w:szCs w:val="20"/>
              </w:rPr>
              <w:t>报告索引</w:t>
            </w: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sz w:val="20"/>
                <w:szCs w:val="20"/>
              </w:rPr>
              <w:t>（一）企业概况</w:t>
            </w:r>
          </w:p>
        </w:tc>
        <w:tc>
          <w:tcPr>
            <w:tcW w:w="915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585"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组织结构，包括企业各职能部门的设置、职责范围和雇员数量等；</w:t>
            </w:r>
          </w:p>
        </w:tc>
        <w:tc>
          <w:tcPr>
            <w:tcW w:w="952"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2.2</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585"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管理架构，包括企业各级管理层的汇报对象以及汇报对象主要办公所在地等；</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2.2</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585"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业务描述，包括企业所属行业的发展概况、产业政策、行业限制等影响企业和行业的主要经济和法律问题，主要竞争者等；</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2.2</w:t>
            </w:r>
          </w:p>
          <w:p>
            <w:pPr>
              <w:spacing w:before="60" w:after="60"/>
              <w:ind w:left="0" w:right="0" w:firstLine="0"/>
            </w:pPr>
            <w:r>
              <w:rPr>
                <w:rFonts w:ascii="Arial" w:eastAsia="Arial" w:hAnsi="Arial" w:cs="Arial"/>
                <w:sz w:val="20"/>
                <w:szCs w:val="20"/>
              </w:rPr>
              <w:t>3</w:t>
            </w:r>
          </w:p>
        </w:tc>
      </w:tr>
      <w:tr>
        <w:tblPrEx>
          <w:tblCellSpacing w:w="0" w:type="dxa"/>
          <w:tblInd w:w="105" w:type="dxa"/>
          <w:tblCellMar>
            <w:top w:w="0" w:type="dxa"/>
            <w:left w:w="0" w:type="dxa"/>
            <w:bottom w:w="0" w:type="dxa"/>
            <w:right w:w="0" w:type="dxa"/>
          </w:tblCellMar>
        </w:tblPrEx>
        <w:trPr>
          <w:trHeight w:val="735"/>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585" w:right="0"/>
              <w:jc w:val="left"/>
            </w:pPr>
            <w:r>
              <w:rPr>
                <w:rFonts w:ascii="Arial" w:eastAsia="Arial" w:hAnsi="Arial" w:cs="Arial"/>
                <w:sz w:val="20"/>
                <w:szCs w:val="20"/>
              </w:rPr>
              <w:t>4.</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经营策略，包括企业各部门、各环节的业务流程，运营模式，价值贡献因素等；</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2.2</w:t>
            </w:r>
          </w:p>
          <w:p>
            <w:pPr>
              <w:spacing w:before="60" w:after="60"/>
              <w:ind w:left="0" w:right="0" w:firstLine="0"/>
            </w:pPr>
            <w:r>
              <w:rPr>
                <w:rFonts w:ascii="Arial" w:eastAsia="Arial" w:hAnsi="Arial" w:cs="Arial"/>
                <w:color w:val="000000"/>
                <w:sz w:val="20"/>
                <w:szCs w:val="20"/>
              </w:rPr>
              <w:t>6</w:t>
            </w:r>
          </w:p>
        </w:tc>
      </w:tr>
      <w:tr>
        <w:tblPrEx>
          <w:tblCellSpacing w:w="0" w:type="dxa"/>
          <w:tblInd w:w="105" w:type="dxa"/>
          <w:tblCellMar>
            <w:top w:w="0" w:type="dxa"/>
            <w:left w:w="0" w:type="dxa"/>
            <w:bottom w:w="0" w:type="dxa"/>
            <w:right w:w="0" w:type="dxa"/>
          </w:tblCellMar>
        </w:tblPrEx>
        <w:trPr>
          <w:trHeight w:val="600"/>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585" w:right="0"/>
              <w:jc w:val="left"/>
            </w:pPr>
            <w:r>
              <w:rPr>
                <w:rFonts w:ascii="Arial" w:eastAsia="Arial" w:hAnsi="Arial" w:cs="Arial"/>
                <w:sz w:val="20"/>
                <w:szCs w:val="20"/>
              </w:rPr>
              <w:t>5.</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财务数据，包括企业不同类型业务及产品的收入、成本、费用及利润；</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2.3</w:t>
            </w:r>
          </w:p>
        </w:tc>
      </w:tr>
      <w:tr>
        <w:tblPrEx>
          <w:tblCellSpacing w:w="0" w:type="dxa"/>
          <w:tblInd w:w="105" w:type="dxa"/>
          <w:tblCellMar>
            <w:top w:w="0" w:type="dxa"/>
            <w:left w:w="0" w:type="dxa"/>
            <w:bottom w:w="0" w:type="dxa"/>
            <w:right w:w="0" w:type="dxa"/>
          </w:tblCellMar>
        </w:tblPrEx>
        <w:trPr>
          <w:trHeight w:val="645"/>
          <w:tblCellSpacing w:w="0" w:type="dxa"/>
        </w:trPr>
        <w:tc>
          <w:tcPr>
            <w:vMerge/>
            <w:tcBorders>
              <w:left w:val="single" w:sz="6" w:space="0" w:color="000000"/>
              <w:bottom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585" w:right="0"/>
              <w:jc w:val="left"/>
            </w:pPr>
            <w:r>
              <w:rPr>
                <w:rFonts w:ascii="Arial" w:eastAsia="Arial" w:hAnsi="Arial" w:cs="Arial"/>
                <w:sz w:val="20"/>
                <w:szCs w:val="20"/>
              </w:rPr>
              <w:t>6.</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涉及本企业或者对本企业产生影响的重组或者无形资产转让情况，以及对本企业的影响分析；</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2.4</w:t>
            </w: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sz w:val="20"/>
                <w:szCs w:val="20"/>
              </w:rPr>
              <w:t>（二）关联关系</w:t>
            </w:r>
          </w:p>
        </w:tc>
        <w:tc>
          <w:tcPr>
            <w:tcW w:w="915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52"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4.1</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上述关联方适用的具有所得税性质的税种、税率及相应可享受的税收优惠。</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4.1</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本会计年度内，企业关联关系的变化情况。</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keepNext/>
              <w:spacing w:before="60" w:after="60"/>
              <w:ind w:left="0" w:right="0" w:firstLine="0"/>
            </w:pPr>
            <w:r>
              <w:rPr>
                <w:rFonts w:ascii="Arial" w:eastAsia="Arial" w:hAnsi="Arial" w:cs="Arial"/>
                <w:sz w:val="20"/>
                <w:szCs w:val="20"/>
              </w:rPr>
              <w:t>4.1</w:t>
            </w: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shd w:val="clear" w:color="auto" w:fill="DDEBF7"/>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000000"/>
                <w:sz w:val="20"/>
                <w:szCs w:val="20"/>
              </w:rPr>
              <w:t>（三）关联交易</w:t>
            </w:r>
          </w:p>
          <w:p>
            <w:pPr>
              <w:ind w:firstLine="0"/>
              <w:jc w:val="center"/>
            </w:pPr>
            <w:r>
              <w:rPr>
                <w:rFonts w:ascii="Arial" w:eastAsia="Arial" w:hAnsi="Arial" w:cs="Arial"/>
                <w:b/>
                <w:bCs/>
                <w:color w:val="000000"/>
                <w:sz w:val="20"/>
                <w:szCs w:val="20"/>
              </w:rPr>
              <w:t>1.</w:t>
            </w:r>
            <w:r>
              <w:rPr>
                <w:rFonts w:ascii="仿宋_GB2312" w:eastAsia="仿宋_GB2312" w:hAnsi="仿宋_GB2312" w:cs="仿宋_GB2312"/>
                <w:b/>
                <w:bCs/>
                <w:color w:val="000000"/>
                <w:sz w:val="20"/>
                <w:szCs w:val="20"/>
              </w:rPr>
              <w:t>关联交易概况</w:t>
            </w:r>
          </w:p>
        </w:tc>
        <w:tc>
          <w:tcPr>
            <w:tcW w:w="915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52"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4.2</w:t>
            </w:r>
          </w:p>
          <w:p>
            <w:pPr>
              <w:spacing w:before="60" w:after="60"/>
              <w:ind w:left="0" w:right="0" w:firstLine="0"/>
            </w:pPr>
            <w:r>
              <w:rPr>
                <w:rFonts w:ascii="Arial" w:eastAsia="Arial" w:hAnsi="Arial" w:cs="Arial"/>
                <w:color w:val="000000"/>
                <w:sz w:val="20"/>
                <w:szCs w:val="20"/>
              </w:rPr>
              <w:t>4.3</w:t>
            </w:r>
          </w:p>
          <w:p>
            <w:pPr>
              <w:spacing w:before="60" w:after="60"/>
              <w:ind w:left="0" w:right="0" w:firstLine="0"/>
            </w:pPr>
            <w:r>
              <w:rPr>
                <w:rFonts w:ascii="Arial" w:eastAsia="Arial" w:hAnsi="Arial" w:cs="Arial"/>
                <w:color w:val="000000"/>
                <w:sz w:val="20"/>
                <w:szCs w:val="20"/>
              </w:rPr>
              <w:t>4.4</w:t>
            </w:r>
          </w:p>
          <w:p>
            <w:pPr>
              <w:spacing w:before="60" w:after="60"/>
              <w:ind w:left="0" w:right="0" w:firstLine="0"/>
            </w:pPr>
            <w:r>
              <w:rPr>
                <w:rFonts w:ascii="Arial" w:eastAsia="Arial" w:hAnsi="Arial" w:cs="Arial"/>
                <w:color w:val="000000"/>
                <w:sz w:val="20"/>
                <w:szCs w:val="20"/>
              </w:rPr>
              <w:t>4.5</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关联交易流程，包括关联交易的信息流、物流和资金流，与非关联交易业务流程的异同；</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4.3</w:t>
            </w:r>
          </w:p>
          <w:p>
            <w:pPr>
              <w:spacing w:before="60" w:after="60"/>
              <w:ind w:left="0" w:right="0" w:firstLine="0"/>
            </w:pPr>
            <w:r>
              <w:rPr>
                <w:rFonts w:ascii="Arial" w:eastAsia="Arial" w:hAnsi="Arial" w:cs="Arial"/>
                <w:sz w:val="20"/>
                <w:szCs w:val="20"/>
              </w:rPr>
              <w:t>4.4</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功能风险描述，包括企业及其关联方在各类关联交易中执行的功能、承担的风险和使用的资产；</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5</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4)</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6.3</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5)</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关联交易数据，包括各关联方、各类关联交易涉及的交易金额。分别披露关联交易和非关联交易的收入、成本、费用和利润，不能直接归集的，按照合理比例划分，并说明该划分比例的依据。</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4.2</w:t>
            </w:r>
          </w:p>
          <w:p>
            <w:pPr>
              <w:spacing w:before="60" w:after="60"/>
              <w:ind w:left="0" w:right="0" w:firstLine="0"/>
            </w:pPr>
            <w:r>
              <w:rPr>
                <w:rFonts w:ascii="Arial" w:eastAsia="Arial" w:hAnsi="Arial" w:cs="Arial"/>
                <w:color w:val="000000"/>
                <w:sz w:val="20"/>
                <w:szCs w:val="20"/>
              </w:rPr>
              <w:t>4.3</w:t>
            </w:r>
          </w:p>
          <w:p>
            <w:pPr>
              <w:spacing w:before="60" w:after="60"/>
              <w:ind w:left="0" w:right="0" w:firstLine="0"/>
            </w:pPr>
            <w:r>
              <w:rPr>
                <w:rFonts w:ascii="Arial" w:eastAsia="Arial" w:hAnsi="Arial" w:cs="Arial"/>
                <w:color w:val="000000"/>
                <w:sz w:val="20"/>
                <w:szCs w:val="20"/>
              </w:rPr>
              <w:t>4.4</w:t>
            </w:r>
          </w:p>
          <w:p>
            <w:pPr>
              <w:spacing w:before="60" w:after="60"/>
              <w:ind w:left="0" w:right="0" w:firstLine="0"/>
            </w:pPr>
            <w:r>
              <w:rPr>
                <w:rFonts w:ascii="Arial" w:eastAsia="Arial" w:hAnsi="Arial" w:cs="Arial"/>
                <w:color w:val="000000"/>
                <w:sz w:val="20"/>
                <w:szCs w:val="20"/>
              </w:rPr>
              <w:t>4.5</w:t>
            </w:r>
          </w:p>
          <w:p>
            <w:pPr>
              <w:spacing w:before="60" w:after="60"/>
              <w:ind w:left="0" w:right="0" w:firstLine="0"/>
            </w:pPr>
            <w:r>
              <w:rPr>
                <w:rFonts w:ascii="Arial" w:eastAsia="Arial" w:hAnsi="Arial" w:cs="Arial"/>
                <w:color w:val="000000"/>
                <w:sz w:val="20"/>
                <w:szCs w:val="20"/>
              </w:rPr>
              <w:t>4.6</w:t>
            </w:r>
          </w:p>
          <w:p>
            <w:pPr>
              <w:spacing w:before="60" w:after="60"/>
              <w:ind w:left="0" w:right="0" w:firstLine="0"/>
            </w:pPr>
            <w:r>
              <w:rPr>
                <w:rFonts w:ascii="仿宋_GB2312" w:eastAsia="仿宋_GB2312" w:hAnsi="仿宋_GB2312" w:cs="仿宋_GB2312"/>
                <w:color w:val="000000"/>
                <w:sz w:val="20"/>
                <w:szCs w:val="20"/>
              </w:rPr>
              <w:t>附件</w:t>
            </w:r>
            <w:r>
              <w:rPr>
                <w:rFonts w:ascii="Arial" w:eastAsia="Arial" w:hAnsi="Arial" w:cs="Arial"/>
                <w:color w:val="000000"/>
                <w:sz w:val="20"/>
                <w:szCs w:val="20"/>
              </w:rPr>
              <w:t>2</w:t>
            </w: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sz w:val="20"/>
                <w:szCs w:val="20"/>
              </w:rPr>
              <w:t>（三）关联交易</w:t>
            </w:r>
          </w:p>
          <w:p>
            <w:pPr>
              <w:ind w:firstLine="0"/>
              <w:jc w:val="center"/>
            </w:pPr>
            <w:r>
              <w:rPr>
                <w:rFonts w:ascii="Arial" w:eastAsia="Arial" w:hAnsi="Arial" w:cs="Arial"/>
                <w:b/>
                <w:bCs/>
                <w:sz w:val="20"/>
                <w:szCs w:val="20"/>
              </w:rPr>
              <w:t>2.</w:t>
            </w:r>
            <w:r>
              <w:rPr>
                <w:rFonts w:ascii="仿宋_GB2312" w:eastAsia="仿宋_GB2312" w:hAnsi="仿宋_GB2312" w:cs="仿宋_GB2312"/>
                <w:b/>
                <w:bCs/>
                <w:sz w:val="20"/>
                <w:szCs w:val="20"/>
              </w:rPr>
              <w:t>价值链分析</w:t>
            </w:r>
          </w:p>
        </w:tc>
        <w:tc>
          <w:tcPr>
            <w:tcW w:w="915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企业集团内业务流、物流和资金流，包括商品、劳务或者其他交易标的从设计、开发、生产制造、营销、销售、交货、结算、消费、售后服务、循环利用等各环节及其参与方；</w:t>
            </w:r>
          </w:p>
        </w:tc>
        <w:tc>
          <w:tcPr>
            <w:tcW w:w="952"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4</w:t>
            </w:r>
          </w:p>
          <w:p>
            <w:pPr>
              <w:spacing w:before="60" w:after="60"/>
              <w:ind w:left="0" w:right="0" w:firstLine="0"/>
            </w:pPr>
            <w:r>
              <w:rPr>
                <w:rFonts w:ascii="Arial" w:eastAsia="Arial" w:hAnsi="Arial" w:cs="Arial"/>
                <w:sz w:val="20"/>
                <w:szCs w:val="20"/>
              </w:rPr>
              <w:t>6</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上述各环节参与方最近会计年度的财务报表；</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仿宋_GB2312" w:eastAsia="仿宋_GB2312" w:hAnsi="仿宋_GB2312" w:cs="仿宋_GB2312"/>
                <w:color w:val="000000"/>
                <w:sz w:val="20"/>
                <w:szCs w:val="20"/>
              </w:rPr>
              <w:t>待税局要求后配合提供</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仿宋_GB2312" w:eastAsia="仿宋_GB2312" w:hAnsi="仿宋_GB2312" w:cs="仿宋_GB2312"/>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地域特殊因素对企业创造价值贡献的计量及其归属；</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6</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4)</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企业集团利润在全球价值链条中的分配原则和分配结果；</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6</w:t>
            </w: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sz w:val="20"/>
                <w:szCs w:val="20"/>
              </w:rPr>
              <w:t>（三）关联交易</w:t>
            </w:r>
          </w:p>
          <w:p>
            <w:pPr>
              <w:ind w:firstLine="0"/>
              <w:jc w:val="center"/>
            </w:pPr>
            <w:r>
              <w:rPr>
                <w:rFonts w:ascii="Arial" w:eastAsia="Arial" w:hAnsi="Arial" w:cs="Arial"/>
                <w:b/>
                <w:bCs/>
                <w:sz w:val="20"/>
                <w:szCs w:val="20"/>
              </w:rPr>
              <w:t>3.</w:t>
            </w:r>
            <w:r>
              <w:rPr>
                <w:rFonts w:ascii="仿宋_GB2312" w:eastAsia="仿宋_GB2312" w:hAnsi="仿宋_GB2312" w:cs="仿宋_GB2312"/>
                <w:b/>
                <w:bCs/>
                <w:sz w:val="20"/>
                <w:szCs w:val="20"/>
              </w:rPr>
              <w:t>对外投资</w:t>
            </w:r>
          </w:p>
        </w:tc>
        <w:tc>
          <w:tcPr>
            <w:tcW w:w="915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对外投资基本信息，包括对外投资项目的投资地区、金额、主营业务及战略规划。</w:t>
            </w:r>
          </w:p>
        </w:tc>
        <w:tc>
          <w:tcPr>
            <w:tcW w:w="952" w:type="dxa"/>
            <w:vMerge w:val="restart"/>
            <w:tcBorders>
              <w:bottom w:val="none" w:sz="0" w:space="0" w:color="auto"/>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2.4</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对外投资项目概况，包括对外投资项目的股权架构、组织结构，高级管理人员的雇佣方式，项目决策权限的归属。</w:t>
            </w:r>
          </w:p>
        </w:tc>
        <w:tc>
          <w:tcPr>
            <w:vMerge/>
            <w:tcBorders>
              <w:right w:val="single" w:sz="6" w:space="0" w:color="000000"/>
            </w:tcBorders>
            <w:vAlign w:val="center"/>
            <w:hideMark/>
          </w:tcPr>
          <w:p>
            <w:pPr>
              <w:rPr>
                <w:rFonts w:ascii="仿宋_GB2312" w:eastAsia="仿宋_GB2312" w:hAnsi="仿宋_GB2312" w:cs="仿宋_GB2312"/>
                <w:color w:val="000000"/>
                <w:sz w:val="20"/>
                <w:szCs w:val="20"/>
              </w:rPr>
            </w:pPr>
          </w:p>
        </w:tc>
      </w:tr>
      <w:tr>
        <w:tblPrEx>
          <w:tblCellSpacing w:w="0" w:type="dxa"/>
          <w:tblInd w:w="105" w:type="dxa"/>
          <w:tblCellMar>
            <w:top w:w="0" w:type="dxa"/>
            <w:left w:w="0" w:type="dxa"/>
            <w:bottom w:w="0" w:type="dxa"/>
            <w:right w:w="0" w:type="dxa"/>
          </w:tblCellMar>
        </w:tblPrEx>
        <w:trPr>
          <w:trHeight w:val="285"/>
          <w:tblCellSpacing w:w="0" w:type="dxa"/>
        </w:trPr>
        <w:tc>
          <w:tcPr>
            <w:vMerge/>
            <w:tcBorders>
              <w:left w:val="single" w:sz="6" w:space="0" w:color="000000"/>
              <w:bottom w:val="single" w:sz="6" w:space="0" w:color="000000"/>
              <w:right w:val="single" w:sz="6" w:space="0" w:color="000000"/>
            </w:tcBorders>
            <w:vAlign w:val="center"/>
            <w:hideMark/>
          </w:tcPr>
          <w:p>
            <w:pPr>
              <w:rPr>
                <w:rFonts w:ascii="仿宋_GB2312" w:eastAsia="仿宋_GB2312" w:hAnsi="仿宋_GB2312" w:cs="仿宋_GB2312"/>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对外投资项目数据，包括对外投资项目的营运数据。</w:t>
            </w:r>
          </w:p>
        </w:tc>
        <w:tc>
          <w:tcPr>
            <w:vMerge/>
            <w:tcBorders>
              <w:bottom w:val="single" w:sz="6" w:space="0" w:color="000000"/>
              <w:right w:val="single" w:sz="6" w:space="0" w:color="000000"/>
            </w:tcBorders>
            <w:vAlign w:val="center"/>
            <w:hideMark/>
          </w:tcPr>
          <w:p>
            <w:pPr>
              <w:rPr>
                <w:rFonts w:ascii="仿宋_GB2312" w:eastAsia="仿宋_GB2312" w:hAnsi="仿宋_GB2312" w:cs="仿宋_GB2312"/>
                <w:color w:val="000000"/>
                <w:sz w:val="20"/>
                <w:szCs w:val="20"/>
              </w:rPr>
            </w:pP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shd w:val="clear" w:color="auto" w:fill="DDEBF7"/>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000000"/>
                <w:sz w:val="20"/>
                <w:szCs w:val="20"/>
              </w:rPr>
              <w:t>（三）关联交易</w:t>
            </w:r>
          </w:p>
          <w:p>
            <w:pPr>
              <w:ind w:firstLine="0"/>
              <w:jc w:val="center"/>
            </w:pPr>
            <w:r>
              <w:rPr>
                <w:rFonts w:ascii="Arial" w:eastAsia="Arial" w:hAnsi="Arial" w:cs="Arial"/>
                <w:b/>
                <w:bCs/>
                <w:color w:val="000000"/>
                <w:sz w:val="20"/>
                <w:szCs w:val="20"/>
              </w:rPr>
              <w:t>4.</w:t>
            </w:r>
            <w:r>
              <w:rPr>
                <w:rFonts w:ascii="仿宋_GB2312" w:eastAsia="仿宋_GB2312" w:hAnsi="仿宋_GB2312" w:cs="仿宋_GB2312"/>
                <w:b/>
                <w:bCs/>
                <w:color w:val="000000"/>
                <w:sz w:val="20"/>
                <w:szCs w:val="20"/>
              </w:rPr>
              <w:t>关联股权转让</w:t>
            </w:r>
          </w:p>
        </w:tc>
        <w:tc>
          <w:tcPr>
            <w:tcW w:w="915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股权转让概况，包括转让背景、参与方、时间、价格、支付方式，以及影响股权转让的其他因素。</w:t>
            </w:r>
          </w:p>
        </w:tc>
        <w:tc>
          <w:tcPr>
            <w:tcW w:w="952" w:type="dxa"/>
            <w:vMerge w:val="restart"/>
            <w:tcBorders>
              <w:bottom w:val="none" w:sz="0" w:space="0" w:color="auto"/>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2.4</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股权转让标的的相关信息，包括股权转让标的所在地，出让方获取该股权的时间、方式和成本，股权转让收益等信息。</w:t>
            </w:r>
          </w:p>
        </w:tc>
        <w:tc>
          <w:tcPr>
            <w:vMerge/>
            <w:tcBorders>
              <w:right w:val="single" w:sz="6" w:space="0" w:color="000000"/>
            </w:tcBorders>
            <w:vAlign w:val="center"/>
            <w:hideMark/>
          </w:tcPr>
          <w:p>
            <w:pPr>
              <w:rPr>
                <w:rFonts w:ascii="仿宋_GB2312" w:eastAsia="仿宋_GB2312" w:hAnsi="仿宋_GB2312" w:cs="仿宋_GB2312"/>
                <w:sz w:val="20"/>
                <w:szCs w:val="20"/>
              </w:rPr>
            </w:pP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仿宋_GB2312" w:eastAsia="仿宋_GB2312" w:hAnsi="仿宋_GB2312" w:cs="仿宋_GB2312"/>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尽职调查报告或者资产评估报告等与股权转让相关的其他信息。</w:t>
            </w:r>
          </w:p>
        </w:tc>
        <w:tc>
          <w:tcPr>
            <w:vMerge/>
            <w:tcBorders>
              <w:bottom w:val="single" w:sz="6" w:space="0" w:color="000000"/>
              <w:right w:val="single" w:sz="6" w:space="0" w:color="000000"/>
            </w:tcBorders>
            <w:vAlign w:val="center"/>
            <w:hideMark/>
          </w:tcPr>
          <w:p>
            <w:pPr>
              <w:rPr>
                <w:rFonts w:ascii="仿宋_GB2312" w:eastAsia="仿宋_GB2312" w:hAnsi="仿宋_GB2312" w:cs="仿宋_GB2312"/>
                <w:color w:val="000000"/>
                <w:sz w:val="20"/>
                <w:szCs w:val="20"/>
              </w:rPr>
            </w:pP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sz w:val="20"/>
                <w:szCs w:val="20"/>
              </w:rPr>
              <w:t>（三）关联交易</w:t>
            </w:r>
          </w:p>
          <w:p>
            <w:pPr>
              <w:ind w:firstLine="0"/>
              <w:jc w:val="center"/>
            </w:pPr>
            <w:r>
              <w:rPr>
                <w:rFonts w:ascii="Arial" w:eastAsia="Arial" w:hAnsi="Arial" w:cs="Arial"/>
                <w:b/>
                <w:bCs/>
                <w:sz w:val="20"/>
                <w:szCs w:val="20"/>
              </w:rPr>
              <w:t>5.</w:t>
            </w:r>
            <w:r>
              <w:rPr>
                <w:rFonts w:ascii="仿宋_GB2312" w:eastAsia="仿宋_GB2312" w:hAnsi="仿宋_GB2312" w:cs="仿宋_GB2312"/>
                <w:b/>
                <w:bCs/>
                <w:sz w:val="20"/>
                <w:szCs w:val="20"/>
              </w:rPr>
              <w:t>关联劳务</w:t>
            </w:r>
          </w:p>
        </w:tc>
        <w:tc>
          <w:tcPr>
            <w:tcW w:w="915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1.</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关联劳务概况，包括劳务提供方和接受方，劳务的具体内容、特性、开展方式、定价原则、支付形式，以及劳务发生后各方受益情况等。</w:t>
            </w:r>
          </w:p>
        </w:tc>
        <w:tc>
          <w:tcPr>
            <w:tcW w:w="952" w:type="dxa"/>
            <w:vMerge w:val="restart"/>
            <w:tcBorders>
              <w:bottom w:val="none" w:sz="0" w:space="0" w:color="auto"/>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仿宋_GB2312" w:eastAsia="仿宋_GB2312" w:hAnsi="仿宋_GB2312" w:cs="仿宋_GB2312"/>
                <w:sz w:val="20"/>
                <w:szCs w:val="20"/>
              </w:rPr>
              <w:t>不适用</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仿宋_GB2312" w:eastAsia="仿宋_GB2312" w:hAnsi="仿宋_GB2312" w:cs="仿宋_GB2312"/>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2.</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color w:val="000000"/>
                <w:sz w:val="20"/>
                <w:szCs w:val="20"/>
              </w:rPr>
              <w:t>劳务成本费用的归集方法、项目、金额、分配标准、计算过程及结果等。</w:t>
            </w:r>
          </w:p>
        </w:tc>
        <w:tc>
          <w:tcPr>
            <w:vMerge/>
            <w:tcBorders>
              <w:right w:val="single" w:sz="6" w:space="0" w:color="000000"/>
            </w:tcBorders>
            <w:vAlign w:val="center"/>
            <w:hideMark/>
          </w:tcPr>
          <w:p>
            <w:pPr>
              <w:rPr>
                <w:rFonts w:ascii="仿宋_GB2312" w:eastAsia="仿宋_GB2312" w:hAnsi="仿宋_GB2312" w:cs="仿宋_GB2312"/>
                <w:color w:val="000000"/>
                <w:sz w:val="20"/>
                <w:szCs w:val="20"/>
              </w:rPr>
            </w:pP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仿宋_GB2312" w:eastAsia="仿宋_GB2312" w:hAnsi="仿宋_GB2312" w:cs="仿宋_GB2312"/>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600" w:right="0"/>
              <w:jc w:val="left"/>
            </w:pPr>
            <w:r>
              <w:rPr>
                <w:rFonts w:ascii="Arial" w:eastAsia="Arial" w:hAnsi="Arial" w:cs="Arial"/>
                <w:sz w:val="20"/>
                <w:szCs w:val="20"/>
              </w:rPr>
              <w:t>3.</w:t>
            </w: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0"/>
                <w:szCs w:val="20"/>
              </w:rPr>
              <w:t>企业及其所属企业集团与非关联方存在相同或者类似劳务交易的，还应当详细说明关联劳务与非关联劳务在定价原则和交易结果上的异同。</w:t>
            </w:r>
          </w:p>
        </w:tc>
        <w:tc>
          <w:tcPr>
            <w:vMerge/>
            <w:tcBorders>
              <w:bottom w:val="single" w:sz="6" w:space="0" w:color="000000"/>
              <w:right w:val="single" w:sz="6" w:space="0" w:color="000000"/>
            </w:tcBorders>
            <w:vAlign w:val="center"/>
            <w:hideMark/>
          </w:tcPr>
          <w:p>
            <w:pPr>
              <w:rPr>
                <w:rFonts w:ascii="仿宋_GB2312" w:eastAsia="仿宋_GB2312" w:hAnsi="仿宋_GB2312" w:cs="仿宋_GB2312"/>
                <w:sz w:val="20"/>
                <w:szCs w:val="20"/>
              </w:rPr>
            </w:pPr>
          </w:p>
        </w:tc>
      </w:tr>
      <w:tr>
        <w:tblPrEx>
          <w:tblCellSpacing w:w="0" w:type="dxa"/>
          <w:tblInd w:w="105" w:type="dxa"/>
          <w:tblCellMar>
            <w:top w:w="0" w:type="dxa"/>
            <w:left w:w="0" w:type="dxa"/>
            <w:bottom w:w="0" w:type="dxa"/>
            <w:right w:w="0" w:type="dxa"/>
          </w:tblCellMar>
        </w:tblPrEx>
        <w:trPr>
          <w:trHeight w:val="1260"/>
          <w:tblCellSpacing w:w="0" w:type="dxa"/>
        </w:trPr>
        <w:tc>
          <w:tcPr>
            <w:tcW w:w="1215" w:type="dxa"/>
            <w:tcBorders>
              <w:left w:val="single" w:sz="6" w:space="0" w:color="000000"/>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000000"/>
                <w:sz w:val="20"/>
                <w:szCs w:val="20"/>
              </w:rPr>
              <w:t>（三）关联交易</w:t>
            </w:r>
          </w:p>
          <w:p>
            <w:pPr>
              <w:ind w:firstLine="0"/>
              <w:jc w:val="center"/>
            </w:pPr>
            <w:r>
              <w:rPr>
                <w:rFonts w:ascii="Arial" w:eastAsia="Arial" w:hAnsi="Arial" w:cs="Arial"/>
                <w:b/>
                <w:bCs/>
                <w:color w:val="000000"/>
                <w:sz w:val="20"/>
                <w:szCs w:val="20"/>
              </w:rPr>
              <w:t>6.</w:t>
            </w:r>
            <w:r>
              <w:rPr>
                <w:rFonts w:ascii="仿宋_GB2312" w:eastAsia="仿宋_GB2312" w:hAnsi="仿宋_GB2312" w:cs="仿宋_GB2312"/>
                <w:b/>
                <w:bCs/>
                <w:color w:val="000000"/>
                <w:sz w:val="20"/>
                <w:szCs w:val="20"/>
              </w:rPr>
              <w:t>预约定价安排和作出的其他税收裁定</w:t>
            </w:r>
          </w:p>
        </w:tc>
        <w:tc>
          <w:tcPr>
            <w:tcW w:w="915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ind w:firstLine="0"/>
            </w:pPr>
            <w:r>
              <w:rPr>
                <w:rFonts w:ascii="仿宋_GB2312" w:eastAsia="仿宋_GB2312" w:hAnsi="仿宋_GB2312" w:cs="仿宋_GB2312"/>
                <w:color w:val="000000"/>
                <w:sz w:val="20"/>
                <w:szCs w:val="20"/>
              </w:rPr>
              <w:t>与企业关联交易直接相关的，中国以外其他国家税务主管当局签订的预约定价安排和作出的其他税收裁定</w:t>
            </w:r>
          </w:p>
        </w:tc>
        <w:tc>
          <w:tcPr>
            <w:tcW w:w="952"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4.5</w:t>
            </w:r>
          </w:p>
        </w:tc>
      </w:tr>
      <w:tr>
        <w:tblPrEx>
          <w:tblCellSpacing w:w="0" w:type="dxa"/>
          <w:tblInd w:w="105" w:type="dxa"/>
          <w:tblCellMar>
            <w:top w:w="0" w:type="dxa"/>
            <w:left w:w="0" w:type="dxa"/>
            <w:bottom w:w="0" w:type="dxa"/>
            <w:right w:w="0" w:type="dxa"/>
          </w:tblCellMar>
        </w:tblPrEx>
        <w:trPr>
          <w:trHeight w:val="720"/>
          <w:tblCellSpacing w:w="0" w:type="dxa"/>
        </w:trPr>
        <w:tc>
          <w:tcPr>
            <w:tcW w:w="1215" w:type="dxa"/>
            <w:vMerge w:val="restart"/>
            <w:tcBorders>
              <w:left w:val="single" w:sz="6" w:space="0" w:color="000000"/>
              <w:bottom w:val="none" w:sz="0" w:space="0" w:color="auto"/>
              <w:right w:val="single" w:sz="6" w:space="0" w:color="000000"/>
            </w:tcBorders>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sz w:val="20"/>
                <w:szCs w:val="20"/>
              </w:rPr>
              <w:t>（四）可比性分析</w:t>
            </w:r>
          </w:p>
        </w:tc>
        <w:tc>
          <w:tcPr>
            <w:tcW w:w="915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1.</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可比性分析考虑的因素，包括交易资产或者劳务特性，交易各方功能、风险和资产，合同条款，经济环境，经营策略等。</w:t>
            </w:r>
          </w:p>
        </w:tc>
        <w:tc>
          <w:tcPr>
            <w:tcW w:w="952"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7</w:t>
            </w:r>
          </w:p>
        </w:tc>
      </w:tr>
      <w:tr>
        <w:tblPrEx>
          <w:tblCellSpacing w:w="0" w:type="dxa"/>
          <w:tblInd w:w="105" w:type="dxa"/>
          <w:tblCellMar>
            <w:top w:w="0" w:type="dxa"/>
            <w:left w:w="0" w:type="dxa"/>
            <w:bottom w:w="0" w:type="dxa"/>
            <w:right w:w="0" w:type="dxa"/>
          </w:tblCellMar>
        </w:tblPrEx>
        <w:trPr>
          <w:trHeight w:val="495"/>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2.</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可比企业执行的功能、承担的风险以及使用的资产等相关信息。</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5</w:t>
            </w:r>
          </w:p>
          <w:p>
            <w:pPr>
              <w:spacing w:before="60" w:after="60"/>
              <w:ind w:left="0" w:right="0" w:firstLine="0"/>
            </w:pPr>
            <w:r>
              <w:rPr>
                <w:rFonts w:ascii="仿宋_GB2312" w:eastAsia="仿宋_GB2312" w:hAnsi="仿宋_GB2312" w:cs="仿宋_GB2312"/>
                <w:color w:val="000000"/>
                <w:sz w:val="20"/>
                <w:szCs w:val="20"/>
              </w:rPr>
              <w:t>附件</w:t>
            </w:r>
            <w:r>
              <w:rPr>
                <w:rFonts w:ascii="Arial" w:eastAsia="Arial" w:hAnsi="Arial" w:cs="Arial"/>
                <w:color w:val="000000"/>
                <w:sz w:val="20"/>
                <w:szCs w:val="20"/>
              </w:rPr>
              <w:t>3</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3.</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可比对象搜索方法、信息来源、选择条件及理由。</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7.5</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4.</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所选取的内部或者外部可比非受控交易信息和可比企业的财务信息。</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仿宋_GB2312" w:eastAsia="仿宋_GB2312" w:hAnsi="仿宋_GB2312" w:cs="仿宋_GB2312"/>
                <w:color w:val="000000"/>
                <w:sz w:val="20"/>
                <w:szCs w:val="20"/>
              </w:rPr>
              <w:t>附件</w:t>
            </w:r>
            <w:r>
              <w:rPr>
                <w:rFonts w:ascii="Arial" w:eastAsia="Arial" w:hAnsi="Arial" w:cs="Arial"/>
                <w:color w:val="000000"/>
                <w:sz w:val="20"/>
                <w:szCs w:val="20"/>
              </w:rPr>
              <w:t>4</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5.</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可比数据的差异调整及理由。</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7.5</w:t>
            </w:r>
          </w:p>
        </w:tc>
      </w:tr>
      <w:tr>
        <w:tblPrEx>
          <w:tblCellSpacing w:w="0" w:type="dxa"/>
          <w:tblInd w:w="105" w:type="dxa"/>
          <w:tblCellMar>
            <w:top w:w="0" w:type="dxa"/>
            <w:left w:w="0" w:type="dxa"/>
            <w:bottom w:w="0" w:type="dxa"/>
            <w:right w:w="0" w:type="dxa"/>
          </w:tblCellMar>
        </w:tblPrEx>
        <w:trPr>
          <w:tblCellSpacing w:w="0" w:type="dxa"/>
        </w:trPr>
        <w:tc>
          <w:tcPr>
            <w:tcW w:w="1215" w:type="dxa"/>
            <w:vMerge w:val="restart"/>
            <w:tcBorders>
              <w:left w:val="single" w:sz="6" w:space="0" w:color="000000"/>
              <w:bottom w:val="none" w:sz="0" w:space="0" w:color="auto"/>
              <w:right w:val="single" w:sz="6" w:space="0" w:color="000000"/>
            </w:tcBorders>
            <w:shd w:val="clear" w:color="auto" w:fill="DDEBF7"/>
            <w:noWrap w:val="0"/>
            <w:tcMar>
              <w:top w:w="0" w:type="dxa"/>
              <w:left w:w="105" w:type="dxa"/>
              <w:bottom w:w="0" w:type="dxa"/>
              <w:right w:w="105" w:type="dxa"/>
            </w:tcMar>
            <w:vAlign w:val="center"/>
            <w:hideMark/>
          </w:tcPr>
          <w:p>
            <w:pPr>
              <w:ind w:firstLine="0"/>
              <w:jc w:val="center"/>
            </w:pPr>
            <w:r>
              <w:rPr>
                <w:rFonts w:ascii="仿宋_GB2312" w:eastAsia="仿宋_GB2312" w:hAnsi="仿宋_GB2312" w:cs="仿宋_GB2312"/>
                <w:b/>
                <w:bCs/>
                <w:color w:val="000000"/>
                <w:sz w:val="20"/>
                <w:szCs w:val="20"/>
              </w:rPr>
              <w:t>（五）转让定价方法的选择和适用</w:t>
            </w:r>
          </w:p>
        </w:tc>
        <w:tc>
          <w:tcPr>
            <w:tcW w:w="915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1.</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被测试方的选择及理由。</w:t>
            </w:r>
          </w:p>
        </w:tc>
        <w:tc>
          <w:tcPr>
            <w:tcW w:w="952"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7</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2.</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转让定价方法的选用及理由，无论选择何种转让定价方法，均须说明企业对集团整体利润或者剩余利润所做的贡献。</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6</w:t>
            </w:r>
          </w:p>
          <w:p>
            <w:pPr>
              <w:spacing w:before="60" w:after="60"/>
              <w:ind w:left="0" w:right="0" w:firstLine="0"/>
            </w:pPr>
            <w:r>
              <w:rPr>
                <w:rFonts w:ascii="Arial" w:eastAsia="Arial" w:hAnsi="Arial" w:cs="Arial"/>
                <w:sz w:val="20"/>
                <w:szCs w:val="20"/>
              </w:rPr>
              <w:t>7</w:t>
            </w:r>
          </w:p>
          <w:p>
            <w:pPr>
              <w:spacing w:before="60" w:after="60"/>
              <w:ind w:left="0" w:right="0" w:firstLine="0"/>
            </w:pPr>
            <w:r>
              <w:rPr>
                <w:rFonts w:ascii="仿宋_GB2312" w:eastAsia="仿宋_GB2312" w:hAnsi="仿宋_GB2312" w:cs="仿宋_GB2312"/>
                <w:sz w:val="20"/>
                <w:szCs w:val="20"/>
              </w:rPr>
              <w:t>附件</w:t>
            </w:r>
            <w:r>
              <w:rPr>
                <w:rFonts w:ascii="Arial" w:eastAsia="Arial" w:hAnsi="Arial" w:cs="Arial"/>
                <w:sz w:val="20"/>
                <w:szCs w:val="20"/>
              </w:rPr>
              <w:t>1</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3.</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确定可比非关联交易价格或者利润的过程中所做的假设和判断。</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color w:val="000000"/>
                <w:sz w:val="20"/>
                <w:szCs w:val="20"/>
              </w:rPr>
              <w:t>7.5</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4.</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运用合理的转让定价方法和可比性分析结果，确定可比非关联交易价格或者利润。</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7.5</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right w:val="single" w:sz="6" w:space="0" w:color="000000"/>
            </w:tcBorders>
            <w:vAlign w:val="center"/>
            <w:hideMark/>
          </w:tcPr>
          <w:p>
            <w:pPr>
              <w:rPr>
                <w:rFonts w:ascii="Arial" w:eastAsia="Arial" w:hAnsi="Arial" w:cs="Arial"/>
                <w:sz w:val="20"/>
                <w:szCs w:val="20"/>
              </w:rPr>
            </w:pPr>
          </w:p>
        </w:tc>
        <w:tc>
          <w:tcPr>
            <w:tcW w:w="630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5.</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其他支持所选用转让定价方法的资料。</w:t>
            </w:r>
          </w:p>
        </w:tc>
        <w:tc>
          <w:tcPr>
            <w:tcW w:w="3818" w:type="dxa"/>
            <w:tcBorders>
              <w:bottom w:val="single" w:sz="6" w:space="0" w:color="000000"/>
              <w:right w:val="single" w:sz="6" w:space="0" w:color="000000"/>
            </w:tcBorders>
            <w:shd w:val="clear" w:color="auto" w:fill="DDEBF7"/>
            <w:noWrap w:val="0"/>
            <w:tcMar>
              <w:top w:w="0" w:type="dxa"/>
              <w:left w:w="105" w:type="dxa"/>
              <w:bottom w:w="0" w:type="dxa"/>
              <w:right w:w="105" w:type="dxa"/>
            </w:tcMar>
            <w:vAlign w:val="center"/>
            <w:hideMark/>
          </w:tcPr>
          <w:p>
            <w:pPr>
              <w:spacing w:before="60" w:after="60"/>
              <w:ind w:left="0" w:right="0" w:firstLine="0"/>
            </w:pPr>
            <w:r>
              <w:rPr>
                <w:rFonts w:ascii="仿宋_GB2312" w:eastAsia="仿宋_GB2312" w:hAnsi="仿宋_GB2312" w:cs="仿宋_GB2312"/>
                <w:color w:val="000000"/>
                <w:sz w:val="20"/>
                <w:szCs w:val="20"/>
              </w:rPr>
              <w:t>不适用</w:t>
            </w:r>
          </w:p>
        </w:tc>
      </w:tr>
      <w:tr>
        <w:tblPrEx>
          <w:tblCellSpacing w:w="0" w:type="dxa"/>
          <w:tblInd w:w="105" w:type="dxa"/>
          <w:tblCellMar>
            <w:top w:w="0" w:type="dxa"/>
            <w:left w:w="0" w:type="dxa"/>
            <w:bottom w:w="0" w:type="dxa"/>
            <w:right w:w="0" w:type="dxa"/>
          </w:tblCellMar>
        </w:tblPrEx>
        <w:trPr>
          <w:tblCellSpacing w:w="0" w:type="dxa"/>
        </w:trPr>
        <w:tc>
          <w:tcPr>
            <w:vMerge/>
            <w:tcBorders>
              <w:left w:val="single" w:sz="6" w:space="0" w:color="000000"/>
              <w:bottom w:val="single" w:sz="6" w:space="0" w:color="000000"/>
              <w:right w:val="single" w:sz="6" w:space="0" w:color="000000"/>
            </w:tcBorders>
            <w:vAlign w:val="center"/>
            <w:hideMark/>
          </w:tcPr>
          <w:p>
            <w:pPr>
              <w:rPr>
                <w:rFonts w:ascii="仿宋_GB2312" w:eastAsia="仿宋_GB2312" w:hAnsi="仿宋_GB2312" w:cs="仿宋_GB2312"/>
                <w:color w:val="000000"/>
                <w:sz w:val="20"/>
                <w:szCs w:val="20"/>
              </w:rPr>
            </w:pPr>
          </w:p>
        </w:tc>
        <w:tc>
          <w:tcPr>
            <w:tcW w:w="630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0" w:after="0"/>
              <w:ind w:left="495" w:right="0"/>
              <w:jc w:val="left"/>
            </w:pPr>
            <w:r>
              <w:rPr>
                <w:rFonts w:ascii="Arial" w:eastAsia="Arial" w:hAnsi="Arial" w:cs="Arial"/>
                <w:color w:val="000000"/>
                <w:sz w:val="20"/>
                <w:szCs w:val="20"/>
              </w:rPr>
              <w:t>6.</w:t>
            </w:r>
            <w:r>
              <w:rPr>
                <w:rFonts w:ascii="Times New Roman" w:eastAsia="Times New Roman" w:hAnsi="Times New Roman" w:cs="Times New Roman"/>
                <w:b w:val="0"/>
                <w:bCs w:val="0"/>
                <w:i w:val="0"/>
                <w:iCs w:val="0"/>
                <w:smallCaps w:val="0"/>
                <w:color w:val="000000"/>
                <w:sz w:val="14"/>
                <w:szCs w:val="14"/>
              </w:rPr>
              <w:t xml:space="preserve">     </w:t>
            </w:r>
            <w:r>
              <w:rPr>
                <w:rFonts w:ascii="仿宋_GB2312" w:eastAsia="仿宋_GB2312" w:hAnsi="仿宋_GB2312" w:cs="仿宋_GB2312"/>
                <w:color w:val="000000"/>
                <w:sz w:val="20"/>
                <w:szCs w:val="20"/>
              </w:rPr>
              <w:t>关联交易定价是否符合独立交易原则的分析及结论。</w:t>
            </w:r>
          </w:p>
        </w:tc>
        <w:tc>
          <w:tcPr>
            <w:tcW w:w="3818" w:type="dxa"/>
            <w:tcBorders>
              <w:bottom w:val="single" w:sz="6" w:space="0" w:color="000000"/>
              <w:right w:val="single" w:sz="6" w:space="0" w:color="000000"/>
            </w:tcBorders>
            <w:noWrap w:val="0"/>
            <w:tcMar>
              <w:top w:w="0" w:type="dxa"/>
              <w:left w:w="105" w:type="dxa"/>
              <w:bottom w:w="0" w:type="dxa"/>
              <w:right w:w="105" w:type="dxa"/>
            </w:tcMar>
            <w:vAlign w:val="center"/>
            <w:hideMark/>
          </w:tcPr>
          <w:p>
            <w:pPr>
              <w:spacing w:before="60" w:after="60"/>
              <w:ind w:left="0" w:right="0" w:firstLine="0"/>
            </w:pPr>
            <w:r>
              <w:rPr>
                <w:rFonts w:ascii="Arial" w:eastAsia="Arial" w:hAnsi="Arial" w:cs="Arial"/>
                <w:sz w:val="20"/>
                <w:szCs w:val="20"/>
              </w:rPr>
              <w:t>8</w:t>
            </w:r>
          </w:p>
        </w:tc>
      </w:tr>
    </w:tbl>
    <w:p>
      <w:pPr>
        <w:sectPr>
          <w:pgMar w:header="720" w:footer="720"/>
          <w:cols w:space="720"/>
        </w:sectPr>
      </w:pPr>
    </w:p>
    <w:p>
      <w:pPr>
        <w:pStyle w:val="BodyText"/>
        <w:numPr>
          <w:ilvl w:val="0"/>
          <w:numId w:val="0"/>
        </w:numPr>
      </w:pPr>
    </w:p>
    <w:p>
      <w:pPr>
        <w:pStyle w:val="Heading1"/>
        <w:jc w:val="center"/>
      </w:pPr>
      <w:bookmarkStart w:id="3" w:name="_Toc256003211"/>
      <w:r>
        <w:rPr>
          <w:rFonts w:ascii="微软雅黑" w:eastAsia="微软雅黑" w:hAnsi="微软雅黑" w:cs="微软雅黑"/>
          <w:b/>
          <w:sz w:val="40"/>
        </w:rPr>
        <w:t>简称或术语</w:t>
      </w:r>
      <w:bookmarkEnd w:id="3"/>
    </w:p>
    <w:tbl>
      <w:tblPr>
        <w:tblCellSpacing w:w="0" w:type="dxa"/>
        <w:tblInd w:w="112" w:type="dxa"/>
        <w:tblCellMar>
          <w:top w:w="0" w:type="dxa"/>
          <w:left w:w="0" w:type="dxa"/>
          <w:bottom w:w="0" w:type="dxa"/>
          <w:right w:w="0" w:type="dxa"/>
        </w:tblCellMar>
      </w:tblPr>
      <w:tblGrid>
        <w:gridCol w:w="1542"/>
        <w:gridCol w:w="7946"/>
      </w:tblGrid>
      <w:tr>
        <w:tblPrEx>
          <w:tblCellSpacing w:w="0" w:type="dxa"/>
          <w:tblInd w:w="112" w:type="dxa"/>
          <w:tblCellMar>
            <w:top w:w="0" w:type="dxa"/>
            <w:left w:w="0" w:type="dxa"/>
            <w:bottom w:w="0" w:type="dxa"/>
            <w:right w:w="0" w:type="dxa"/>
          </w:tblCellMar>
        </w:tblPrEx>
        <w:trPr>
          <w:trHeight w:val="555"/>
          <w:tblHeader/>
          <w:tblCellSpacing w:w="0" w:type="dxa"/>
        </w:trPr>
        <w:tc>
          <w:tcPr>
            <w:tcW w:w="3480" w:type="dxa"/>
            <w:tcBorders>
              <w:top w:val="single" w:sz="6" w:space="0" w:color="000000"/>
              <w:left w:val="single" w:sz="6" w:space="0" w:color="000000"/>
              <w:bottom w:val="single" w:sz="6" w:space="0" w:color="000000"/>
              <w:right w:val="single" w:sz="6" w:space="0" w:color="000000"/>
            </w:tcBorders>
            <w:shd w:val="clear" w:color="auto" w:fill="002060"/>
            <w:noWrap w:val="0"/>
            <w:tcMar>
              <w:top w:w="0" w:type="dxa"/>
              <w:left w:w="105" w:type="dxa"/>
              <w:bottom w:w="0" w:type="dxa"/>
              <w:right w:w="105" w:type="dxa"/>
            </w:tcMar>
            <w:vAlign w:val="center"/>
            <w:hideMark/>
          </w:tcPr>
          <w:p>
            <w:pPr>
              <w:jc w:val="center"/>
            </w:pPr>
            <w:r>
              <w:rPr>
                <w:rFonts w:ascii="仿宋_GB2312" w:eastAsia="仿宋_GB2312" w:hAnsi="仿宋_GB2312" w:cs="仿宋_GB2312"/>
                <w:b/>
                <w:bCs/>
                <w:color w:val="FFFFFF"/>
                <w:sz w:val="23"/>
                <w:szCs w:val="23"/>
              </w:rPr>
              <w:t>缩略语</w:t>
            </w:r>
          </w:p>
        </w:tc>
        <w:tc>
          <w:tcPr>
            <w:tcW w:w="7665" w:type="dxa"/>
            <w:tcBorders>
              <w:top w:val="single" w:sz="6" w:space="0" w:color="000000"/>
              <w:left w:val="single" w:sz="6" w:space="0" w:color="000000"/>
              <w:bottom w:val="single" w:sz="6" w:space="0" w:color="000000"/>
              <w:right w:val="single" w:sz="6" w:space="0" w:color="000000"/>
            </w:tcBorders>
            <w:shd w:val="clear" w:color="auto" w:fill="002060"/>
            <w:noWrap w:val="0"/>
            <w:tcMar>
              <w:top w:w="0" w:type="dxa"/>
              <w:left w:w="105" w:type="dxa"/>
              <w:bottom w:w="0" w:type="dxa"/>
              <w:right w:w="105" w:type="dxa"/>
            </w:tcMar>
            <w:vAlign w:val="center"/>
            <w:hideMark/>
          </w:tcPr>
          <w:p>
            <w:pPr>
              <w:jc w:val="center"/>
            </w:pPr>
            <w:r>
              <w:rPr>
                <w:rFonts w:ascii="仿宋_GB2312" w:eastAsia="仿宋_GB2312" w:hAnsi="仿宋_GB2312" w:cs="仿宋_GB2312"/>
                <w:b/>
                <w:bCs/>
                <w:color w:val="FFFFFF"/>
                <w:sz w:val="23"/>
                <w:szCs w:val="23"/>
              </w:rPr>
              <w:t>全称</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立信税务</w:t>
            </w:r>
            <w:r>
              <w:rPr>
                <w:rFonts w:ascii="仿宋_GB2312" w:eastAsia="仿宋_GB2312" w:hAnsi="仿宋_GB2312" w:cs="仿宋_GB2312"/>
                <w:sz w:val="23"/>
                <w:szCs w:val="23"/>
              </w:rPr>
              <w:t>或我们</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立信税务师事务所有限公司</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远化物流</w:t>
            </w:r>
            <w:r>
              <w:rPr>
                <w:rFonts w:ascii="仿宋_GB2312" w:eastAsia="仿宋_GB2312" w:hAnsi="仿宋_GB2312" w:cs="仿宋_GB2312"/>
                <w:sz w:val="23"/>
                <w:szCs w:val="23"/>
              </w:rPr>
              <w:t>或贵公司</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t>上海远化物流有限公司</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Markwins</w:t>
            </w:r>
            <w:r>
              <w:rPr>
                <w:rFonts w:ascii="仿宋_GB2312" w:eastAsia="仿宋_GB2312" w:hAnsi="仿宋_GB2312" w:cs="仿宋_GB2312"/>
                <w:sz w:val="23"/>
                <w:szCs w:val="23"/>
              </w:rPr>
              <w:t>集团</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Arial" w:eastAsia="Arial" w:hAnsi="Arial" w:cs="Arial"/>
                <w:sz w:val="23"/>
                <w:szCs w:val="23"/>
              </w:rPr>
              <w:t>Markwins Beauty Brands Inc.</w:t>
            </w:r>
            <w:r>
              <w:rPr>
                <w:rFonts w:ascii="仿宋_GB2312" w:eastAsia="仿宋_GB2312" w:hAnsi="仿宋_GB2312" w:cs="仿宋_GB2312"/>
                <w:sz w:val="23"/>
                <w:szCs w:val="23"/>
              </w:rPr>
              <w:t>及其关联公司</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Markwins US</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Arial" w:eastAsia="Arial" w:hAnsi="Arial" w:cs="Arial"/>
                <w:sz w:val="23"/>
                <w:szCs w:val="23"/>
              </w:rPr>
              <w:t>Markwins Beauty Brands, Inc.</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Markwins HK</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Arial" w:eastAsia="Arial" w:hAnsi="Arial" w:cs="Arial"/>
                <w:sz w:val="23"/>
                <w:szCs w:val="23"/>
              </w:rPr>
              <w:t>Markwins International Corporation Limited</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Markwins Pro Art</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Arial" w:eastAsia="Arial" w:hAnsi="Arial" w:cs="Arial"/>
                <w:sz w:val="23"/>
                <w:szCs w:val="23"/>
              </w:rPr>
              <w:t>Pro Art Cosmetics Limited</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评估期间或</w:t>
            </w:r>
            <w:r>
              <w:rPr>
                <w:rFonts w:ascii="Arial" w:eastAsia="Arial" w:hAnsi="Arial" w:cs="Arial"/>
                <w:sz w:val="23"/>
                <w:szCs w:val="23"/>
              </w:rPr>
              <w:t>23</w:t>
            </w:r>
            <w:r>
              <w:rPr>
                <w:rFonts w:ascii="仿宋_GB2312" w:eastAsia="仿宋_GB2312" w:hAnsi="仿宋_GB2312" w:cs="仿宋_GB2312"/>
                <w:sz w:val="23"/>
                <w:szCs w:val="23"/>
              </w:rPr>
              <w:t>年度</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Arial" w:eastAsia="Arial" w:hAnsi="Arial" w:cs="Arial"/>
                <w:sz w:val="23"/>
                <w:szCs w:val="23"/>
              </w:rPr>
              <w:t>23</w:t>
            </w:r>
            <w:r>
              <w:rPr>
                <w:rFonts w:ascii="仿宋_GB2312" w:eastAsia="仿宋_GB2312" w:hAnsi="仿宋_GB2312" w:cs="仿宋_GB2312"/>
                <w:sz w:val="23"/>
                <w:szCs w:val="23"/>
              </w:rPr>
              <w:t>年</w:t>
            </w:r>
            <w:r>
              <w:rPr>
                <w:rFonts w:ascii="Arial" w:eastAsia="Arial" w:hAnsi="Arial" w:cs="Arial"/>
                <w:sz w:val="23"/>
                <w:szCs w:val="23"/>
              </w:rPr>
              <w:t>1</w:t>
            </w:r>
            <w:r>
              <w:rPr>
                <w:rFonts w:ascii="仿宋_GB2312" w:eastAsia="仿宋_GB2312" w:hAnsi="仿宋_GB2312" w:cs="仿宋_GB2312"/>
                <w:sz w:val="23"/>
                <w:szCs w:val="23"/>
              </w:rPr>
              <w:t>月</w:t>
            </w:r>
            <w:r>
              <w:rPr>
                <w:rFonts w:ascii="Arial" w:eastAsia="Arial" w:hAnsi="Arial" w:cs="Arial"/>
                <w:sz w:val="23"/>
                <w:szCs w:val="23"/>
              </w:rPr>
              <w:t>1</w:t>
            </w:r>
            <w:r>
              <w:rPr>
                <w:rFonts w:ascii="仿宋_GB2312" w:eastAsia="仿宋_GB2312" w:hAnsi="仿宋_GB2312" w:cs="仿宋_GB2312"/>
                <w:sz w:val="23"/>
                <w:szCs w:val="23"/>
              </w:rPr>
              <w:t>日至</w:t>
            </w:r>
            <w:r>
              <w:rPr>
                <w:rFonts w:ascii="Arial" w:eastAsia="Arial" w:hAnsi="Arial" w:cs="Arial"/>
                <w:sz w:val="23"/>
                <w:szCs w:val="23"/>
              </w:rPr>
              <w:t>23</w:t>
            </w:r>
            <w:r>
              <w:rPr>
                <w:rFonts w:ascii="仿宋_GB2312" w:eastAsia="仿宋_GB2312" w:hAnsi="仿宋_GB2312" w:cs="仿宋_GB2312"/>
                <w:sz w:val="23"/>
                <w:szCs w:val="23"/>
              </w:rPr>
              <w:t>年</w:t>
            </w:r>
            <w:r>
              <w:rPr>
                <w:rFonts w:ascii="Arial" w:eastAsia="Arial" w:hAnsi="Arial" w:cs="Arial"/>
                <w:sz w:val="23"/>
                <w:szCs w:val="23"/>
              </w:rPr>
              <w:t>12</w:t>
            </w:r>
            <w:r>
              <w:rPr>
                <w:rFonts w:ascii="仿宋_GB2312" w:eastAsia="仿宋_GB2312" w:hAnsi="仿宋_GB2312" w:cs="仿宋_GB2312"/>
                <w:sz w:val="23"/>
                <w:szCs w:val="23"/>
              </w:rPr>
              <w:t>月</w:t>
            </w:r>
            <w:r>
              <w:rPr>
                <w:rFonts w:ascii="Arial" w:eastAsia="Arial" w:hAnsi="Arial" w:cs="Arial"/>
                <w:sz w:val="23"/>
                <w:szCs w:val="23"/>
              </w:rPr>
              <w:t>31</w:t>
            </w:r>
            <w:r>
              <w:rPr>
                <w:rFonts w:ascii="仿宋_GB2312" w:eastAsia="仿宋_GB2312" w:hAnsi="仿宋_GB2312" w:cs="仿宋_GB2312"/>
                <w:sz w:val="23"/>
                <w:szCs w:val="23"/>
              </w:rPr>
              <w:t>日</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国税总局</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中华人民共和国国家税务总局</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企业所得税法</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《中华人民共和国企业所得税法》及其实施条例</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税收征管法</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《中华人民共和国税收征收管理法》及其实施细则</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[2016]42</w:t>
            </w:r>
            <w:r>
              <w:rPr>
                <w:rFonts w:ascii="仿宋_GB2312" w:eastAsia="仿宋_GB2312" w:hAnsi="仿宋_GB2312" w:cs="仿宋_GB2312"/>
                <w:sz w:val="23"/>
                <w:szCs w:val="23"/>
              </w:rPr>
              <w:t>号公告</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国家税务总局公告</w:t>
            </w:r>
            <w:r>
              <w:rPr>
                <w:rFonts w:ascii="Arial" w:eastAsia="Arial" w:hAnsi="Arial" w:cs="Arial"/>
                <w:sz w:val="23"/>
                <w:szCs w:val="23"/>
              </w:rPr>
              <w:t>2016</w:t>
            </w:r>
            <w:r>
              <w:rPr>
                <w:rFonts w:ascii="仿宋_GB2312" w:eastAsia="仿宋_GB2312" w:hAnsi="仿宋_GB2312" w:cs="仿宋_GB2312"/>
                <w:sz w:val="23"/>
                <w:szCs w:val="23"/>
              </w:rPr>
              <w:t>年第</w:t>
            </w:r>
            <w:r>
              <w:rPr>
                <w:rFonts w:ascii="Arial" w:eastAsia="Arial" w:hAnsi="Arial" w:cs="Arial"/>
                <w:sz w:val="23"/>
                <w:szCs w:val="23"/>
              </w:rPr>
              <w:t>42</w:t>
            </w:r>
            <w:r>
              <w:rPr>
                <w:rFonts w:ascii="仿宋_GB2312" w:eastAsia="仿宋_GB2312" w:hAnsi="仿宋_GB2312" w:cs="仿宋_GB2312"/>
                <w:sz w:val="23"/>
                <w:szCs w:val="23"/>
              </w:rPr>
              <w:t>号《关于完善关联申报和同期资料管理有关事项的公告》</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[2017]6</w:t>
            </w:r>
            <w:r>
              <w:rPr>
                <w:rFonts w:ascii="仿宋_GB2312" w:eastAsia="仿宋_GB2312" w:hAnsi="仿宋_GB2312" w:cs="仿宋_GB2312"/>
                <w:sz w:val="23"/>
                <w:szCs w:val="23"/>
              </w:rPr>
              <w:t>号公告</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国家税务总局公告</w:t>
            </w:r>
            <w:r>
              <w:rPr>
                <w:rFonts w:ascii="Arial" w:eastAsia="Arial" w:hAnsi="Arial" w:cs="Arial"/>
                <w:sz w:val="23"/>
                <w:szCs w:val="23"/>
              </w:rPr>
              <w:t>2017</w:t>
            </w:r>
            <w:r>
              <w:rPr>
                <w:rFonts w:ascii="仿宋_GB2312" w:eastAsia="仿宋_GB2312" w:hAnsi="仿宋_GB2312" w:cs="仿宋_GB2312"/>
                <w:sz w:val="23"/>
                <w:szCs w:val="23"/>
              </w:rPr>
              <w:t>年第</w:t>
            </w:r>
            <w:r>
              <w:rPr>
                <w:rFonts w:ascii="Arial" w:eastAsia="Arial" w:hAnsi="Arial" w:cs="Arial"/>
                <w:sz w:val="23"/>
                <w:szCs w:val="23"/>
              </w:rPr>
              <w:t>6</w:t>
            </w:r>
            <w:r>
              <w:rPr>
                <w:rFonts w:ascii="仿宋_GB2312" w:eastAsia="仿宋_GB2312" w:hAnsi="仿宋_GB2312" w:cs="仿宋_GB2312"/>
                <w:sz w:val="23"/>
                <w:szCs w:val="23"/>
              </w:rPr>
              <w:t>号关于发布《特别纳税调查调整及相互协商程序管理办法》的公告</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OECD</w:t>
            </w:r>
            <w:r>
              <w:rPr>
                <w:rFonts w:ascii="仿宋_GB2312" w:eastAsia="仿宋_GB2312" w:hAnsi="仿宋_GB2312" w:cs="仿宋_GB2312"/>
                <w:sz w:val="23"/>
                <w:szCs w:val="23"/>
              </w:rPr>
              <w:t>或经合组织</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经济合作与发展组织</w:t>
            </w:r>
          </w:p>
        </w:tc>
      </w:tr>
      <w:tr>
        <w:tblPrEx>
          <w:tblCellSpacing w:w="0" w:type="dxa"/>
          <w:tblInd w:w="112" w:type="dxa"/>
          <w:tblCellMar>
            <w:top w:w="0" w:type="dxa"/>
            <w:left w:w="0" w:type="dxa"/>
            <w:bottom w:w="0" w:type="dxa"/>
            <w:right w:w="0" w:type="dxa"/>
          </w:tblCellMar>
        </w:tblPrEx>
        <w:trPr>
          <w:trHeight w:val="61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OECD</w:t>
            </w:r>
            <w:r>
              <w:rPr>
                <w:rFonts w:ascii="仿宋_GB2312" w:eastAsia="仿宋_GB2312" w:hAnsi="仿宋_GB2312" w:cs="仿宋_GB2312"/>
                <w:sz w:val="23"/>
                <w:szCs w:val="23"/>
              </w:rPr>
              <w:t>指南</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w:t>
            </w:r>
            <w:r>
              <w:rPr>
                <w:rFonts w:ascii="Arial" w:eastAsia="Arial" w:hAnsi="Arial" w:cs="Arial"/>
                <w:sz w:val="23"/>
                <w:szCs w:val="23"/>
              </w:rPr>
              <w:t>OECD</w:t>
            </w:r>
            <w:r>
              <w:rPr>
                <w:rFonts w:ascii="仿宋_GB2312" w:eastAsia="仿宋_GB2312" w:hAnsi="仿宋_GB2312" w:cs="仿宋_GB2312"/>
                <w:sz w:val="23"/>
                <w:szCs w:val="23"/>
              </w:rPr>
              <w:t>跨国企业与税务机关转让定价指南》</w:t>
            </w:r>
          </w:p>
        </w:tc>
      </w:tr>
      <w:tr>
        <w:tblPrEx>
          <w:tblCellSpacing w:w="0" w:type="dxa"/>
          <w:tblInd w:w="112" w:type="dxa"/>
          <w:tblCellMar>
            <w:top w:w="0" w:type="dxa"/>
            <w:left w:w="0" w:type="dxa"/>
            <w:bottom w:w="0" w:type="dxa"/>
            <w:right w:w="0" w:type="dxa"/>
          </w:tblCellMar>
        </w:tblPrEx>
        <w:trPr>
          <w:trHeight w:val="1710"/>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仿宋_GB2312" w:eastAsia="仿宋_GB2312" w:hAnsi="仿宋_GB2312" w:cs="仿宋_GB2312"/>
                <w:sz w:val="23"/>
                <w:szCs w:val="23"/>
              </w:rPr>
              <w:t>中国转让定价法律、法规</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《中华人民共和国企业所得税法》及其实施条例第六章</w:t>
            </w:r>
            <w:r>
              <w:rPr>
                <w:rFonts w:ascii="Arial" w:eastAsia="Arial" w:hAnsi="Arial" w:cs="Arial"/>
                <w:sz w:val="23"/>
                <w:szCs w:val="23"/>
              </w:rPr>
              <w:t>“</w:t>
            </w:r>
            <w:r>
              <w:rPr>
                <w:rFonts w:ascii="仿宋_GB2312" w:eastAsia="仿宋_GB2312" w:hAnsi="仿宋_GB2312" w:cs="仿宋_GB2312"/>
                <w:sz w:val="23"/>
                <w:szCs w:val="23"/>
              </w:rPr>
              <w:t>特别纳税调整</w:t>
            </w:r>
            <w:r>
              <w:rPr>
                <w:rFonts w:ascii="Arial" w:eastAsia="Arial" w:hAnsi="Arial" w:cs="Arial"/>
                <w:sz w:val="23"/>
                <w:szCs w:val="23"/>
              </w:rPr>
              <w:t>”</w:t>
            </w:r>
            <w:r>
              <w:rPr>
                <w:rFonts w:ascii="仿宋_GB2312" w:eastAsia="仿宋_GB2312" w:hAnsi="仿宋_GB2312" w:cs="仿宋_GB2312"/>
                <w:sz w:val="23"/>
                <w:szCs w:val="23"/>
              </w:rPr>
              <w:t>，《中华人民共和国税收征收管理法》第三十六条，国税总局颁布</w:t>
            </w:r>
            <w:r>
              <w:rPr>
                <w:rFonts w:ascii="Arial" w:eastAsia="Arial" w:hAnsi="Arial" w:cs="Arial"/>
                <w:sz w:val="23"/>
                <w:szCs w:val="23"/>
              </w:rPr>
              <w:t>[2016]42</w:t>
            </w:r>
            <w:r>
              <w:rPr>
                <w:rFonts w:ascii="仿宋_GB2312" w:eastAsia="仿宋_GB2312" w:hAnsi="仿宋_GB2312" w:cs="仿宋_GB2312"/>
                <w:sz w:val="23"/>
                <w:szCs w:val="23"/>
              </w:rPr>
              <w:t>号公告、</w:t>
            </w:r>
            <w:r>
              <w:rPr>
                <w:rFonts w:ascii="Arial" w:eastAsia="Arial" w:hAnsi="Arial" w:cs="Arial"/>
                <w:sz w:val="23"/>
                <w:szCs w:val="23"/>
              </w:rPr>
              <w:t>[2017]6</w:t>
            </w:r>
            <w:r>
              <w:rPr>
                <w:rFonts w:ascii="仿宋_GB2312" w:eastAsia="仿宋_GB2312" w:hAnsi="仿宋_GB2312" w:cs="仿宋_GB2312"/>
                <w:sz w:val="23"/>
                <w:szCs w:val="23"/>
              </w:rPr>
              <w:t>号公告及其他有关转让定价管理的规章和规范性文件</w:t>
            </w:r>
          </w:p>
        </w:tc>
      </w:tr>
      <w:tr>
        <w:tblPrEx>
          <w:tblCellSpacing w:w="0" w:type="dxa"/>
          <w:tblInd w:w="112" w:type="dxa"/>
          <w:tblCellMar>
            <w:top w:w="0" w:type="dxa"/>
            <w:left w:w="0" w:type="dxa"/>
            <w:bottom w:w="0" w:type="dxa"/>
            <w:right w:w="0" w:type="dxa"/>
          </w:tblCellMar>
        </w:tblPrEx>
        <w:trPr>
          <w:trHeight w:val="645"/>
          <w:tblCellSpacing w:w="0" w:type="dxa"/>
        </w:trPr>
        <w:tc>
          <w:tcPr>
            <w:tcW w:w="358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r>
              <w:rPr>
                <w:rFonts w:ascii="Arial" w:eastAsia="Arial" w:hAnsi="Arial" w:cs="Arial"/>
                <w:sz w:val="23"/>
                <w:szCs w:val="23"/>
              </w:rPr>
              <w:t>SIC</w:t>
            </w:r>
            <w:r>
              <w:rPr>
                <w:rFonts w:ascii="仿宋_GB2312" w:eastAsia="仿宋_GB2312" w:hAnsi="仿宋_GB2312" w:cs="仿宋_GB2312"/>
                <w:sz w:val="23"/>
                <w:szCs w:val="23"/>
              </w:rPr>
              <w:t>代码</w:t>
            </w:r>
          </w:p>
        </w:tc>
        <w:tc>
          <w:tcPr>
            <w:tcW w:w="7665" w:type="dxa"/>
            <w:tcBorders>
              <w:top w:val="single" w:sz="6" w:space="0" w:color="000000"/>
              <w:left w:val="single" w:sz="6" w:space="0" w:color="000000"/>
              <w:bottom w:val="single" w:sz="6" w:space="0" w:color="000000"/>
              <w:right w:val="single" w:sz="6" w:space="0" w:color="000000"/>
            </w:tcBorders>
            <w:noWrap w:val="0"/>
            <w:tcMar>
              <w:top w:w="0" w:type="dxa"/>
              <w:left w:w="105" w:type="dxa"/>
              <w:bottom w:w="0" w:type="dxa"/>
              <w:right w:w="105" w:type="dxa"/>
            </w:tcMar>
            <w:vAlign w:val="center"/>
            <w:hideMark/>
          </w:tcPr>
          <w:p>
            <w:pPr>
              <w:jc w:val="both"/>
            </w:pPr>
            <w:r>
              <w:rPr>
                <w:rFonts w:ascii="仿宋_GB2312" w:eastAsia="仿宋_GB2312" w:hAnsi="仿宋_GB2312" w:cs="仿宋_GB2312"/>
                <w:sz w:val="23"/>
                <w:szCs w:val="23"/>
              </w:rPr>
              <w:t>美国标准行业分类代码</w:t>
            </w:r>
          </w:p>
        </w:tc>
      </w:tr>
    </w:tbl>
    <w:p>
      <w:pPr>
        <w:sectPr>
          <w:pgMar w:header="720" w:footer="720"/>
          <w:cols w:space="720"/>
        </w:sectPr>
      </w:pPr>
    </w:p>
    <w:p>
      <w:pPr>
        <w:pStyle w:val="Heading1"/>
        <w:numPr>
          <w:ilvl w:val="0"/>
          <w:numId w:val="1"/>
        </w:numPr>
      </w:pPr>
      <w:bookmarkStart w:id="4" w:name="_Toc256003212"/>
      <w:r>
        <w:t>报告摘要</w:t>
      </w:r>
      <w:bookmarkEnd w:id="4"/>
    </w:p>
    <w:p>
      <w:pPr>
        <w:pStyle w:val="Heading2"/>
        <w:numPr>
          <w:ilvl w:val="1"/>
          <w:numId w:val="1"/>
        </w:numPr>
      </w:pPr>
      <w:bookmarkStart w:id="5" w:name="_Toc256003213"/>
      <w:r>
        <w:t>范围和目的</w:t>
      </w:r>
      <w:bookmarkEnd w:id="5"/>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立信税务</w:t>
      </w:r>
      <w:r>
        <w:rPr>
          <w:rFonts w:ascii="仿宋_GB2312" w:eastAsia="仿宋_GB2312" w:hAnsi="仿宋_GB2312" w:cs="仿宋_GB2312"/>
          <w:sz w:val="22"/>
          <w:szCs w:val="22"/>
        </w:rPr>
        <w:t>师事务所有限公司（以下简称</w:t>
      </w:r>
      <w:r>
        <w:rPr>
          <w:rFonts w:ascii="Arial Narrow" w:eastAsia="Arial Narrow" w:hAnsi="Arial Narrow" w:cs="Arial Narrow"/>
          <w:sz w:val="22"/>
          <w:szCs w:val="22"/>
        </w:rPr>
        <w:t>“</w:t>
      </w:r>
      <w:r>
        <w:rPr>
          <w:rFonts w:ascii="仿宋_GB2312" w:eastAsia="仿宋_GB2312" w:hAnsi="仿宋_GB2312" w:cs="仿宋_GB2312"/>
          <w:sz w:val="22"/>
          <w:szCs w:val="22"/>
        </w:rPr>
        <w:t>立信</w:t>
      </w:r>
      <w:r>
        <w:rPr>
          <w:rFonts w:ascii="Arial Narrow" w:eastAsia="Arial Narrow" w:hAnsi="Arial Narrow" w:cs="Arial Narrow"/>
          <w:sz w:val="22"/>
          <w:szCs w:val="22"/>
        </w:rPr>
        <w:t>”</w:t>
      </w:r>
      <w:r>
        <w:rPr>
          <w:rFonts w:ascii="仿宋_GB2312" w:eastAsia="仿宋_GB2312" w:hAnsi="仿宋_GB2312" w:cs="仿宋_GB2312"/>
          <w:sz w:val="22"/>
          <w:szCs w:val="22"/>
        </w:rPr>
        <w:t>或</w:t>
      </w:r>
      <w:r>
        <w:rPr>
          <w:rFonts w:ascii="Arial Narrow" w:eastAsia="Arial Narrow" w:hAnsi="Arial Narrow" w:cs="Arial Narrow"/>
          <w:sz w:val="22"/>
          <w:szCs w:val="22"/>
        </w:rPr>
        <w:t>“</w:t>
      </w:r>
      <w:r>
        <w:rPr>
          <w:rFonts w:ascii="仿宋_GB2312" w:eastAsia="仿宋_GB2312" w:hAnsi="仿宋_GB2312" w:cs="仿宋_GB2312"/>
          <w:sz w:val="22"/>
          <w:szCs w:val="22"/>
        </w:rPr>
        <w:t>我们</w:t>
      </w:r>
      <w:r>
        <w:rPr>
          <w:rFonts w:ascii="Arial Narrow" w:eastAsia="Arial Narrow" w:hAnsi="Arial Narrow" w:cs="Arial Narrow"/>
          <w:sz w:val="22"/>
          <w:szCs w:val="22"/>
        </w:rPr>
        <w:t>”</w:t>
      </w:r>
      <w:r>
        <w:rPr>
          <w:rFonts w:ascii="仿宋_GB2312" w:eastAsia="仿宋_GB2312" w:hAnsi="仿宋_GB2312" w:cs="仿宋_GB2312"/>
          <w:sz w:val="22"/>
          <w:szCs w:val="22"/>
        </w:rPr>
        <w:t>）受上海</w:t>
      </w:r>
      <w:r>
        <w:rPr>
          <w:rFonts w:ascii="Arial Narrow" w:eastAsia="Arial Narrow" w:hAnsi="Arial Narrow" w:cs="Arial Narrow"/>
          <w:sz w:val="22"/>
          <w:szCs w:val="22"/>
        </w:rPr>
        <w:t>远化物流</w:t>
      </w:r>
      <w:r>
        <w:rPr>
          <w:rFonts w:ascii="仿宋_GB2312" w:eastAsia="仿宋_GB2312" w:hAnsi="仿宋_GB2312" w:cs="仿宋_GB2312"/>
          <w:sz w:val="22"/>
          <w:szCs w:val="22"/>
        </w:rPr>
        <w:t>有限公司（以下简称</w:t>
      </w:r>
      <w:r>
        <w:rPr>
          <w:rFonts w:ascii="Arial Narrow" w:eastAsia="Arial Narrow" w:hAnsi="Arial Narrow" w:cs="Arial Narrow"/>
          <w:sz w:val="22"/>
          <w:szCs w:val="22"/>
        </w:rPr>
        <w:t>“</w:t>
      </w:r>
      <w:r>
        <w:rPr>
          <w:rFonts w:ascii="Arial Narrow" w:eastAsia="Arial Narrow" w:hAnsi="Arial Narrow" w:cs="Arial Narrow"/>
          <w:sz w:val="22"/>
          <w:szCs w:val="22"/>
        </w:rPr>
        <w:t>远化物流</w:t>
      </w:r>
      <w:r>
        <w:rPr>
          <w:rFonts w:ascii="Arial Narrow" w:eastAsia="Arial Narrow" w:hAnsi="Arial Narrow" w:cs="Arial Narrow"/>
          <w:sz w:val="22"/>
          <w:szCs w:val="22"/>
        </w:rPr>
        <w:t>”</w:t>
      </w:r>
      <w:r>
        <w:rPr>
          <w:rFonts w:ascii="仿宋_GB2312" w:eastAsia="仿宋_GB2312" w:hAnsi="仿宋_GB2312" w:cs="仿宋_GB2312"/>
          <w:sz w:val="22"/>
          <w:szCs w:val="22"/>
        </w:rPr>
        <w:t>或</w:t>
      </w:r>
      <w:r>
        <w:rPr>
          <w:rFonts w:ascii="Arial Narrow" w:eastAsia="Arial Narrow" w:hAnsi="Arial Narrow" w:cs="Arial Narrow"/>
          <w:sz w:val="22"/>
          <w:szCs w:val="22"/>
        </w:rPr>
        <w:t>“</w:t>
      </w:r>
      <w:r>
        <w:rPr>
          <w:rFonts w:ascii="仿宋_GB2312" w:eastAsia="仿宋_GB2312" w:hAnsi="仿宋_GB2312" w:cs="仿宋_GB2312"/>
          <w:sz w:val="22"/>
          <w:szCs w:val="22"/>
        </w:rPr>
        <w:t>贵公司</w:t>
      </w:r>
      <w:r>
        <w:rPr>
          <w:rFonts w:ascii="Arial Narrow" w:eastAsia="Arial Narrow" w:hAnsi="Arial Narrow" w:cs="Arial Narrow"/>
          <w:sz w:val="22"/>
          <w:szCs w:val="22"/>
        </w:rPr>
        <w:t>”</w:t>
      </w:r>
      <w:r>
        <w:rPr>
          <w:rFonts w:ascii="仿宋_GB2312" w:eastAsia="仿宋_GB2312" w:hAnsi="仿宋_GB2312" w:cs="仿宋_GB2312"/>
          <w:sz w:val="22"/>
          <w:szCs w:val="22"/>
        </w:rPr>
        <w:t>）的委托，协助准备</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财务年度（以下简称</w:t>
      </w:r>
      <w:r>
        <w:rPr>
          <w:rFonts w:ascii="Arial Narrow" w:eastAsia="Arial Narrow" w:hAnsi="Arial Narrow" w:cs="Arial Narrow"/>
          <w:sz w:val="22"/>
          <w:szCs w:val="22"/>
        </w:rPr>
        <w:t>“</w:t>
      </w:r>
      <w:r>
        <w:rPr>
          <w:rFonts w:ascii="仿宋_GB2312" w:eastAsia="仿宋_GB2312" w:hAnsi="仿宋_GB2312" w:cs="仿宋_GB2312"/>
          <w:sz w:val="22"/>
          <w:szCs w:val="22"/>
        </w:rPr>
        <w:t>评估期间</w:t>
      </w:r>
      <w:r>
        <w:rPr>
          <w:rFonts w:ascii="Arial Narrow" w:eastAsia="Arial Narrow" w:hAnsi="Arial Narrow" w:cs="Arial Narrow"/>
          <w:sz w:val="22"/>
          <w:szCs w:val="22"/>
        </w:rPr>
        <w:t>”</w:t>
      </w:r>
      <w:r>
        <w:rPr>
          <w:rFonts w:ascii="仿宋_GB2312" w:eastAsia="仿宋_GB2312" w:hAnsi="仿宋_GB2312" w:cs="仿宋_GB2312"/>
          <w:sz w:val="22"/>
          <w:szCs w:val="22"/>
        </w:rPr>
        <w:t>或</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w:t>
      </w:r>
      <w:r>
        <w:rPr>
          <w:rFonts w:ascii="Arial Narrow" w:eastAsia="Arial Narrow" w:hAnsi="Arial Narrow" w:cs="Arial Narrow"/>
          <w:sz w:val="22"/>
          <w:szCs w:val="22"/>
        </w:rPr>
        <w:t>”</w:t>
      </w:r>
      <w:r>
        <w:rPr>
          <w:rFonts w:ascii="仿宋_GB2312" w:eastAsia="仿宋_GB2312" w:hAnsi="仿宋_GB2312" w:cs="仿宋_GB2312"/>
          <w:sz w:val="22"/>
          <w:szCs w:val="22"/>
        </w:rPr>
        <w:t>）的关联交易同期资料的本地文档报告（以下简称</w:t>
      </w:r>
      <w:r>
        <w:rPr>
          <w:rFonts w:ascii="Arial Narrow" w:eastAsia="Arial Narrow" w:hAnsi="Arial Narrow" w:cs="Arial Narrow"/>
          <w:sz w:val="22"/>
          <w:szCs w:val="22"/>
        </w:rPr>
        <w:t>“</w:t>
      </w:r>
      <w:r>
        <w:rPr>
          <w:rFonts w:ascii="仿宋_GB2312" w:eastAsia="仿宋_GB2312" w:hAnsi="仿宋_GB2312" w:cs="仿宋_GB2312"/>
          <w:sz w:val="22"/>
          <w:szCs w:val="22"/>
        </w:rPr>
        <w:t>本报告</w:t>
      </w:r>
      <w:r>
        <w:rPr>
          <w:rFonts w:ascii="Arial Narrow" w:eastAsia="Arial Narrow" w:hAnsi="Arial Narrow" w:cs="Arial Narrow"/>
          <w:sz w:val="22"/>
          <w:szCs w:val="22"/>
        </w:rPr>
        <w:t>”</w:t>
      </w:r>
      <w:r>
        <w:rPr>
          <w:rFonts w:ascii="仿宋_GB2312" w:eastAsia="仿宋_GB2312" w:hAnsi="仿宋_GB2312" w:cs="仿宋_GB2312"/>
          <w:sz w:val="22"/>
          <w:szCs w:val="22"/>
        </w:rPr>
        <w:t>）。</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和其境内外关联方（以下合称</w:t>
      </w:r>
      <w:r>
        <w:rPr>
          <w:rFonts w:ascii="Arial Narrow" w:eastAsia="Arial Narrow" w:hAnsi="Arial Narrow" w:cs="Arial Narrow"/>
          <w:sz w:val="22"/>
          <w:szCs w:val="22"/>
        </w:rPr>
        <w:t>“</w:t>
      </w:r>
      <w:r>
        <w:rPr>
          <w:rFonts w:ascii="仿宋_GB2312" w:eastAsia="仿宋_GB2312" w:hAnsi="仿宋_GB2312" w:cs="仿宋_GB2312"/>
          <w:sz w:val="22"/>
          <w:szCs w:val="22"/>
        </w:rPr>
        <w:t>关联企业</w:t>
      </w:r>
      <w:r>
        <w:rPr>
          <w:rFonts w:ascii="Arial Narrow" w:eastAsia="Arial Narrow" w:hAnsi="Arial Narrow" w:cs="Arial Narrow"/>
          <w:sz w:val="22"/>
          <w:szCs w:val="22"/>
        </w:rPr>
        <w:t>”</w:t>
      </w:r>
      <w:r>
        <w:rPr>
          <w:rFonts w:ascii="仿宋_GB2312" w:eastAsia="仿宋_GB2312" w:hAnsi="仿宋_GB2312" w:cs="仿宋_GB2312"/>
          <w:sz w:val="22"/>
          <w:szCs w:val="22"/>
        </w:rPr>
        <w:t>）进行了一系列关联交易，交易内容主要包括关联劳务及关联租赁。由于</w:t>
      </w:r>
      <w:r>
        <w:rPr>
          <w:rFonts w:ascii="Arial Narrow" w:eastAsia="Arial Narrow" w:hAnsi="Arial Narrow" w:cs="Arial Narrow"/>
          <w:sz w:val="22"/>
          <w:szCs w:val="22"/>
        </w:rPr>
        <w:t>远化物流</w:t>
      </w:r>
      <w:r>
        <w:rPr>
          <w:rFonts w:ascii="仿宋_GB2312" w:eastAsia="仿宋_GB2312" w:hAnsi="仿宋_GB2312" w:cs="仿宋_GB2312"/>
          <w:sz w:val="22"/>
          <w:szCs w:val="22"/>
        </w:rPr>
        <w:t>与关联方之间的关联劳务交易合计金额为人民币</w:t>
      </w:r>
      <w:r>
        <w:rPr>
          <w:rFonts w:ascii="Arial Narrow" w:eastAsia="Arial Narrow" w:hAnsi="Arial Narrow" w:cs="Arial Narrow"/>
          <w:sz w:val="22"/>
          <w:szCs w:val="22"/>
        </w:rPr>
        <w:t>48,026,170.87</w:t>
      </w:r>
      <w:r>
        <w:rPr>
          <w:rFonts w:ascii="仿宋_GB2312" w:eastAsia="仿宋_GB2312" w:hAnsi="仿宋_GB2312" w:cs="仿宋_GB2312"/>
          <w:sz w:val="22"/>
          <w:szCs w:val="22"/>
        </w:rPr>
        <w:t>元，向关联方支付租赁费用合计金额为人民币</w:t>
      </w:r>
      <w:r>
        <w:rPr>
          <w:rFonts w:ascii="Arial Narrow" w:eastAsia="Arial Narrow" w:hAnsi="Arial Narrow" w:cs="Arial Narrow"/>
          <w:sz w:val="22"/>
          <w:szCs w:val="22"/>
        </w:rPr>
        <w:t>432,000.00</w:t>
      </w:r>
      <w:r>
        <w:rPr>
          <w:rFonts w:ascii="仿宋_GB2312" w:eastAsia="仿宋_GB2312" w:hAnsi="仿宋_GB2312" w:cs="仿宋_GB2312"/>
          <w:sz w:val="22"/>
          <w:szCs w:val="22"/>
        </w:rPr>
        <w:t>元。因此</w:t>
      </w:r>
      <w:r>
        <w:rPr>
          <w:rFonts w:ascii="Arial Narrow" w:eastAsia="Arial Narrow" w:hAnsi="Arial Narrow" w:cs="Arial Narrow"/>
          <w:sz w:val="22"/>
          <w:szCs w:val="22"/>
        </w:rPr>
        <w:t>远化物流</w:t>
      </w:r>
      <w:r>
        <w:rPr>
          <w:rFonts w:ascii="仿宋_GB2312" w:eastAsia="仿宋_GB2312" w:hAnsi="仿宋_GB2312" w:cs="仿宋_GB2312"/>
          <w:sz w:val="22"/>
          <w:szCs w:val="22"/>
        </w:rPr>
        <w:t>除应按规定遵守中国转让定价相关的所得税法规，包括须遵循国务院令</w:t>
      </w:r>
      <w:r>
        <w:rPr>
          <w:rFonts w:ascii="Arial Narrow" w:eastAsia="Arial Narrow" w:hAnsi="Arial Narrow" w:cs="Arial Narrow"/>
          <w:sz w:val="22"/>
          <w:szCs w:val="22"/>
        </w:rPr>
        <w:t>[2007]512</w:t>
      </w:r>
      <w:r>
        <w:rPr>
          <w:rFonts w:ascii="仿宋_GB2312" w:eastAsia="仿宋_GB2312" w:hAnsi="仿宋_GB2312" w:cs="仿宋_GB2312"/>
          <w:sz w:val="22"/>
          <w:szCs w:val="22"/>
        </w:rPr>
        <w:t>号文（即《企业所得税法实施条例》）第</w:t>
      </w:r>
      <w:r>
        <w:rPr>
          <w:rFonts w:ascii="Arial Narrow" w:eastAsia="Arial Narrow" w:hAnsi="Arial Narrow" w:cs="Arial Narrow"/>
          <w:sz w:val="22"/>
          <w:szCs w:val="22"/>
        </w:rPr>
        <w:t>110</w:t>
      </w:r>
      <w:r>
        <w:rPr>
          <w:rFonts w:ascii="仿宋_GB2312" w:eastAsia="仿宋_GB2312" w:hAnsi="仿宋_GB2312" w:cs="仿宋_GB2312"/>
          <w:sz w:val="22"/>
          <w:szCs w:val="22"/>
        </w:rPr>
        <w:t>条所规定的独立交易原则，还须按</w:t>
      </w:r>
      <w:r>
        <w:rPr>
          <w:rFonts w:ascii="Arial Narrow" w:eastAsia="Arial Narrow" w:hAnsi="Arial Narrow" w:cs="Arial Narrow"/>
          <w:sz w:val="22"/>
          <w:szCs w:val="22"/>
        </w:rPr>
        <w:t>[2016]42</w:t>
      </w:r>
      <w:r>
        <w:rPr>
          <w:rFonts w:ascii="仿宋_GB2312" w:eastAsia="仿宋_GB2312" w:hAnsi="仿宋_GB2312" w:cs="仿宋_GB2312"/>
          <w:sz w:val="22"/>
          <w:szCs w:val="22"/>
        </w:rPr>
        <w:t>号公告第</w:t>
      </w:r>
      <w:r>
        <w:rPr>
          <w:rFonts w:ascii="Arial Narrow" w:eastAsia="Arial Narrow" w:hAnsi="Arial Narrow" w:cs="Arial Narrow"/>
          <w:sz w:val="22"/>
          <w:szCs w:val="22"/>
        </w:rPr>
        <w:t>14</w:t>
      </w:r>
      <w:r>
        <w:rPr>
          <w:rFonts w:ascii="仿宋_GB2312" w:eastAsia="仿宋_GB2312" w:hAnsi="仿宋_GB2312" w:cs="仿宋_GB2312"/>
          <w:sz w:val="22"/>
          <w:szCs w:val="22"/>
        </w:rPr>
        <w:t>条及第</w:t>
      </w:r>
      <w:r>
        <w:rPr>
          <w:rFonts w:ascii="Arial Narrow" w:eastAsia="Arial Narrow" w:hAnsi="Arial Narrow" w:cs="Arial Narrow"/>
          <w:sz w:val="22"/>
          <w:szCs w:val="22"/>
        </w:rPr>
        <w:t>19</w:t>
      </w:r>
      <w:r>
        <w:rPr>
          <w:rFonts w:ascii="仿宋_GB2312" w:eastAsia="仿宋_GB2312" w:hAnsi="仿宋_GB2312" w:cs="仿宋_GB2312"/>
          <w:sz w:val="22"/>
          <w:szCs w:val="22"/>
        </w:rPr>
        <w:t>条所列明的详细要求以及有关规定准备同期资料及其他相关材料。</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依照</w:t>
      </w:r>
      <w:r>
        <w:rPr>
          <w:rFonts w:ascii="Arial Narrow" w:eastAsia="Arial Narrow" w:hAnsi="Arial Narrow" w:cs="Arial Narrow"/>
          <w:sz w:val="22"/>
          <w:szCs w:val="22"/>
        </w:rPr>
        <w:t>[2016]42</w:t>
      </w:r>
      <w:r>
        <w:rPr>
          <w:rFonts w:ascii="仿宋_GB2312" w:eastAsia="仿宋_GB2312" w:hAnsi="仿宋_GB2312" w:cs="仿宋_GB2312"/>
          <w:sz w:val="22"/>
          <w:szCs w:val="22"/>
        </w:rPr>
        <w:t>号公告第</w:t>
      </w:r>
      <w:r>
        <w:rPr>
          <w:rFonts w:ascii="Arial Narrow" w:eastAsia="Arial Narrow" w:hAnsi="Arial Narrow" w:cs="Arial Narrow"/>
          <w:sz w:val="22"/>
          <w:szCs w:val="22"/>
        </w:rPr>
        <w:t>14</w:t>
      </w:r>
      <w:r>
        <w:rPr>
          <w:rFonts w:ascii="仿宋_GB2312" w:eastAsia="仿宋_GB2312" w:hAnsi="仿宋_GB2312" w:cs="仿宋_GB2312"/>
          <w:sz w:val="22"/>
          <w:szCs w:val="22"/>
        </w:rPr>
        <w:t>条的相关规定，本报告将作为</w:t>
      </w:r>
      <w:r>
        <w:rPr>
          <w:rFonts w:ascii="Arial Narrow" w:eastAsia="Arial Narrow" w:hAnsi="Arial Narrow" w:cs="Arial Narrow"/>
          <w:sz w:val="22"/>
          <w:szCs w:val="22"/>
        </w:rPr>
        <w:t>远化物流</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年度的同期资料，旨在对其与其关联方在评估期间发生的受测关联交易进行分析和说明。</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本报告仅旨在说明</w:t>
      </w:r>
      <w:r>
        <w:rPr>
          <w:rFonts w:ascii="Arial Narrow" w:eastAsia="Arial Narrow" w:hAnsi="Arial Narrow" w:cs="Arial Narrow"/>
          <w:sz w:val="22"/>
          <w:szCs w:val="22"/>
        </w:rPr>
        <w:t>远化物流</w:t>
      </w:r>
      <w:r>
        <w:rPr>
          <w:rFonts w:ascii="仿宋_GB2312" w:eastAsia="仿宋_GB2312" w:hAnsi="仿宋_GB2312" w:cs="仿宋_GB2312"/>
          <w:sz w:val="22"/>
          <w:szCs w:val="22"/>
        </w:rPr>
        <w:t>受测关联交易的转让定价安排是否符合独立交易原则且</w:t>
      </w:r>
      <w:r>
        <w:rPr>
          <w:rFonts w:ascii="Arial Narrow" w:eastAsia="Arial Narrow" w:hAnsi="Arial Narrow" w:cs="Arial Narrow"/>
          <w:sz w:val="22"/>
          <w:szCs w:val="22"/>
        </w:rPr>
        <w:t>/</w:t>
      </w:r>
      <w:r>
        <w:rPr>
          <w:rFonts w:ascii="仿宋_GB2312" w:eastAsia="仿宋_GB2312" w:hAnsi="仿宋_GB2312" w:cs="仿宋_GB2312"/>
          <w:sz w:val="22"/>
          <w:szCs w:val="22"/>
        </w:rPr>
        <w:t>或没有造成其应纳税收入或应纳税所得额的不合理的减少等相关税务问题。其他任何税务事宜（例如消费税、增值税，或是由受测关联交易所引起的其他单个或多重纳税义务）不在本报告的分析范围内。</w:t>
      </w:r>
    </w:p>
    <w:p>
      <w:pPr>
        <w:pStyle w:val="Heading2"/>
        <w:numPr>
          <w:ilvl w:val="1"/>
          <w:numId w:val="1"/>
        </w:numPr>
      </w:pPr>
      <w:bookmarkStart w:id="6" w:name="_Toc256003214"/>
      <w:r>
        <w:t>受测关联交易</w:t>
      </w:r>
      <w:bookmarkEnd w:id="6"/>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的主要关联交易为：</w:t>
      </w:r>
    </w:p>
    <w:p>
      <w:pPr>
        <w:pStyle w:val="BodyText"/>
        <w:numPr>
          <w:ilvl w:val="0"/>
          <w:numId w:val="2"/>
        </w:numPr>
        <w:tabs>
          <w:tab w:val="left" w:pos="1010"/>
        </w:tabs>
        <w:spacing w:before="0" w:after="0" w:line="360" w:lineRule="auto"/>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sz w:val="22"/>
          <w:szCs w:val="22"/>
        </w:rPr>
        <w:t>远化物流</w:t>
      </w:r>
      <w:r>
        <w:rPr>
          <w:rFonts w:ascii="仿宋_GB2312" w:eastAsia="仿宋_GB2312" w:hAnsi="仿宋_GB2312" w:cs="仿宋_GB2312"/>
          <w:sz w:val="22"/>
          <w:szCs w:val="22"/>
        </w:rPr>
        <w:t xml:space="preserve">与关联方的关联劳务； </w:t>
      </w:r>
    </w:p>
    <w:p>
      <w:pPr>
        <w:pStyle w:val="BodyText"/>
        <w:numPr>
          <w:ilvl w:val="0"/>
          <w:numId w:val="2"/>
        </w:numPr>
        <w:tabs>
          <w:tab w:val="left" w:pos="1010"/>
        </w:tabs>
        <w:spacing w:before="0" w:after="120" w:line="360" w:lineRule="auto"/>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sz w:val="22"/>
          <w:szCs w:val="22"/>
        </w:rPr>
        <w:t>远化物流</w:t>
      </w:r>
      <w:r>
        <w:rPr>
          <w:rFonts w:ascii="仿宋_GB2312" w:eastAsia="仿宋_GB2312" w:hAnsi="仿宋_GB2312" w:cs="仿宋_GB2312"/>
          <w:sz w:val="22"/>
          <w:szCs w:val="22"/>
        </w:rPr>
        <w:t>与关联方的关联租赁。</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上述关联交易，以下简称</w:t>
      </w:r>
      <w:r>
        <w:rPr>
          <w:rFonts w:ascii="Arial Narrow" w:eastAsia="Arial Narrow" w:hAnsi="Arial Narrow" w:cs="Arial Narrow"/>
          <w:sz w:val="22"/>
          <w:szCs w:val="22"/>
        </w:rPr>
        <w:t>“</w:t>
      </w:r>
      <w:r>
        <w:rPr>
          <w:rFonts w:ascii="仿宋_GB2312" w:eastAsia="仿宋_GB2312" w:hAnsi="仿宋_GB2312" w:cs="仿宋_GB2312"/>
          <w:sz w:val="22"/>
          <w:szCs w:val="22"/>
        </w:rPr>
        <w:t>受测关联交易</w:t>
      </w:r>
      <w:r>
        <w:rPr>
          <w:rFonts w:ascii="Arial Narrow" w:eastAsia="Arial Narrow" w:hAnsi="Arial Narrow" w:cs="Arial Narrow"/>
          <w:sz w:val="22"/>
          <w:szCs w:val="22"/>
        </w:rPr>
        <w:t>”</w:t>
      </w:r>
      <w:r>
        <w:rPr>
          <w:rFonts w:ascii="仿宋_GB2312" w:eastAsia="仿宋_GB2312" w:hAnsi="仿宋_GB2312" w:cs="仿宋_GB2312"/>
          <w:sz w:val="22"/>
          <w:szCs w:val="22"/>
        </w:rPr>
        <w:t>。其他任何涉及</w:t>
      </w:r>
      <w:r>
        <w:rPr>
          <w:rFonts w:ascii="Arial Narrow" w:eastAsia="Arial Narrow" w:hAnsi="Arial Narrow" w:cs="Arial Narrow"/>
          <w:sz w:val="22"/>
          <w:szCs w:val="22"/>
        </w:rPr>
        <w:t>远化物流</w:t>
      </w:r>
      <w:r>
        <w:rPr>
          <w:rFonts w:ascii="仿宋_GB2312" w:eastAsia="仿宋_GB2312" w:hAnsi="仿宋_GB2312" w:cs="仿宋_GB2312"/>
          <w:sz w:val="22"/>
          <w:szCs w:val="22"/>
        </w:rPr>
        <w:t>和其他关联公司或分支机构的关联交易不在本报告的分析范围内。</w:t>
      </w:r>
    </w:p>
    <w:p>
      <w:pPr>
        <w:pStyle w:val="Heading2"/>
        <w:numPr>
          <w:ilvl w:val="1"/>
          <w:numId w:val="1"/>
        </w:numPr>
      </w:pPr>
      <w:bookmarkStart w:id="7" w:name="_Toc256003215"/>
      <w:r>
        <w:t>功能和风险分析及价值链分析总结</w:t>
      </w:r>
      <w:bookmarkEnd w:id="7"/>
    </w:p>
    <w:p>
      <w:pPr>
        <w:pStyle w:val="BodyText"/>
        <w:numPr>
          <w:ilvl w:val="0"/>
          <w:numId w:val="0"/>
        </w:numPr>
        <w:spacing w:before="120" w:after="120" w:line="360" w:lineRule="auto"/>
        <w:ind w:left="50" w:right="48" w:firstLine="440"/>
        <w:jc w:val="both"/>
        <w:rPr>
          <w:rFonts w:ascii="Times New Roman" w:eastAsia="Times New Roman" w:hAnsi="Times New Roman" w:cs="Times New Roman"/>
          <w:sz w:val="22"/>
          <w:szCs w:val="22"/>
        </w:rPr>
      </w:pPr>
      <w:bookmarkStart w:id="8" w:name="_Toc48317095"/>
      <w:bookmarkStart w:id="9" w:name="_Toc48582917"/>
      <w:bookmarkStart w:id="10" w:name="_Toc48582504"/>
      <w:bookmarkStart w:id="11" w:name="_Toc274480737"/>
      <w:bookmarkStart w:id="12" w:name="_Toc274409623"/>
      <w:bookmarkStart w:id="13" w:name="_Toc48317201"/>
      <w:bookmarkStart w:id="14" w:name="_Toc48399521"/>
      <w:bookmarkStart w:id="15" w:name="_Toc48317197"/>
      <w:bookmarkStart w:id="16" w:name="_Toc48317198"/>
      <w:bookmarkStart w:id="17" w:name="_Toc48399520"/>
      <w:bookmarkStart w:id="18" w:name="_Toc274409730"/>
      <w:bookmarkStart w:id="19" w:name="_Toc48582921"/>
      <w:bookmarkStart w:id="20" w:name="_Toc274409413"/>
      <w:bookmarkStart w:id="21" w:name="_Toc48317099"/>
      <w:bookmarkStart w:id="22" w:name="_Toc274409089"/>
      <w:bookmarkStart w:id="23" w:name="_Toc48582920"/>
      <w:bookmarkStart w:id="24" w:name="_Toc48582508"/>
      <w:bookmarkStart w:id="25" w:name="_Toc48399525"/>
      <w:bookmarkStart w:id="26" w:name="_Toc48399524"/>
      <w:bookmarkStart w:id="27" w:name="_Toc48317096"/>
      <w:bookmarkStart w:id="28" w:name="_Toc48317386"/>
      <w:bookmarkStart w:id="29" w:name="_Toc48317385"/>
      <w:bookmarkStart w:id="30" w:name="_Toc274409087"/>
      <w:bookmarkStart w:id="31" w:name="_Toc48399522"/>
      <w:bookmarkStart w:id="32" w:name="_Toc48317387"/>
      <w:bookmarkStart w:id="33" w:name="_Toc274409625"/>
      <w:bookmarkStart w:id="34" w:name="_Toc48317202"/>
      <w:bookmarkStart w:id="35" w:name="_Toc48317098"/>
      <w:bookmarkStart w:id="36" w:name="_Toc48317383"/>
      <w:bookmarkStart w:id="37" w:name="_Toc48582919"/>
      <w:bookmarkStart w:id="38" w:name="_Toc48317100"/>
      <w:bookmarkStart w:id="39" w:name="_Toc274409306"/>
      <w:bookmarkStart w:id="40" w:name="_Toc48317382"/>
      <w:bookmarkStart w:id="41" w:name="_Toc274480738"/>
      <w:bookmarkStart w:id="42" w:name="_Toc274409307"/>
      <w:bookmarkStart w:id="43" w:name="_Toc274409624"/>
      <w:bookmarkStart w:id="44" w:name="_Toc274409088"/>
      <w:bookmarkStart w:id="45" w:name="_Toc274409731"/>
      <w:bookmarkStart w:id="46" w:name="_Toc274409412"/>
      <w:bookmarkStart w:id="47" w:name="_Toc274409732"/>
      <w:bookmarkStart w:id="48" w:name="_Toc48582506"/>
      <w:bookmarkStart w:id="49" w:name="_Toc48317097"/>
      <w:bookmarkStart w:id="50" w:name="_Toc48399523"/>
      <w:bookmarkStart w:id="51" w:name="_Toc48317384"/>
      <w:bookmarkStart w:id="52" w:name="_Toc48582916"/>
      <w:bookmarkStart w:id="53" w:name="_Toc274480740"/>
      <w:bookmarkStart w:id="54" w:name="_Toc274409305"/>
      <w:bookmarkStart w:id="55" w:name="_Toc48317199"/>
      <w:bookmarkStart w:id="56" w:name="_Toc48582503"/>
      <w:bookmarkStart w:id="57" w:name="_Toc48582505"/>
      <w:bookmarkStart w:id="58" w:name="_Toc274409411"/>
      <w:bookmarkStart w:id="59" w:name="_Toc274409304"/>
      <w:bookmarkStart w:id="60" w:name="_Toc274409622"/>
      <w:bookmarkStart w:id="61" w:name="_Toc48582507"/>
      <w:bookmarkStart w:id="62" w:name="_Toc48317200"/>
      <w:bookmarkStart w:id="63" w:name="_Toc274409086"/>
      <w:bookmarkStart w:id="64" w:name="_Toc48582918"/>
      <w:bookmarkStart w:id="65" w:name="_Toc274480739"/>
      <w:bookmarkStart w:id="66" w:name="_Toc274409410"/>
      <w:bookmarkStart w:id="67" w:name="_Toc274409733"/>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Pr>
          <w:rFonts w:ascii="仿宋_GB2312" w:eastAsia="仿宋_GB2312" w:hAnsi="仿宋_GB2312" w:cs="仿宋_GB2312"/>
          <w:sz w:val="22"/>
          <w:szCs w:val="22"/>
        </w:rPr>
        <w:t>从功能和风险角度判断，我们认为</w:t>
      </w:r>
      <w:r>
        <w:rPr>
          <w:rFonts w:ascii="Arial Narrow" w:eastAsia="Arial Narrow" w:hAnsi="Arial Narrow" w:cs="Arial Narrow"/>
          <w:sz w:val="22"/>
          <w:szCs w:val="22"/>
        </w:rPr>
        <w:t>远化物流</w:t>
      </w:r>
      <w:r>
        <w:rPr>
          <w:rFonts w:ascii="仿宋_GB2312" w:eastAsia="仿宋_GB2312" w:hAnsi="仿宋_GB2312" w:cs="仿宋_GB2312"/>
          <w:sz w:val="22"/>
          <w:szCs w:val="22"/>
        </w:rPr>
        <w:t>可以被定义为一家承担功能风险的服务企业。</w:t>
      </w:r>
      <w:r>
        <w:rPr>
          <w:rFonts w:ascii="Arial Narrow" w:eastAsia="Arial Narrow" w:hAnsi="Arial Narrow" w:cs="Arial Narrow"/>
          <w:sz w:val="22"/>
          <w:szCs w:val="22"/>
        </w:rPr>
        <w:t>远化物流</w:t>
      </w:r>
      <w:r>
        <w:rPr>
          <w:rFonts w:ascii="仿宋_GB2312" w:eastAsia="仿宋_GB2312" w:hAnsi="仿宋_GB2312" w:cs="仿宋_GB2312"/>
          <w:sz w:val="22"/>
          <w:szCs w:val="22"/>
        </w:rPr>
        <w:t>主要承担物流运输功能及有限的市场营销和一般行政管理的功能。</w:t>
      </w:r>
      <w:r>
        <w:rPr>
          <w:rFonts w:ascii="Arial Narrow" w:eastAsia="Arial Narrow" w:hAnsi="Arial Narrow" w:cs="Arial Narrow"/>
          <w:sz w:val="22"/>
          <w:szCs w:val="22"/>
        </w:rPr>
        <w:t>远化物流</w:t>
      </w:r>
      <w:r>
        <w:rPr>
          <w:rFonts w:ascii="仿宋_GB2312" w:eastAsia="仿宋_GB2312" w:hAnsi="仿宋_GB2312" w:cs="仿宋_GB2312"/>
          <w:sz w:val="22"/>
          <w:szCs w:val="22"/>
        </w:rPr>
        <w:t>同时承担间接的市场风险、有限的信用风险、有限的责任风险。</w:t>
      </w:r>
    </w:p>
    <w:p>
      <w:pPr>
        <w:pStyle w:val="BodyText"/>
        <w:numPr>
          <w:ilvl w:val="0"/>
          <w:numId w:val="0"/>
        </w:numPr>
        <w:spacing w:before="120" w:after="120" w:line="360" w:lineRule="auto"/>
        <w:ind w:left="50" w:right="48"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在整个集团经营活动中，</w:t>
      </w:r>
      <w:r>
        <w:rPr>
          <w:rFonts w:ascii="Arial Narrow" w:eastAsia="Arial Narrow" w:hAnsi="Arial Narrow" w:cs="Arial Narrow"/>
          <w:sz w:val="22"/>
          <w:szCs w:val="22"/>
        </w:rPr>
        <w:t>远化物流</w:t>
      </w:r>
      <w:r>
        <w:rPr>
          <w:rFonts w:ascii="仿宋_GB2312" w:eastAsia="仿宋_GB2312" w:hAnsi="仿宋_GB2312" w:cs="仿宋_GB2312"/>
          <w:sz w:val="22"/>
          <w:szCs w:val="22"/>
        </w:rPr>
        <w:t>作为履行上述功能并且承担上述风险的道路运输商，利润水平和其承担的功能风险相匹配。</w:t>
      </w:r>
    </w:p>
    <w:p>
      <w:pPr>
        <w:pStyle w:val="Heading2"/>
        <w:numPr>
          <w:ilvl w:val="1"/>
          <w:numId w:val="1"/>
        </w:numPr>
      </w:pPr>
      <w:bookmarkStart w:id="68" w:name="_Toc256003216"/>
      <w:r>
        <w:t>经济分析总结 —— 对受测关联交易的分析</w:t>
      </w:r>
      <w:bookmarkEnd w:id="68"/>
    </w:p>
    <w:p>
      <w:pPr>
        <w:pStyle w:val="BodyText"/>
        <w:numPr>
          <w:ilvl w:val="0"/>
          <w:numId w:val="0"/>
        </w:numPr>
        <w:spacing w:before="120" w:after="120" w:line="360" w:lineRule="auto"/>
        <w:ind w:left="50" w:right="48"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我们基于</w:t>
      </w:r>
      <w:r>
        <w:rPr>
          <w:rFonts w:ascii="Arial Narrow" w:eastAsia="Arial Narrow" w:hAnsi="Arial Narrow" w:cs="Arial Narrow"/>
          <w:sz w:val="22"/>
          <w:szCs w:val="22"/>
        </w:rPr>
        <w:t>远化物流</w:t>
      </w:r>
      <w:r>
        <w:rPr>
          <w:rFonts w:ascii="仿宋_GB2312" w:eastAsia="仿宋_GB2312" w:hAnsi="仿宋_GB2312" w:cs="仿宋_GB2312"/>
          <w:sz w:val="22"/>
          <w:szCs w:val="22"/>
        </w:rPr>
        <w:t>对集团整体利润或者剩余利润所做的贡献，以及其所承担的功能风险，对中国转让定价法规以及</w:t>
      </w:r>
      <w:bookmarkStart w:id="69" w:name="OLE_LINK1"/>
      <w:r>
        <w:rPr>
          <w:rFonts w:ascii="仿宋_GB2312" w:eastAsia="仿宋_GB2312" w:hAnsi="仿宋_GB2312" w:cs="仿宋_GB2312"/>
          <w:sz w:val="22"/>
          <w:szCs w:val="22"/>
        </w:rPr>
        <w:t>《</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w:t>
      </w:r>
      <w:bookmarkEnd w:id="69"/>
      <w:r>
        <w:rPr>
          <w:rFonts w:ascii="仿宋_GB2312" w:eastAsia="仿宋_GB2312" w:hAnsi="仿宋_GB2312" w:cs="仿宋_GB2312"/>
          <w:sz w:val="22"/>
          <w:szCs w:val="22"/>
        </w:rPr>
        <w:t>中列明的常用转让定价评估方法进行了比较和研究。我们最终选择</w:t>
      </w:r>
      <w:r>
        <w:rPr>
          <w:rFonts w:ascii="Arial Narrow" w:eastAsia="Arial Narrow" w:hAnsi="Arial Narrow" w:cs="Arial Narrow"/>
          <w:sz w:val="22"/>
          <w:szCs w:val="22"/>
        </w:rPr>
        <w:t>远化物流</w:t>
      </w:r>
      <w:r>
        <w:rPr>
          <w:rFonts w:ascii="仿宋_GB2312" w:eastAsia="仿宋_GB2312" w:hAnsi="仿宋_GB2312" w:cs="仿宋_GB2312"/>
          <w:sz w:val="22"/>
          <w:szCs w:val="22"/>
        </w:rPr>
        <w:t>作为验证对象，选用交易净利润法作为分析方法，以完全成本加成率作为利润水平指标对</w:t>
      </w:r>
      <w:r>
        <w:rPr>
          <w:rFonts w:ascii="Arial Narrow" w:eastAsia="Arial Narrow" w:hAnsi="Arial Narrow" w:cs="Arial Narrow"/>
          <w:sz w:val="22"/>
          <w:szCs w:val="22"/>
        </w:rPr>
        <w:t>远化物流</w:t>
      </w:r>
      <w:r>
        <w:rPr>
          <w:rFonts w:ascii="仿宋_GB2312" w:eastAsia="仿宋_GB2312" w:hAnsi="仿宋_GB2312" w:cs="仿宋_GB2312"/>
          <w:sz w:val="22"/>
          <w:szCs w:val="22"/>
        </w:rPr>
        <w:t>的受测关联交易和转让定价进行了评估。</w:t>
      </w:r>
    </w:p>
    <w:p>
      <w:pPr>
        <w:pStyle w:val="BodyText"/>
        <w:numPr>
          <w:ilvl w:val="0"/>
          <w:numId w:val="0"/>
        </w:numPr>
        <w:spacing w:before="120" w:after="120" w:line="360" w:lineRule="auto"/>
        <w:ind w:left="50" w:right="48"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我们选择</w:t>
      </w:r>
      <w:r>
        <w:rPr>
          <w:rFonts w:ascii="Arial Narrow" w:eastAsia="Arial Narrow" w:hAnsi="Arial Narrow" w:cs="Arial Narrow"/>
          <w:sz w:val="22"/>
          <w:szCs w:val="22"/>
        </w:rPr>
        <w:t>远化物流</w:t>
      </w:r>
      <w:r>
        <w:rPr>
          <w:rFonts w:ascii="仿宋_GB2312" w:eastAsia="仿宋_GB2312" w:hAnsi="仿宋_GB2312" w:cs="仿宋_GB2312"/>
          <w:sz w:val="22"/>
          <w:szCs w:val="22"/>
        </w:rPr>
        <w:t>作为本报告的被验证对象从而分析其完全成本加成率。原因如下：</w:t>
      </w:r>
      <w:r>
        <w:rPr>
          <w:rFonts w:ascii="Arial Narrow" w:eastAsia="Arial Narrow" w:hAnsi="Arial Narrow" w:cs="Arial Narrow"/>
          <w:sz w:val="22"/>
          <w:szCs w:val="22"/>
        </w:rPr>
        <w:t>1</w:t>
      </w:r>
      <w:r>
        <w:rPr>
          <w:rFonts w:ascii="仿宋_GB2312" w:eastAsia="仿宋_GB2312" w:hAnsi="仿宋_GB2312" w:cs="仿宋_GB2312"/>
          <w:sz w:val="22"/>
          <w:szCs w:val="22"/>
        </w:rPr>
        <w:t>）</w:t>
      </w:r>
      <w:r>
        <w:rPr>
          <w:rFonts w:ascii="Arial Narrow" w:eastAsia="Arial Narrow" w:hAnsi="Arial Narrow" w:cs="Arial Narrow"/>
          <w:sz w:val="22"/>
          <w:szCs w:val="22"/>
        </w:rPr>
        <w:t>远化物流</w:t>
      </w:r>
      <w:r>
        <w:rPr>
          <w:rFonts w:ascii="仿宋_GB2312" w:eastAsia="仿宋_GB2312" w:hAnsi="仿宋_GB2312" w:cs="仿宋_GB2312"/>
          <w:sz w:val="22"/>
          <w:szCs w:val="22"/>
        </w:rPr>
        <w:t>相对于关联方承担相对简单的公路运输商相关的功能和风险且不拥有显著的非常规无形资产；</w:t>
      </w:r>
      <w:r>
        <w:rPr>
          <w:rFonts w:ascii="Arial Narrow" w:eastAsia="Arial Narrow" w:hAnsi="Arial Narrow" w:cs="Arial Narrow"/>
          <w:sz w:val="22"/>
          <w:szCs w:val="22"/>
        </w:rPr>
        <w:t>2</w:t>
      </w:r>
      <w:r>
        <w:rPr>
          <w:rFonts w:ascii="仿宋_GB2312" w:eastAsia="仿宋_GB2312" w:hAnsi="仿宋_GB2312" w:cs="仿宋_GB2312"/>
          <w:sz w:val="22"/>
          <w:szCs w:val="22"/>
        </w:rPr>
        <w:t>）在关联交易中，相对于关联方，</w:t>
      </w:r>
      <w:r>
        <w:rPr>
          <w:rFonts w:ascii="Arial Narrow" w:eastAsia="Arial Narrow" w:hAnsi="Arial Narrow" w:cs="Arial Narrow"/>
          <w:sz w:val="22"/>
          <w:szCs w:val="22"/>
        </w:rPr>
        <w:t>远化物流</w:t>
      </w:r>
      <w:r>
        <w:rPr>
          <w:rFonts w:ascii="仿宋_GB2312" w:eastAsia="仿宋_GB2312" w:hAnsi="仿宋_GB2312" w:cs="仿宋_GB2312"/>
          <w:sz w:val="22"/>
          <w:szCs w:val="22"/>
        </w:rPr>
        <w:t>的利润水平可以被更为有效地确定。因此，我们选择</w:t>
      </w:r>
      <w:r>
        <w:rPr>
          <w:rFonts w:ascii="Arial Narrow" w:eastAsia="Arial Narrow" w:hAnsi="Arial Narrow" w:cs="Arial Narrow"/>
          <w:sz w:val="22"/>
          <w:szCs w:val="22"/>
        </w:rPr>
        <w:t>远化物流</w:t>
      </w:r>
      <w:r>
        <w:rPr>
          <w:rFonts w:ascii="仿宋_GB2312" w:eastAsia="仿宋_GB2312" w:hAnsi="仿宋_GB2312" w:cs="仿宋_GB2312"/>
          <w:sz w:val="22"/>
          <w:szCs w:val="22"/>
        </w:rPr>
        <w:t>作为本报告的被验证对象。我们通过选取与</w:t>
      </w:r>
      <w:r>
        <w:rPr>
          <w:rFonts w:ascii="Arial Narrow" w:eastAsia="Arial Narrow" w:hAnsi="Arial Narrow" w:cs="Arial Narrow"/>
          <w:sz w:val="22"/>
          <w:szCs w:val="22"/>
        </w:rPr>
        <w:t>远化物流</w:t>
      </w:r>
      <w:r>
        <w:rPr>
          <w:rFonts w:ascii="仿宋_GB2312" w:eastAsia="仿宋_GB2312" w:hAnsi="仿宋_GB2312" w:cs="仿宋_GB2312"/>
          <w:sz w:val="22"/>
          <w:szCs w:val="22"/>
        </w:rPr>
        <w:t>在受测关联交易中从事相似业务的非受控公司，分析其财务数据，建立了一组符合独立交易原则的利润率区间。</w:t>
      </w:r>
    </w:p>
    <w:p>
      <w:pPr>
        <w:pStyle w:val="BodyText"/>
        <w:numPr>
          <w:ilvl w:val="0"/>
          <w:numId w:val="0"/>
        </w:numPr>
        <w:spacing w:before="120" w:after="120" w:line="360" w:lineRule="auto"/>
        <w:ind w:left="50" w:right="48"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选取的可比非受控公司样本在</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财务年度（</w:t>
      </w:r>
      <w:r>
        <w:rPr>
          <w:rFonts w:ascii="Arial Narrow" w:eastAsia="Arial Narrow" w:hAnsi="Arial Narrow" w:cs="Arial Narrow"/>
          <w:sz w:val="22"/>
          <w:szCs w:val="22"/>
        </w:rPr>
        <w:t>“</w:t>
      </w:r>
      <w:r>
        <w:rPr>
          <w:rFonts w:ascii="仿宋_GB2312" w:eastAsia="仿宋_GB2312" w:hAnsi="仿宋_GB2312" w:cs="仿宋_GB2312"/>
          <w:sz w:val="22"/>
          <w:szCs w:val="22"/>
        </w:rPr>
        <w:t>财年</w:t>
      </w:r>
      <w:r>
        <w:rPr>
          <w:rFonts w:ascii="Arial Narrow" w:eastAsia="Arial Narrow" w:hAnsi="Arial Narrow" w:cs="Arial Narrow"/>
          <w:sz w:val="22"/>
          <w:szCs w:val="22"/>
        </w:rPr>
        <w:t>”</w:t>
      </w:r>
      <w:r>
        <w:rPr>
          <w:rFonts w:ascii="仿宋_GB2312" w:eastAsia="仿宋_GB2312" w:hAnsi="仿宋_GB2312" w:cs="仿宋_GB2312"/>
          <w:sz w:val="22"/>
          <w:szCs w:val="22"/>
        </w:rPr>
        <w:t>）实现的加权平均完全成本加成率水平总结如下：</w:t>
      </w:r>
    </w:p>
    <w:p>
      <w:pPr>
        <w:pStyle w:val="BodyText"/>
        <w:keepNext/>
        <w:numPr>
          <w:ilvl w:val="0"/>
          <w:numId w:val="0"/>
        </w:numPr>
        <w:spacing w:before="120" w:after="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仿宋" w:eastAsia="仿宋" w:hAnsi="仿宋" w:cs="仿宋"/>
          <w:b/>
          <w:bCs/>
          <w:sz w:val="22"/>
          <w:szCs w:val="22"/>
        </w:rPr>
        <w:fldChar w:fldCharType="begin"/>
      </w:r>
      <w:r>
        <w:rPr>
          <w:rFonts w:ascii="仿宋" w:eastAsia="仿宋" w:hAnsi="仿宋" w:cs="仿宋"/>
          <w:b/>
          <w:bCs/>
          <w:sz w:val="22"/>
          <w:szCs w:val="22"/>
        </w:rPr>
        <w:instrText xml:space="preserve"> SEQ 图表 \* ARABIC </w:instrText>
      </w:r>
      <w:r>
        <w:rPr>
          <w:rFonts w:ascii="仿宋" w:eastAsia="仿宋" w:hAnsi="仿宋" w:cs="仿宋"/>
          <w:b/>
          <w:bCs/>
          <w:sz w:val="22"/>
          <w:szCs w:val="22"/>
        </w:rPr>
        <w:fldChar w:fldCharType="separate"/>
      </w:r>
      <w:r>
        <w:rPr>
          <w:rFonts w:ascii="仿宋" w:eastAsia="仿宋" w:hAnsi="仿宋" w:cs="仿宋"/>
          <w:b/>
          <w:bCs/>
          <w:sz w:val="22"/>
          <w:szCs w:val="22"/>
        </w:rPr>
        <w:t>1</w:t>
      </w:r>
      <w:r>
        <w:rPr>
          <w:rFonts w:ascii="Arial Narrow" w:eastAsia="Arial Narrow" w:hAnsi="Arial Narrow" w:cs="Arial Narrow"/>
          <w:b/>
          <w:bCs/>
          <w:sz w:val="22"/>
          <w:szCs w:val="22"/>
        </w:rPr>
        <w:fldChar w:fldCharType="end"/>
      </w:r>
      <w:r>
        <w:rPr>
          <w:rFonts w:ascii="仿宋" w:eastAsia="仿宋" w:hAnsi="仿宋" w:cs="仿宋"/>
          <w:b/>
          <w:bCs/>
          <w:sz w:val="22"/>
          <w:szCs w:val="22"/>
        </w:rPr>
        <w:t>：完全成本加成率的独立交易区间（2020财年到2022财年）</w:t>
      </w:r>
    </w:p>
    <w:p>
      <w:pPr>
        <w:pStyle w:val="BodyText"/>
        <w:numPr>
          <w:ilvl w:val="0"/>
          <w:numId w:val="0"/>
        </w:numPr>
        <w:spacing w:before="0" w:after="0"/>
        <w:rPr>
          <w:rFonts w:ascii="Times New Roman" w:eastAsia="Times New Roman" w:hAnsi="Times New Roman" w:cs="Times New Roman"/>
          <w:sz w:val="22"/>
          <w:szCs w:val="22"/>
        </w:rPr>
      </w:pPr>
      <w:r>
        <w:rPr>
          <w:rFonts w:ascii="Arial Narrow" w:eastAsia="Arial Narrow" w:hAnsi="Arial Narrow" w:cs="Arial Narrow"/>
          <w:sz w:val="22"/>
          <w:szCs w:val="22"/>
        </w:rPr>
        <w:t>${TABLE:1:完全成本加成率的独立交易区间（2020财年到2022财年）}</w:t>
      </w:r>
    </w:p>
    <w:p>
      <w:pPr>
        <w:pStyle w:val="BodyText"/>
        <w:numPr>
          <w:ilvl w:val="0"/>
          <w:numId w:val="0"/>
        </w:numPr>
        <w:spacing w:before="120" w:after="120" w:line="360" w:lineRule="auto"/>
        <w:ind w:right="48"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如上图表所示，</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财年加权平均完全成本加成率独立交易四分位区间为</w:t>
      </w:r>
      <w:r>
        <w:rPr>
          <w:rFonts w:ascii="Arial Narrow" w:eastAsia="Arial Narrow" w:hAnsi="Arial Narrow" w:cs="Arial Narrow"/>
          <w:sz w:val="22"/>
          <w:szCs w:val="22"/>
        </w:rPr>
        <w:t>2.36%</w:t>
      </w:r>
      <w:r>
        <w:rPr>
          <w:rFonts w:ascii="仿宋_GB2312" w:eastAsia="仿宋_GB2312" w:hAnsi="仿宋_GB2312" w:cs="仿宋_GB2312"/>
          <w:sz w:val="22"/>
          <w:szCs w:val="22"/>
        </w:rPr>
        <w:t>到</w:t>
      </w:r>
      <w:r>
        <w:rPr>
          <w:rFonts w:ascii="Arial Narrow" w:eastAsia="Arial Narrow" w:hAnsi="Arial Narrow" w:cs="Arial Narrow"/>
          <w:sz w:val="22"/>
          <w:szCs w:val="22"/>
        </w:rPr>
        <w:t>6.64%</w:t>
      </w:r>
      <w:r>
        <w:rPr>
          <w:rFonts w:ascii="仿宋_GB2312" w:eastAsia="仿宋_GB2312" w:hAnsi="仿宋_GB2312" w:cs="仿宋_GB2312"/>
          <w:sz w:val="22"/>
          <w:szCs w:val="22"/>
        </w:rPr>
        <w:t>，中位值为</w:t>
      </w:r>
      <w:r>
        <w:rPr>
          <w:rFonts w:ascii="Arial Narrow" w:eastAsia="Arial Narrow" w:hAnsi="Arial Narrow" w:cs="Arial Narrow"/>
          <w:sz w:val="22"/>
          <w:szCs w:val="22"/>
        </w:rPr>
        <w:t>3.20%</w:t>
      </w:r>
      <w:r>
        <w:rPr>
          <w:rFonts w:ascii="仿宋_GB2312" w:eastAsia="仿宋_GB2312" w:hAnsi="仿宋_GB2312" w:cs="仿宋_GB2312"/>
          <w:sz w:val="22"/>
          <w:szCs w:val="22"/>
        </w:rPr>
        <w:t>。</w:t>
      </w:r>
      <w:r>
        <w:rPr>
          <w:rFonts w:ascii="Arial Narrow" w:eastAsia="Arial Narrow" w:hAnsi="Arial Narrow" w:cs="Arial Narrow"/>
          <w:sz w:val="22"/>
          <w:szCs w:val="22"/>
        </w:rPr>
        <w:t>远化物流</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年度在受测关联交易中取得的完全成本加成率为</w:t>
      </w:r>
      <w:r>
        <w:rPr>
          <w:rFonts w:ascii="Arial Narrow" w:eastAsia="Arial Narrow" w:hAnsi="Arial Narrow" w:cs="Arial Narrow"/>
          <w:sz w:val="22"/>
          <w:szCs w:val="22"/>
        </w:rPr>
        <w:t>3.60%</w:t>
      </w:r>
      <w:r>
        <w:rPr>
          <w:rFonts w:ascii="仿宋_GB2312" w:eastAsia="仿宋_GB2312" w:hAnsi="仿宋_GB2312" w:cs="仿宋_GB2312"/>
          <w:sz w:val="22"/>
          <w:szCs w:val="22"/>
        </w:rPr>
        <w:t>，位于可比非受控公司在</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财年三年加权平均完全成本加成率的四分位区间之内，且高于中位值。</w:t>
      </w:r>
    </w:p>
    <w:p>
      <w:pPr>
        <w:pStyle w:val="BodyText"/>
        <w:numPr>
          <w:ilvl w:val="0"/>
          <w:numId w:val="0"/>
        </w:numPr>
        <w:spacing w:before="120" w:after="120" w:line="360" w:lineRule="auto"/>
        <w:ind w:right="48"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因此，从中国转让定价角度，</w:t>
      </w:r>
      <w:r>
        <w:rPr>
          <w:rFonts w:ascii="Arial Narrow" w:eastAsia="Arial Narrow" w:hAnsi="Arial Narrow" w:cs="Arial Narrow"/>
          <w:sz w:val="22"/>
          <w:szCs w:val="22"/>
        </w:rPr>
        <w:t>远化物流</w:t>
      </w:r>
      <w:r>
        <w:rPr>
          <w:rFonts w:ascii="仿宋_GB2312" w:eastAsia="仿宋_GB2312" w:hAnsi="仿宋_GB2312" w:cs="仿宋_GB2312"/>
          <w:sz w:val="22"/>
          <w:szCs w:val="22"/>
        </w:rPr>
        <w:t>在</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年受测关联交易中的转让定价安排不违背独立交易原则。</w:t>
      </w:r>
    </w:p>
    <w:p>
      <w:pPr>
        <w:pStyle w:val="Heading2"/>
        <w:numPr>
          <w:ilvl w:val="1"/>
          <w:numId w:val="1"/>
        </w:numPr>
      </w:pPr>
      <w:bookmarkStart w:id="70" w:name="_Toc256003217"/>
      <w:r>
        <w:t>局限性</w:t>
      </w:r>
      <w:bookmarkEnd w:id="70"/>
    </w:p>
    <w:p>
      <w:pPr>
        <w:pStyle w:val="BodyText"/>
        <w:numPr>
          <w:ilvl w:val="0"/>
          <w:numId w:val="0"/>
        </w:numPr>
        <w:spacing w:before="240" w:after="240" w:line="360" w:lineRule="auto"/>
        <w:ind w:firstLine="363"/>
        <w:jc w:val="both"/>
        <w:rPr>
          <w:rFonts w:ascii="Times New Roman" w:eastAsia="Times New Roman" w:hAnsi="Times New Roman" w:cs="Times New Roman"/>
          <w:sz w:val="22"/>
          <w:szCs w:val="22"/>
        </w:rPr>
      </w:pPr>
      <w:r>
        <w:rPr>
          <w:rFonts w:ascii="仿宋_GB2312" w:eastAsia="仿宋_GB2312" w:hAnsi="仿宋_GB2312" w:cs="仿宋_GB2312"/>
          <w:sz w:val="22"/>
          <w:szCs w:val="22"/>
        </w:rPr>
        <w:t>本报告旨在协助</w:t>
      </w:r>
      <w:r>
        <w:rPr>
          <w:rFonts w:ascii="Arial Narrow" w:eastAsia="Arial Narrow" w:hAnsi="Arial Narrow" w:cs="Arial Narrow"/>
          <w:sz w:val="22"/>
          <w:szCs w:val="22"/>
        </w:rPr>
        <w:t>远化物流</w:t>
      </w:r>
      <w:r>
        <w:rPr>
          <w:rFonts w:ascii="仿宋_GB2312" w:eastAsia="仿宋_GB2312" w:hAnsi="仿宋_GB2312" w:cs="仿宋_GB2312"/>
          <w:sz w:val="22"/>
          <w:szCs w:val="22"/>
        </w:rPr>
        <w:t>分析其采用了合适的转让定价方法及对这些方法的运用，如同在此报告中陈述的，这些方法是最恰当的用于衡量关联交易是否符合独立交易原则的方法。其他任何税务事宜并不在本报告分析范围内。本报告并不考虑其他可能存在的影响受测交易税务处理的事项，也不对其做出任何评论。对于超出本报告分析范围的任何重大税务事项，本报告将不被视为协助公司辩护其涉税立场或用于规避可能的税收性罚款的支持性文件。本报告不可应用于其他纳税年度或用于已更正的以前年度纳税申报表。</w:t>
      </w:r>
    </w:p>
    <w:p>
      <w:pPr>
        <w:pStyle w:val="BodyText"/>
        <w:numPr>
          <w:ilvl w:val="0"/>
          <w:numId w:val="0"/>
        </w:numPr>
        <w:spacing w:before="240" w:after="240" w:line="360" w:lineRule="auto"/>
        <w:ind w:firstLine="363"/>
        <w:jc w:val="both"/>
        <w:rPr>
          <w:rFonts w:ascii="Times New Roman" w:eastAsia="Times New Roman" w:hAnsi="Times New Roman" w:cs="Times New Roman"/>
          <w:sz w:val="22"/>
          <w:szCs w:val="22"/>
        </w:rPr>
      </w:pPr>
      <w:r>
        <w:rPr>
          <w:rFonts w:ascii="仿宋_GB2312" w:eastAsia="仿宋_GB2312" w:hAnsi="仿宋_GB2312" w:cs="仿宋_GB2312"/>
          <w:sz w:val="22"/>
          <w:szCs w:val="22"/>
        </w:rPr>
        <w:t>这份报告的分析和总结适用于以下一般情况：</w:t>
      </w:r>
    </w:p>
    <w:p>
      <w:pPr>
        <w:pStyle w:val="BodyText"/>
        <w:numPr>
          <w:ilvl w:val="0"/>
          <w:numId w:val="0"/>
        </w:numPr>
        <w:spacing w:before="240" w:after="240" w:line="360" w:lineRule="auto"/>
        <w:ind w:firstLine="363"/>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适用法规。本报告是依照</w:t>
      </w:r>
      <w:r>
        <w:rPr>
          <w:rFonts w:ascii="Arial Narrow" w:eastAsia="Arial Narrow" w:hAnsi="Arial Narrow" w:cs="Arial Narrow"/>
          <w:sz w:val="22"/>
          <w:szCs w:val="22"/>
        </w:rPr>
        <w:t>42</w:t>
      </w:r>
      <w:r>
        <w:rPr>
          <w:rFonts w:ascii="仿宋_GB2312" w:eastAsia="仿宋_GB2312" w:hAnsi="仿宋_GB2312" w:cs="仿宋_GB2312"/>
          <w:sz w:val="22"/>
          <w:szCs w:val="22"/>
        </w:rPr>
        <w:t>号公告第</w:t>
      </w:r>
      <w:r>
        <w:rPr>
          <w:rFonts w:ascii="Arial Narrow" w:eastAsia="Arial Narrow" w:hAnsi="Arial Narrow" w:cs="Arial Narrow"/>
          <w:sz w:val="22"/>
          <w:szCs w:val="22"/>
        </w:rPr>
        <w:t>14</w:t>
      </w:r>
      <w:r>
        <w:rPr>
          <w:rFonts w:ascii="仿宋_GB2312" w:eastAsia="仿宋_GB2312" w:hAnsi="仿宋_GB2312" w:cs="仿宋_GB2312"/>
          <w:sz w:val="22"/>
          <w:szCs w:val="22"/>
        </w:rPr>
        <w:t>条对同期资料的相关规定而准备，</w:t>
      </w:r>
      <w:r>
        <w:rPr>
          <w:rFonts w:ascii="Arial Narrow" w:eastAsia="Arial Narrow" w:hAnsi="Arial Narrow" w:cs="Arial Narrow"/>
          <w:sz w:val="22"/>
          <w:szCs w:val="22"/>
        </w:rPr>
        <w:t>远化物流</w:t>
      </w:r>
      <w:r>
        <w:rPr>
          <w:rFonts w:ascii="仿宋_GB2312" w:eastAsia="仿宋_GB2312" w:hAnsi="仿宋_GB2312" w:cs="仿宋_GB2312"/>
          <w:sz w:val="22"/>
          <w:szCs w:val="22"/>
        </w:rPr>
        <w:t>可以在中国税务机关要求的情况下将本报告提交给中国税务机关。</w:t>
      </w:r>
    </w:p>
    <w:p>
      <w:pPr>
        <w:pStyle w:val="BodyText"/>
        <w:numPr>
          <w:ilvl w:val="0"/>
          <w:numId w:val="0"/>
        </w:numPr>
        <w:spacing w:before="240" w:after="240" w:line="360" w:lineRule="auto"/>
        <w:ind w:firstLine="363"/>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无担保。我们的分析与总结并不对任何当地或国外税务局，或法院有约束力。我们的分析与总结是基于我们专业的判断，不能保证最终的税务影响与这份报告中的描述一致。</w:t>
      </w:r>
    </w:p>
    <w:p>
      <w:pPr>
        <w:pStyle w:val="BodyText"/>
        <w:numPr>
          <w:ilvl w:val="0"/>
          <w:numId w:val="0"/>
        </w:numPr>
        <w:spacing w:before="240" w:after="240" w:line="360" w:lineRule="auto"/>
        <w:ind w:firstLine="363"/>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法律与投资建议的免责声明。这份报告代表我们的关于税务问题的总结与分析。它并不构成法律或投资建议。我们建议贵公司请有能力的法律与投资顾问协助解决法律与投资问题。</w:t>
      </w:r>
    </w:p>
    <w:p>
      <w:pPr>
        <w:pStyle w:val="BodyText"/>
        <w:numPr>
          <w:ilvl w:val="0"/>
          <w:numId w:val="0"/>
        </w:numPr>
        <w:spacing w:before="240" w:after="240" w:line="360" w:lineRule="auto"/>
        <w:ind w:firstLine="363"/>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任何包括在我们的服务合同中的限制性条款将同样适用于本报告。</w:t>
      </w:r>
    </w:p>
    <w:p>
      <w:pPr>
        <w:pStyle w:val="BodyText"/>
        <w:numPr>
          <w:ilvl w:val="0"/>
          <w:numId w:val="0"/>
        </w:numPr>
        <w:sectPr>
          <w:pgMar w:header="720" w:footer="720"/>
          <w:cols w:space="720"/>
        </w:sectPr>
      </w:pPr>
    </w:p>
    <w:p>
      <w:pPr>
        <w:pStyle w:val="Heading1"/>
        <w:numPr>
          <w:ilvl w:val="0"/>
          <w:numId w:val="1"/>
        </w:numPr>
      </w:pPr>
      <w:bookmarkStart w:id="71" w:name="_Toc256003218"/>
      <w:r>
        <w:t>企业概况</w:t>
      </w:r>
      <w:bookmarkEnd w:id="71"/>
    </w:p>
    <w:p>
      <w:pPr>
        <w:pStyle w:val="BodyText"/>
        <w:keepNext/>
        <w:numPr>
          <w:ilvl w:val="0"/>
          <w:numId w:val="3"/>
        </w:numPr>
        <w:spacing w:before="240" w:after="240"/>
        <w:ind w:left="316" w:right="0" w:hanging="316"/>
        <w:jc w:val="both"/>
        <w:rPr>
          <w:rFonts w:ascii="Arial Narrow" w:eastAsia="Arial Narrow" w:hAnsi="Arial Narrow" w:cs="Arial Narrow"/>
          <w:color w:val="002060"/>
          <w:sz w:val="22"/>
          <w:szCs w:val="22"/>
        </w:rPr>
      </w:pPr>
      <w:bookmarkStart w:id="72" w:name="_Toc140761289"/>
      <w:bookmarkStart w:id="73" w:name="_Toc256000009"/>
      <w:r>
        <w:rPr>
          <w:rFonts w:ascii="仿宋_GB2312" w:eastAsia="仿宋_GB2312" w:hAnsi="仿宋_GB2312" w:cs="仿宋_GB2312"/>
          <w:color w:val="002060"/>
          <w:sz w:val="22"/>
          <w:szCs w:val="22"/>
        </w:rPr>
        <w:t>集团概况</w:t>
      </w:r>
      <w:bookmarkEnd w:id="73"/>
      <w:r>
        <w:rPr>
          <w:rFonts w:ascii="Arial Narrow" w:eastAsia="Arial Narrow" w:hAnsi="Arial Narrow" w:cs="Arial Narrow"/>
          <w:color w:val="000000"/>
          <w:sz w:val="11"/>
          <w:szCs w:val="11"/>
          <w:u w:val="none"/>
          <w:vertAlign w:val="superscript"/>
        </w:rPr>
        <w:footnoteReference w:id="2"/>
      </w:r>
      <w:bookmarkEnd w:id="72"/>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台湾远东集团于1945年在上海由纺织业起家，后于1949年在台复业，历经半个多世纪的发展已建构成涵盖电子产品、食品、汽车、医疗、石化能源、纺织化纤、水泥建材、零售百货、海陆运输、营造建筑、观光旅馆、金融服务、通讯网络及社会公益等数十个主要事业体系。</w:t>
      </w:r>
    </w:p>
    <w:p>
      <w:pPr>
        <w:pStyle w:val="BodyText"/>
        <w:widowControl w:val="0"/>
        <w:numPr>
          <w:ilvl w:val="0"/>
          <w:numId w:val="0"/>
        </w:numPr>
        <w:spacing w:before="0" w:after="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2</w:t>
      </w:r>
      <w:r>
        <w:rPr>
          <w:rFonts w:ascii="仿宋" w:eastAsia="仿宋" w:hAnsi="仿宋" w:cs="仿宋"/>
          <w:b/>
          <w:bCs/>
          <w:sz w:val="22"/>
          <w:szCs w:val="22"/>
        </w:rPr>
        <w:t>：20</w:t>
      </w:r>
      <w:r>
        <w:rPr>
          <w:rFonts w:ascii="仿宋" w:eastAsia="仿宋" w:hAnsi="仿宋" w:cs="仿宋"/>
          <w:b/>
          <w:bCs/>
          <w:sz w:val="22"/>
          <w:szCs w:val="22"/>
        </w:rPr>
        <w:t>23</w:t>
      </w:r>
      <w:r>
        <w:rPr>
          <w:rFonts w:ascii="仿宋" w:eastAsia="仿宋" w:hAnsi="仿宋" w:cs="仿宋"/>
          <w:b/>
          <w:bCs/>
          <w:sz w:val="22"/>
          <w:szCs w:val="22"/>
        </w:rPr>
        <w:t>年度台湾远东集团纺织化纤事业部主要股权架构</w:t>
      </w:r>
    </w:p>
    <w:p>
      <w:pPr>
        <w:pStyle w:val="BodyText"/>
        <w:numPr>
          <w:ilvl w:val="0"/>
          <w:numId w:val="0"/>
        </w:numPr>
        <w:spacing w:before="120" w:after="120" w:line="360" w:lineRule="auto"/>
        <w:ind w:firstLine="4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inline>
            <wp:extent cx="5429250" cy="24765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5429250" cy="2476500"/>
                    </a:xfrm>
                    <a:prstGeom prst="rect">
                      <a:avLst/>
                    </a:prstGeom>
                  </pic:spPr>
                </pic:pic>
              </a:graphicData>
            </a:graphic>
          </wp:inline>
        </w:drawing>
      </w:r>
    </w:p>
    <w:p>
      <w:pPr>
        <w:pStyle w:val="Heading2"/>
        <w:numPr>
          <w:ilvl w:val="1"/>
          <w:numId w:val="1"/>
        </w:numPr>
      </w:pPr>
      <w:bookmarkStart w:id="74" w:name="_Toc256003219"/>
      <w:r>
        <w:t>公司概况</w:t>
      </w:r>
      <w:bookmarkEnd w:id="74"/>
    </w:p>
    <w:p>
      <w:pPr>
        <w:pStyle w:val="Heading3"/>
        <w:numPr>
          <w:ilvl w:val="2"/>
          <w:numId w:val="1"/>
        </w:numPr>
      </w:pPr>
      <w:bookmarkStart w:id="75" w:name="_Toc256003220"/>
      <w:r>
        <w:t>公司基本信息</w:t>
      </w:r>
      <w:bookmarkEnd w:id="75"/>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的基本信息详见下表。</w:t>
      </w:r>
    </w:p>
    <w:p>
      <w:pPr>
        <w:pStyle w:val="BodyText"/>
        <w:keepNext/>
        <w:numPr>
          <w:ilvl w:val="0"/>
          <w:numId w:val="0"/>
        </w:numPr>
        <w:spacing w:before="0" w:after="0"/>
        <w:jc w:val="center"/>
        <w:rPr>
          <w:rFonts w:ascii="Times New Roman" w:eastAsia="Times New Roman" w:hAnsi="Times New Roman" w:cs="Times New Roman"/>
          <w:sz w:val="22"/>
          <w:szCs w:val="22"/>
        </w:rPr>
      </w:pPr>
      <w:bookmarkStart w:id="76" w:name="_Toc48317210"/>
      <w:bookmarkStart w:id="77" w:name="_Toc48582931"/>
      <w:bookmarkStart w:id="78" w:name="_Toc48582929"/>
      <w:bookmarkStart w:id="79" w:name="_Toc48317212"/>
      <w:bookmarkStart w:id="80" w:name="_Toc48582516"/>
      <w:bookmarkStart w:id="81" w:name="_Toc48317397"/>
      <w:bookmarkStart w:id="82" w:name="_Toc48399532"/>
      <w:bookmarkStart w:id="83" w:name="_Toc48399533"/>
      <w:bookmarkStart w:id="84" w:name="_Toc48399534"/>
      <w:bookmarkStart w:id="85" w:name="_Toc48317209"/>
      <w:bookmarkStart w:id="86" w:name="_Toc48317396"/>
      <w:bookmarkStart w:id="87" w:name="_Toc48399535"/>
      <w:bookmarkStart w:id="88" w:name="_Toc48317394"/>
      <w:bookmarkStart w:id="89" w:name="_Toc48317395"/>
      <w:bookmarkStart w:id="90" w:name="_Toc48582515"/>
      <w:bookmarkStart w:id="91" w:name="_Toc48582518"/>
      <w:bookmarkStart w:id="92" w:name="_Toc48582930"/>
      <w:bookmarkStart w:id="93" w:name="_Toc48317211"/>
      <w:bookmarkStart w:id="94" w:name="_Toc48582517"/>
      <w:bookmarkStart w:id="95" w:name="_Toc48582928"/>
      <w:bookmarkStart w:id="96" w:name="_Hlk50481429"/>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Pr>
          <w:rFonts w:ascii="仿宋" w:eastAsia="仿宋" w:hAnsi="仿宋" w:cs="仿宋"/>
          <w:b/>
          <w:bCs/>
          <w:sz w:val="22"/>
          <w:szCs w:val="22"/>
        </w:rPr>
        <w:t>图表</w:t>
      </w:r>
      <w:bookmarkEnd w:id="96"/>
      <w:r>
        <w:rPr>
          <w:rFonts w:ascii="Arial Narrow" w:eastAsia="Arial Narrow" w:hAnsi="Arial Narrow" w:cs="Arial Narrow"/>
          <w:b/>
          <w:bCs/>
          <w:sz w:val="22"/>
          <w:szCs w:val="22"/>
        </w:rPr>
        <w:t>3</w:t>
      </w:r>
      <w:r>
        <w:rPr>
          <w:rFonts w:ascii="仿宋" w:eastAsia="仿宋" w:hAnsi="仿宋" w:cs="仿宋"/>
          <w:b/>
          <w:bCs/>
          <w:sz w:val="22"/>
          <w:szCs w:val="22"/>
        </w:rPr>
        <w:t>：</w:t>
      </w:r>
      <w:r>
        <w:rPr>
          <w:rFonts w:ascii="仿宋" w:eastAsia="仿宋" w:hAnsi="仿宋" w:cs="仿宋"/>
          <w:b/>
          <w:bCs/>
          <w:sz w:val="22"/>
          <w:szCs w:val="22"/>
        </w:rPr>
        <w:t>远化物流</w:t>
      </w:r>
      <w:r>
        <w:rPr>
          <w:rFonts w:ascii="仿宋" w:eastAsia="仿宋" w:hAnsi="仿宋" w:cs="仿宋"/>
          <w:b/>
          <w:bCs/>
          <w:sz w:val="22"/>
          <w:szCs w:val="22"/>
        </w:rPr>
        <w:t>基本信息</w:t>
      </w:r>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w:t>
      </w:r>
      <w:r>
        <w:rPr>
          <w:rFonts w:ascii="Arial Narrow" w:eastAsia="Arial Narrow" w:hAnsi="Arial Narrow" w:cs="Arial Narrow"/>
          <w:i/>
          <w:iCs/>
          <w:sz w:val="16"/>
          <w:szCs w:val="16"/>
        </w:rPr>
        <w:t>远化物流</w:t>
      </w:r>
      <w:r>
        <w:rPr>
          <w:rFonts w:ascii="Arial Narrow" w:eastAsia="Arial Narrow" w:hAnsi="Arial Narrow" w:cs="Arial Narrow"/>
          <w:i/>
          <w:iCs/>
          <w:sz w:val="16"/>
          <w:szCs w:val="16"/>
        </w:rPr>
        <w:t>20</w:t>
      </w:r>
      <w:r>
        <w:rPr>
          <w:rFonts w:ascii="Arial Narrow" w:eastAsia="Arial Narrow" w:hAnsi="Arial Narrow" w:cs="Arial Narrow"/>
          <w:i/>
          <w:iCs/>
          <w:sz w:val="16"/>
          <w:szCs w:val="16"/>
        </w:rPr>
        <w:t>23</w:t>
      </w:r>
      <w:r>
        <w:rPr>
          <w:rFonts w:ascii="仿宋_GB2312" w:eastAsia="仿宋_GB2312" w:hAnsi="仿宋_GB2312" w:cs="仿宋_GB2312"/>
          <w:i/>
          <w:iCs/>
          <w:sz w:val="16"/>
          <w:szCs w:val="16"/>
        </w:rPr>
        <w:t>年度营业执照和审计报告</w:t>
      </w:r>
    </w:p>
    <w:p>
      <w:pPr>
        <w:pStyle w:val="Heading3"/>
        <w:numPr>
          <w:ilvl w:val="2"/>
          <w:numId w:val="1"/>
        </w:numPr>
      </w:pPr>
      <w:bookmarkStart w:id="97" w:name="_Toc256003221"/>
      <w:r>
        <w:t>公司组织结构图和主要部门</w:t>
      </w:r>
      <w:bookmarkEnd w:id="97"/>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截至</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w:t>
      </w:r>
      <w:r>
        <w:rPr>
          <w:rFonts w:ascii="Arial Narrow" w:eastAsia="Arial Narrow" w:hAnsi="Arial Narrow" w:cs="Arial Narrow"/>
          <w:sz w:val="22"/>
          <w:szCs w:val="22"/>
        </w:rPr>
        <w:t>12</w:t>
      </w:r>
      <w:r>
        <w:rPr>
          <w:rFonts w:ascii="仿宋_GB2312" w:eastAsia="仿宋_GB2312" w:hAnsi="仿宋_GB2312" w:cs="仿宋_GB2312"/>
          <w:sz w:val="22"/>
          <w:szCs w:val="22"/>
        </w:rPr>
        <w:t>月</w:t>
      </w:r>
      <w:r>
        <w:rPr>
          <w:rFonts w:ascii="Arial Narrow" w:eastAsia="Arial Narrow" w:hAnsi="Arial Narrow" w:cs="Arial Narrow"/>
          <w:sz w:val="22"/>
          <w:szCs w:val="22"/>
        </w:rPr>
        <w:t>31</w:t>
      </w:r>
      <w:r>
        <w:rPr>
          <w:rFonts w:ascii="仿宋_GB2312" w:eastAsia="仿宋_GB2312" w:hAnsi="仿宋_GB2312" w:cs="仿宋_GB2312"/>
          <w:sz w:val="22"/>
          <w:szCs w:val="22"/>
        </w:rPr>
        <w:t>日，</w:t>
      </w:r>
      <w:r>
        <w:rPr>
          <w:rFonts w:ascii="Arial Narrow" w:eastAsia="Arial Narrow" w:hAnsi="Arial Narrow" w:cs="Arial Narrow"/>
          <w:sz w:val="22"/>
          <w:szCs w:val="22"/>
        </w:rPr>
        <w:t>远化物流</w:t>
      </w:r>
      <w:r>
        <w:rPr>
          <w:rFonts w:ascii="仿宋_GB2312" w:eastAsia="仿宋_GB2312" w:hAnsi="仿宋_GB2312" w:cs="仿宋_GB2312"/>
          <w:sz w:val="22"/>
          <w:szCs w:val="22"/>
        </w:rPr>
        <w:t>的管理组织结构显示如下：</w:t>
      </w:r>
    </w:p>
    <w:p>
      <w:pPr>
        <w:pStyle w:val="BodyText"/>
        <w:widowControl w:val="0"/>
        <w:numPr>
          <w:ilvl w:val="0"/>
          <w:numId w:val="0"/>
        </w:numPr>
        <w:spacing w:before="0" w:after="0"/>
        <w:jc w:val="center"/>
        <w:rPr>
          <w:rFonts w:ascii="Times New Roman" w:eastAsia="Times New Roman" w:hAnsi="Times New Roman" w:cs="Times New Roman"/>
          <w:sz w:val="22"/>
          <w:szCs w:val="22"/>
        </w:rPr>
      </w:pPr>
      <w:bookmarkStart w:id="98" w:name="_Toc12286303"/>
      <w:r>
        <w:rPr>
          <w:rFonts w:ascii="仿宋" w:eastAsia="仿宋" w:hAnsi="仿宋" w:cs="仿宋"/>
          <w:b/>
          <w:bCs/>
          <w:sz w:val="22"/>
          <w:szCs w:val="22"/>
        </w:rPr>
        <w:t>图表</w:t>
      </w:r>
      <w:r>
        <w:rPr>
          <w:rFonts w:ascii="Arial Narrow" w:eastAsia="Arial Narrow" w:hAnsi="Arial Narrow" w:cs="Arial Narrow"/>
          <w:b/>
          <w:bCs/>
          <w:sz w:val="22"/>
          <w:szCs w:val="22"/>
        </w:rPr>
        <w:t>4</w:t>
      </w:r>
      <w:r>
        <w:rPr>
          <w:rFonts w:ascii="仿宋" w:eastAsia="仿宋" w:hAnsi="仿宋" w:cs="仿宋"/>
          <w:b/>
          <w:bCs/>
          <w:sz w:val="22"/>
          <w:szCs w:val="22"/>
        </w:rPr>
        <w:t>：</w:t>
      </w:r>
      <w:r>
        <w:rPr>
          <w:rFonts w:ascii="仿宋" w:eastAsia="仿宋" w:hAnsi="仿宋" w:cs="仿宋"/>
          <w:b/>
          <w:bCs/>
          <w:sz w:val="22"/>
          <w:szCs w:val="22"/>
        </w:rPr>
        <w:t>远化物流</w:t>
      </w:r>
      <w:r>
        <w:rPr>
          <w:rFonts w:ascii="仿宋" w:eastAsia="仿宋" w:hAnsi="仿宋" w:cs="仿宋"/>
          <w:b/>
          <w:bCs/>
          <w:sz w:val="22"/>
          <w:szCs w:val="22"/>
        </w:rPr>
        <w:t>的组织结构图</w:t>
      </w:r>
      <w:bookmarkEnd w:id="98"/>
    </w:p>
    <w:p>
      <w:pPr>
        <w:pStyle w:val="BodyText"/>
        <w:widowControl w:val="0"/>
        <w:numPr>
          <w:ilvl w:val="0"/>
          <w:numId w:val="0"/>
        </w:numPr>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inline>
            <wp:extent cx="4619625" cy="185737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619625" cy="1857375"/>
                    </a:xfrm>
                    <a:prstGeom prst="rect">
                      <a:avLst/>
                    </a:prstGeom>
                  </pic:spPr>
                </pic:pic>
              </a:graphicData>
            </a:graphic>
          </wp:inline>
        </w:drawing>
      </w:r>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信息来源：由</w:t>
      </w:r>
      <w:r>
        <w:rPr>
          <w:rFonts w:ascii="Arial Narrow" w:eastAsia="Arial Narrow" w:hAnsi="Arial Narrow" w:cs="Arial Narrow"/>
          <w:i/>
          <w:iCs/>
          <w:sz w:val="16"/>
          <w:szCs w:val="16"/>
        </w:rPr>
        <w:t>远化物流</w:t>
      </w:r>
      <w:r>
        <w:rPr>
          <w:rFonts w:ascii="仿宋_GB2312" w:eastAsia="仿宋_GB2312" w:hAnsi="仿宋_GB2312" w:cs="仿宋_GB2312"/>
          <w:i/>
          <w:iCs/>
          <w:sz w:val="16"/>
          <w:szCs w:val="16"/>
        </w:rPr>
        <w:t>提供</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99" w:name="_Toc48582935"/>
      <w:bookmarkStart w:id="100" w:name="_Toc48582522"/>
      <w:bookmarkStart w:id="101" w:name="_Toc48582523"/>
      <w:bookmarkStart w:id="102" w:name="_Toc48317401"/>
      <w:bookmarkStart w:id="103" w:name="_Toc48582520"/>
      <w:bookmarkStart w:id="104" w:name="_Toc48399539"/>
      <w:bookmarkStart w:id="105" w:name="_Toc48399537"/>
      <w:bookmarkStart w:id="106" w:name="_Toc48582936"/>
      <w:bookmarkStart w:id="107" w:name="_Toc48317217"/>
      <w:bookmarkStart w:id="108" w:name="_Toc48317109"/>
      <w:bookmarkStart w:id="109" w:name="_Toc48317214"/>
      <w:bookmarkStart w:id="110" w:name="_Toc48317402"/>
      <w:bookmarkStart w:id="111" w:name="_Toc48582933"/>
      <w:bookmarkStart w:id="112" w:name="_Toc48317106"/>
      <w:bookmarkStart w:id="113" w:name="_Toc48317216"/>
      <w:bookmarkStart w:id="114" w:name="_Toc48317399"/>
      <w:bookmarkStart w:id="115" w:name="_Toc48317108"/>
      <w:bookmarkStart w:id="116" w:name="_Toc48399540"/>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Pr>
          <w:rFonts w:ascii="仿宋_GB2312" w:eastAsia="仿宋_GB2312" w:hAnsi="仿宋_GB2312" w:cs="仿宋_GB2312"/>
          <w:sz w:val="22"/>
          <w:szCs w:val="22"/>
        </w:rPr>
        <w:t>截至</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w:t>
      </w:r>
      <w:r>
        <w:rPr>
          <w:rFonts w:ascii="Arial Narrow" w:eastAsia="Arial Narrow" w:hAnsi="Arial Narrow" w:cs="Arial Narrow"/>
          <w:sz w:val="22"/>
          <w:szCs w:val="22"/>
        </w:rPr>
        <w:t>12</w:t>
      </w:r>
      <w:r>
        <w:rPr>
          <w:rFonts w:ascii="仿宋_GB2312" w:eastAsia="仿宋_GB2312" w:hAnsi="仿宋_GB2312" w:cs="仿宋_GB2312"/>
          <w:sz w:val="22"/>
          <w:szCs w:val="22"/>
        </w:rPr>
        <w:t>月</w:t>
      </w:r>
      <w:r>
        <w:rPr>
          <w:rFonts w:ascii="Arial Narrow" w:eastAsia="Arial Narrow" w:hAnsi="Arial Narrow" w:cs="Arial Narrow"/>
          <w:sz w:val="22"/>
          <w:szCs w:val="22"/>
        </w:rPr>
        <w:t>31</w:t>
      </w:r>
      <w:r>
        <w:rPr>
          <w:rFonts w:ascii="仿宋_GB2312" w:eastAsia="仿宋_GB2312" w:hAnsi="仿宋_GB2312" w:cs="仿宋_GB2312"/>
          <w:sz w:val="22"/>
          <w:szCs w:val="22"/>
        </w:rPr>
        <w:t>日，</w:t>
      </w:r>
      <w:r>
        <w:rPr>
          <w:rFonts w:ascii="Arial Narrow" w:eastAsia="Arial Narrow" w:hAnsi="Arial Narrow" w:cs="Arial Narrow"/>
          <w:sz w:val="22"/>
          <w:szCs w:val="22"/>
        </w:rPr>
        <w:t>远化物流</w:t>
      </w:r>
      <w:r>
        <w:rPr>
          <w:rFonts w:ascii="仿宋_GB2312" w:eastAsia="仿宋_GB2312" w:hAnsi="仿宋_GB2312" w:cs="仿宋_GB2312"/>
          <w:sz w:val="22"/>
          <w:szCs w:val="22"/>
        </w:rPr>
        <w:t>的主要业务部门、职责范围显示如下：</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bookmarkStart w:id="117" w:name="_Toc12286290"/>
      <w:r>
        <w:rPr>
          <w:rFonts w:ascii="仿宋" w:eastAsia="仿宋" w:hAnsi="仿宋" w:cs="仿宋"/>
          <w:b/>
          <w:bCs/>
          <w:sz w:val="22"/>
          <w:szCs w:val="22"/>
        </w:rPr>
        <w:t>图表</w:t>
      </w:r>
      <w:r>
        <w:rPr>
          <w:rFonts w:ascii="Arial Narrow" w:eastAsia="Arial Narrow" w:hAnsi="Arial Narrow" w:cs="Arial Narrow"/>
          <w:b/>
          <w:bCs/>
          <w:sz w:val="22"/>
          <w:szCs w:val="22"/>
        </w:rPr>
        <w:t>5</w:t>
      </w:r>
      <w:r>
        <w:rPr>
          <w:rFonts w:ascii="仿宋" w:eastAsia="仿宋" w:hAnsi="仿宋" w:cs="仿宋"/>
          <w:b/>
          <w:bCs/>
          <w:sz w:val="22"/>
          <w:szCs w:val="22"/>
        </w:rPr>
        <w:t>：</w:t>
      </w:r>
      <w:r>
        <w:rPr>
          <w:rFonts w:ascii="仿宋" w:eastAsia="仿宋" w:hAnsi="仿宋" w:cs="仿宋"/>
          <w:b/>
          <w:bCs/>
          <w:sz w:val="22"/>
          <w:szCs w:val="22"/>
        </w:rPr>
        <w:t>远化物流</w:t>
      </w:r>
      <w:r>
        <w:rPr>
          <w:rFonts w:ascii="仿宋" w:eastAsia="仿宋" w:hAnsi="仿宋" w:cs="仿宋"/>
          <w:b/>
          <w:bCs/>
          <w:sz w:val="22"/>
          <w:szCs w:val="22"/>
        </w:rPr>
        <w:t>部门结构</w:t>
      </w:r>
      <w:bookmarkEnd w:id="117"/>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信息来源：由</w:t>
      </w:r>
      <w:r>
        <w:rPr>
          <w:rFonts w:ascii="Arial Narrow" w:eastAsia="Arial Narrow" w:hAnsi="Arial Narrow" w:cs="Arial Narrow"/>
          <w:i/>
          <w:iCs/>
          <w:sz w:val="16"/>
          <w:szCs w:val="16"/>
        </w:rPr>
        <w:t>远化物流</w:t>
      </w:r>
      <w:r>
        <w:rPr>
          <w:rFonts w:ascii="仿宋_GB2312" w:eastAsia="仿宋_GB2312" w:hAnsi="仿宋_GB2312" w:cs="仿宋_GB2312"/>
          <w:i/>
          <w:iCs/>
          <w:sz w:val="16"/>
          <w:szCs w:val="16"/>
        </w:rPr>
        <w:t>提供</w:t>
      </w:r>
    </w:p>
    <w:p>
      <w:pPr>
        <w:pStyle w:val="Heading2"/>
        <w:numPr>
          <w:ilvl w:val="1"/>
          <w:numId w:val="1"/>
        </w:numPr>
      </w:pPr>
      <w:bookmarkStart w:id="118" w:name="_Toc256003222"/>
      <w:r>
        <w:t>主营业务及财务状况</w:t>
      </w:r>
      <w:bookmarkEnd w:id="118"/>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从事的主要业务为货运代理服务，下表列示了</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w:t>
      </w:r>
      <w:r>
        <w:rPr>
          <w:rFonts w:ascii="Arial Narrow" w:eastAsia="Arial Narrow" w:hAnsi="Arial Narrow" w:cs="Arial Narrow"/>
          <w:sz w:val="22"/>
          <w:szCs w:val="22"/>
        </w:rPr>
        <w:t>远化物流</w:t>
      </w:r>
      <w:r>
        <w:rPr>
          <w:rFonts w:ascii="仿宋_GB2312" w:eastAsia="仿宋_GB2312" w:hAnsi="仿宋_GB2312" w:cs="仿宋_GB2312"/>
          <w:sz w:val="22"/>
          <w:szCs w:val="22"/>
        </w:rPr>
        <w:t>的具体财务状况。</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6</w:t>
      </w:r>
      <w:r>
        <w:rPr>
          <w:rFonts w:ascii="仿宋" w:eastAsia="仿宋" w:hAnsi="仿宋" w:cs="仿宋"/>
          <w:b/>
          <w:bCs/>
          <w:sz w:val="22"/>
          <w:szCs w:val="22"/>
        </w:rPr>
        <w:t>：</w:t>
      </w:r>
      <w:r>
        <w:rPr>
          <w:rFonts w:ascii="仿宋" w:eastAsia="仿宋" w:hAnsi="仿宋" w:cs="仿宋"/>
          <w:b/>
          <w:bCs/>
          <w:sz w:val="22"/>
          <w:szCs w:val="22"/>
        </w:rPr>
        <w:t>远化物流</w:t>
      </w:r>
      <w:r>
        <w:rPr>
          <w:rFonts w:ascii="仿宋" w:eastAsia="仿宋" w:hAnsi="仿宋" w:cs="仿宋"/>
          <w:b/>
          <w:bCs/>
          <w:sz w:val="22"/>
          <w:szCs w:val="22"/>
        </w:rPr>
        <w:t>财务状况</w:t>
      </w:r>
    </w:p>
    <w:p>
      <w:pPr>
        <w:pStyle w:val="BodyText"/>
        <w:numPr>
          <w:ilvl w:val="0"/>
          <w:numId w:val="0"/>
        </w:numPr>
        <w:spacing w:before="0" w:after="0"/>
        <w:ind w:left="84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w:t>
      </w:r>
      <w:r>
        <w:rPr>
          <w:rFonts w:ascii="Arial Narrow" w:eastAsia="Arial Narrow" w:hAnsi="Arial Narrow" w:cs="Arial Narrow"/>
          <w:i/>
          <w:iCs/>
          <w:sz w:val="16"/>
          <w:szCs w:val="16"/>
        </w:rPr>
        <w:t>远化物流</w:t>
      </w:r>
      <w:r>
        <w:rPr>
          <w:rFonts w:ascii="Arial Narrow" w:eastAsia="Arial Narrow" w:hAnsi="Arial Narrow" w:cs="Arial Narrow"/>
          <w:i/>
          <w:iCs/>
          <w:sz w:val="16"/>
          <w:szCs w:val="16"/>
        </w:rPr>
        <w:t>20</w:t>
      </w:r>
      <w:r>
        <w:rPr>
          <w:rFonts w:ascii="Arial Narrow" w:eastAsia="Arial Narrow" w:hAnsi="Arial Narrow" w:cs="Arial Narrow"/>
          <w:i/>
          <w:iCs/>
          <w:sz w:val="16"/>
          <w:szCs w:val="16"/>
        </w:rPr>
        <w:t>23</w:t>
      </w:r>
      <w:r>
        <w:rPr>
          <w:rFonts w:ascii="仿宋_GB2312" w:eastAsia="仿宋_GB2312" w:hAnsi="仿宋_GB2312" w:cs="仿宋_GB2312"/>
          <w:i/>
          <w:iCs/>
          <w:sz w:val="16"/>
          <w:szCs w:val="16"/>
        </w:rPr>
        <w:t>年度审计报告</w:t>
      </w:r>
    </w:p>
    <w:p>
      <w:pPr>
        <w:pStyle w:val="Heading2"/>
        <w:numPr>
          <w:ilvl w:val="1"/>
          <w:numId w:val="1"/>
        </w:numPr>
      </w:pPr>
      <w:bookmarkStart w:id="119" w:name="_Toc256003223"/>
      <w:r>
        <w:t>本年度重大变化事项</w:t>
      </w:r>
      <w:bookmarkEnd w:id="119"/>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未发生重组，未发生无形资产转让的情况，企业的经营状况未受到重大影响。</w:t>
      </w:r>
    </w:p>
    <w:p>
      <w:pPr>
        <w:pStyle w:val="BodyText"/>
        <w:numPr>
          <w:ilvl w:val="0"/>
          <w:numId w:val="0"/>
        </w:numPr>
        <w:sectPr>
          <w:pgMar w:header="720" w:footer="720"/>
          <w:cols w:space="720"/>
        </w:sectPr>
      </w:pPr>
    </w:p>
    <w:p>
      <w:pPr>
        <w:pStyle w:val="Heading1"/>
        <w:numPr>
          <w:ilvl w:val="0"/>
          <w:numId w:val="1"/>
        </w:numPr>
      </w:pPr>
      <w:bookmarkStart w:id="120" w:name="_Toc256003224"/>
      <w:r>
        <w:t>行业分析</w:t>
      </w:r>
      <w:bookmarkEnd w:id="12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w:t>
      </w:r>
      <w:r>
        <w:rPr>
          <w:rFonts w:ascii="Arial Narrow" w:eastAsia="Arial Narrow" w:hAnsi="Arial Narrow" w:cs="Arial Narrow"/>
          <w:sz w:val="22"/>
          <w:szCs w:val="22"/>
        </w:rPr>
        <w:t>OECD</w:t>
      </w:r>
      <w:r>
        <w:rPr>
          <w:rFonts w:ascii="仿宋_GB2312" w:eastAsia="仿宋_GB2312" w:hAnsi="仿宋_GB2312" w:cs="仿宋_GB2312"/>
          <w:sz w:val="22"/>
          <w:szCs w:val="22"/>
        </w:rPr>
        <w:t>指南亦建议将行业分析作为转让定价分析的重要步骤。</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因此，我们将对上海</w:t>
      </w:r>
      <w:r>
        <w:rPr>
          <w:rFonts w:ascii="Arial Narrow" w:eastAsia="Arial Narrow" w:hAnsi="Arial Narrow" w:cs="Arial Narrow"/>
          <w:sz w:val="22"/>
          <w:szCs w:val="22"/>
        </w:rPr>
        <w:t>远化物流</w:t>
      </w:r>
      <w:r>
        <w:rPr>
          <w:rFonts w:ascii="仿宋_GB2312" w:eastAsia="仿宋_GB2312" w:hAnsi="仿宋_GB2312" w:cs="仿宋_GB2312"/>
          <w:sz w:val="22"/>
          <w:szCs w:val="22"/>
        </w:rPr>
        <w:t>有限公司相关的行业领域，即道路运输业，进行分析。分析的具体方面如下：</w:t>
      </w:r>
    </w:p>
    <w:p>
      <w:pPr>
        <w:pStyle w:val="BodyText"/>
        <w:numPr>
          <w:ilvl w:val="0"/>
          <w:numId w:val="4"/>
        </w:numPr>
        <w:tabs>
          <w:tab w:val="left" w:pos="1010"/>
        </w:tabs>
        <w:spacing w:before="120" w:after="120"/>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道路运输业行业概述；</w:t>
      </w:r>
    </w:p>
    <w:p>
      <w:pPr>
        <w:pStyle w:val="BodyText"/>
        <w:numPr>
          <w:ilvl w:val="0"/>
          <w:numId w:val="4"/>
        </w:numPr>
        <w:tabs>
          <w:tab w:val="left" w:pos="1010"/>
        </w:tabs>
        <w:spacing w:before="120" w:after="120"/>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市场规模与结构；</w:t>
      </w:r>
    </w:p>
    <w:p>
      <w:pPr>
        <w:pStyle w:val="BodyText"/>
        <w:numPr>
          <w:ilvl w:val="0"/>
          <w:numId w:val="4"/>
        </w:numPr>
        <w:tabs>
          <w:tab w:val="left" w:pos="1010"/>
        </w:tabs>
        <w:spacing w:before="120" w:after="120"/>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行业竞争；</w:t>
      </w:r>
    </w:p>
    <w:p>
      <w:pPr>
        <w:pStyle w:val="BodyText"/>
        <w:numPr>
          <w:ilvl w:val="0"/>
          <w:numId w:val="4"/>
        </w:numPr>
        <w:tabs>
          <w:tab w:val="left" w:pos="1010"/>
        </w:tabs>
        <w:spacing w:before="120" w:after="120"/>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政策法规环境；</w:t>
      </w:r>
    </w:p>
    <w:p>
      <w:pPr>
        <w:pStyle w:val="BodyText"/>
        <w:numPr>
          <w:ilvl w:val="0"/>
          <w:numId w:val="4"/>
        </w:numPr>
        <w:tabs>
          <w:tab w:val="left" w:pos="1010"/>
        </w:tabs>
        <w:spacing w:before="120" w:after="120"/>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行业发展趋势；</w:t>
      </w:r>
    </w:p>
    <w:p>
      <w:pPr>
        <w:pStyle w:val="BodyText"/>
        <w:numPr>
          <w:ilvl w:val="0"/>
          <w:numId w:val="4"/>
        </w:numPr>
        <w:tabs>
          <w:tab w:val="left" w:pos="1010"/>
        </w:tabs>
        <w:spacing w:before="120" w:after="120"/>
        <w:ind w:left="981"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总结。</w:t>
      </w:r>
    </w:p>
    <w:p>
      <w:pPr>
        <w:pStyle w:val="Heading2"/>
        <w:numPr>
          <w:ilvl w:val="1"/>
          <w:numId w:val="1"/>
        </w:numPr>
      </w:pPr>
      <w:bookmarkStart w:id="121" w:name="_Toc256003225"/>
      <w:r>
        <w:t>道路运输行业概述</w:t>
      </w:r>
      <w:bookmarkEnd w:id="121"/>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道路运输是指在公共道路（包括城市、城间、城乡间、乡间能行驶汽车的所有道路）上使用汽车或其他运输工具，从事旅客或货物运输及其相关业务活动的总称。</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道路运输分为直达运输、干线运输和短距离集散运输三种形式。因此，道路运输有“通过”运输和“送达”或“集散”的功能，尤其是“送达”或“集散”功能作为其他几种运输方式（管道除外）的终端运输方式是交通运输中不可缺少的组成部分，在综合交通运输体系中发挥着非常重要的作用。随着高速公路向网络规模的发展，利用高速公路的干线运输功能，道路运输作为一种具有功能齐全（“通过”和“送达”或“集散”齐备）的运输体系发挥着越来越重要的作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与其他运输方式比较，道路运输的特点是灵活性，尤其是高速公路建设，信息网络、通信技术以及计算机技术等的发展，又实现着快速性“门一门”运输和被称为零库存的运输特点，促使着道路运输的快速发展。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道路运输的灵活性和快速性主要表现在批量、运输条件、时间和服务上的灵活性以及时间上的快速性。由于道路运输的批量小和要求的运输条件相对宽松，所以在运输时间和服务水平上容易得到保障。也正因为如此，道路运输具有生产点多面广的特点。</w:t>
      </w:r>
    </w:p>
    <w:p>
      <w:pPr>
        <w:pStyle w:val="Heading2"/>
        <w:numPr>
          <w:ilvl w:val="1"/>
          <w:numId w:val="1"/>
        </w:numPr>
      </w:pPr>
      <w:bookmarkStart w:id="122" w:name="_Toc256003226"/>
      <w:r>
        <w:t>市场规模与结构</w:t>
      </w:r>
      <w:bookmarkEnd w:id="122"/>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道路运输业实质上是一种依托于公路网络的物流活动，其核心在于运用各类载货车辆，尤其是以卡车为主的运输工具，实现货物从一地到另一地的空间转移。作为综合交通运输体系的重要组成部分，在国民经济中占据着关键地位。近年来，其整体规模呈现出持续增长的态势。从运输量来看，货运量均保持在较高水平且稳步上升。在过去三年间，全国道路货运量累计达</w:t>
      </w:r>
      <w:r>
        <w:rPr>
          <w:rFonts w:ascii="Arial Narrow" w:eastAsia="Arial Narrow" w:hAnsi="Arial Narrow" w:cs="Arial Narrow"/>
          <w:sz w:val="22"/>
          <w:szCs w:val="22"/>
        </w:rPr>
        <w:t>11,316,879</w:t>
      </w:r>
      <w:r>
        <w:rPr>
          <w:rFonts w:ascii="仿宋_GB2312" w:eastAsia="仿宋_GB2312" w:hAnsi="仿宋_GB2312" w:cs="仿宋_GB2312"/>
          <w:sz w:val="22"/>
          <w:szCs w:val="22"/>
        </w:rPr>
        <w:t>万吨。另外，货运周转量也相应增长，反映出道路运输在人员和货物空间位移服务方面的广泛覆盖和不断强化的服务能力。</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anchor simplePos="0" relativeHeight="251658240" behindDoc="0" locked="0" layoutInCell="1" allowOverlap="1">
            <wp:simplePos x="0" y="0"/>
            <wp:positionH relativeFrom="margin">
              <wp:posOffset>0</wp:posOffset>
            </wp:positionH>
            <wp:positionV relativeFrom="paragraph">
              <wp:posOffset>484505</wp:posOffset>
            </wp:positionV>
            <wp:extent cx="4476750" cy="2228850"/>
            <wp:wrapTopAndBottom/>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476750" cy="2228850"/>
                    </a:xfrm>
                    <a:prstGeom prst="rect">
                      <a:avLst/>
                    </a:prstGeom>
                  </pic:spPr>
                </pic:pic>
              </a:graphicData>
            </a:graphic>
          </wp:anchor>
        </w:drawing>
      </w:r>
      <w:r>
        <w:rPr>
          <w:rFonts w:ascii="Times New Roman" w:eastAsia="Times New Roman" w:hAnsi="Times New Roman" w:cs="Times New Roman"/>
          <w:sz w:val="22"/>
          <w:szCs w:val="22"/>
        </w:rPr>
        <w:br/>
      </w:r>
      <w:r>
        <w:rPr>
          <w:rFonts w:ascii="仿宋" w:eastAsia="仿宋" w:hAnsi="仿宋" w:cs="仿宋"/>
          <w:b/>
          <w:bCs/>
          <w:sz w:val="22"/>
          <w:szCs w:val="22"/>
        </w:rPr>
        <w:t>图表</w:t>
      </w:r>
      <w:r>
        <w:rPr>
          <w:rFonts w:ascii="Arial Narrow" w:eastAsia="Arial Narrow" w:hAnsi="Arial Narrow" w:cs="Arial Narrow"/>
          <w:b/>
          <w:bCs/>
          <w:sz w:val="22"/>
          <w:szCs w:val="22"/>
        </w:rPr>
        <w:t>7</w:t>
      </w:r>
      <w:r>
        <w:rPr>
          <w:rFonts w:ascii="仿宋" w:eastAsia="仿宋" w:hAnsi="仿宋" w:cs="仿宋"/>
          <w:b/>
          <w:bCs/>
          <w:sz w:val="22"/>
          <w:szCs w:val="22"/>
        </w:rPr>
        <w:t>：2019-20</w:t>
      </w:r>
      <w:r>
        <w:rPr>
          <w:rFonts w:ascii="仿宋" w:eastAsia="仿宋" w:hAnsi="仿宋" w:cs="仿宋"/>
          <w:b/>
          <w:bCs/>
          <w:sz w:val="22"/>
          <w:szCs w:val="22"/>
        </w:rPr>
        <w:t>23</w:t>
      </w:r>
      <w:r>
        <w:rPr>
          <w:rFonts w:ascii="仿宋" w:eastAsia="仿宋" w:hAnsi="仿宋" w:cs="仿宋"/>
          <w:b/>
          <w:bCs/>
          <w:sz w:val="22"/>
          <w:szCs w:val="22"/>
        </w:rPr>
        <w:t>年我国道路运输业公路货物运输量（单位：万吨）</w:t>
      </w:r>
      <w:r>
        <w:rPr>
          <w:rFonts w:ascii="Century" w:eastAsia="Century" w:hAnsi="Century" w:cs="Century"/>
          <w:color w:val="000000"/>
          <w:sz w:val="14"/>
          <w:szCs w:val="14"/>
          <w:u w:val="none"/>
          <w:vertAlign w:val="superscript"/>
        </w:rPr>
        <w:footnoteReference w:id="3"/>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我国道路货运行业市场规模和增长率据最新发布的交通运输统计数据，</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年度中国道路货运业务展现出强劲的增长势头。全年商业运营中，道路运输业共计承运货物量达到</w:t>
      </w:r>
      <w:r>
        <w:rPr>
          <w:rFonts w:ascii="Arial Narrow" w:eastAsia="Arial Narrow" w:hAnsi="Arial Narrow" w:cs="Arial Narrow"/>
          <w:sz w:val="22"/>
          <w:szCs w:val="22"/>
        </w:rPr>
        <w:t>403.37</w:t>
      </w:r>
      <w:r>
        <w:rPr>
          <w:rFonts w:ascii="仿宋_GB2312" w:eastAsia="仿宋_GB2312" w:hAnsi="仿宋_GB2312" w:cs="仿宋_GB2312"/>
          <w:sz w:val="22"/>
          <w:szCs w:val="22"/>
        </w:rPr>
        <w:t>亿吨，相较于前一年度，这一数字实现了</w:t>
      </w:r>
      <w:r>
        <w:rPr>
          <w:rFonts w:ascii="Arial Narrow" w:eastAsia="Arial Narrow" w:hAnsi="Arial Narrow" w:cs="Arial Narrow"/>
          <w:sz w:val="22"/>
          <w:szCs w:val="22"/>
        </w:rPr>
        <w:t>8.7%</w:t>
      </w:r>
      <w:r>
        <w:rPr>
          <w:rFonts w:ascii="仿宋_GB2312" w:eastAsia="仿宋_GB2312" w:hAnsi="仿宋_GB2312" w:cs="仿宋_GB2312"/>
          <w:sz w:val="22"/>
          <w:szCs w:val="22"/>
        </w:rPr>
        <w:t>的显著增幅。同时，货物周转总量亦呈现上升趋势，全年累计达到</w:t>
      </w:r>
      <w:r>
        <w:rPr>
          <w:rFonts w:ascii="Arial Narrow" w:eastAsia="Arial Narrow" w:hAnsi="Arial Narrow" w:cs="Arial Narrow"/>
          <w:sz w:val="22"/>
          <w:szCs w:val="22"/>
        </w:rPr>
        <w:t>7.4</w:t>
      </w:r>
      <w:r>
        <w:rPr>
          <w:rFonts w:ascii="仿宋_GB2312" w:eastAsia="仿宋_GB2312" w:hAnsi="仿宋_GB2312" w:cs="仿宋_GB2312"/>
          <w:sz w:val="22"/>
          <w:szCs w:val="22"/>
        </w:rPr>
        <w:t>万亿吨公里，较之以往同期，增长率达到了</w:t>
      </w:r>
      <w:r>
        <w:rPr>
          <w:rFonts w:ascii="Arial Narrow" w:eastAsia="Arial Narrow" w:hAnsi="Arial Narrow" w:cs="Arial Narrow"/>
          <w:sz w:val="22"/>
          <w:szCs w:val="22"/>
        </w:rPr>
        <w:t>6.9%</w:t>
      </w:r>
      <w:r>
        <w:rPr>
          <w:rFonts w:ascii="仿宋_GB2312" w:eastAsia="仿宋_GB2312" w:hAnsi="仿宋_GB2312" w:cs="仿宋_GB2312"/>
          <w:sz w:val="22"/>
          <w:szCs w:val="22"/>
        </w:rPr>
        <w:t>。</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年，我国道路货运行业的市场规模达到了</w:t>
      </w:r>
      <w:r>
        <w:rPr>
          <w:rFonts w:ascii="Arial Narrow" w:eastAsia="Arial Narrow" w:hAnsi="Arial Narrow" w:cs="Arial Narrow"/>
          <w:sz w:val="22"/>
          <w:szCs w:val="22"/>
        </w:rPr>
        <w:t>5.26</w:t>
      </w:r>
      <w:r>
        <w:rPr>
          <w:rFonts w:ascii="仿宋_GB2312" w:eastAsia="仿宋_GB2312" w:hAnsi="仿宋_GB2312" w:cs="仿宋_GB2312"/>
          <w:sz w:val="22"/>
          <w:szCs w:val="22"/>
        </w:rPr>
        <w:t>万亿元，显示出稳步增长的态势</w:t>
      </w:r>
      <w:r>
        <w:rPr>
          <w:rFonts w:ascii="Century" w:eastAsia="Century" w:hAnsi="Century" w:cs="Century"/>
          <w:color w:val="000000"/>
          <w:sz w:val="14"/>
          <w:szCs w:val="14"/>
          <w:u w:val="none"/>
          <w:vertAlign w:val="superscript"/>
        </w:rPr>
        <w:footnoteReference w:id="4"/>
      </w:r>
      <w:r>
        <w:rPr>
          <w:rFonts w:ascii="仿宋_GB2312" w:eastAsia="仿宋_GB2312" w:hAnsi="仿宋_GB2312" w:cs="仿宋_GB2312"/>
          <w:sz w:val="22"/>
          <w:szCs w:val="22"/>
        </w:rPr>
        <w:t>。此外，</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年末全国拥有载货汽车</w:t>
      </w:r>
      <w:r>
        <w:rPr>
          <w:rFonts w:ascii="Arial Narrow" w:eastAsia="Arial Narrow" w:hAnsi="Arial Narrow" w:cs="Arial Narrow"/>
          <w:sz w:val="22"/>
          <w:szCs w:val="22"/>
        </w:rPr>
        <w:t>1170.97</w:t>
      </w:r>
      <w:r>
        <w:rPr>
          <w:rFonts w:ascii="仿宋_GB2312" w:eastAsia="仿宋_GB2312" w:hAnsi="仿宋_GB2312" w:cs="仿宋_GB2312"/>
          <w:sz w:val="22"/>
          <w:szCs w:val="22"/>
        </w:rPr>
        <w:t>万辆，其中货车类占约</w:t>
      </w:r>
      <w:r>
        <w:rPr>
          <w:rFonts w:ascii="Arial Narrow" w:eastAsia="Arial Narrow" w:hAnsi="Arial Narrow" w:cs="Arial Narrow"/>
          <w:sz w:val="22"/>
          <w:szCs w:val="22"/>
        </w:rPr>
        <w:t>37%</w:t>
      </w:r>
      <w:r>
        <w:rPr>
          <w:rFonts w:ascii="仿宋_GB2312" w:eastAsia="仿宋_GB2312" w:hAnsi="仿宋_GB2312" w:cs="仿宋_GB2312"/>
          <w:sz w:val="22"/>
          <w:szCs w:val="22"/>
        </w:rPr>
        <w:t>，在道路运输市场中占有重要地位。</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目前，国家对交通运输产业以及道路基础设施的建设仍然处于大力支持的阶段，在贸易活动进一步活跃，下游产业需求规模进一步扩大的背景下，中国道路货运的规模将稳中有进。初步预计</w:t>
      </w:r>
      <w:r>
        <w:rPr>
          <w:rFonts w:ascii="Arial Narrow" w:eastAsia="Arial Narrow" w:hAnsi="Arial Narrow" w:cs="Arial Narrow"/>
          <w:sz w:val="22"/>
          <w:szCs w:val="22"/>
        </w:rPr>
        <w:t>2029</w:t>
      </w:r>
      <w:r>
        <w:rPr>
          <w:rFonts w:ascii="仿宋_GB2312" w:eastAsia="仿宋_GB2312" w:hAnsi="仿宋_GB2312" w:cs="仿宋_GB2312"/>
          <w:sz w:val="22"/>
          <w:szCs w:val="22"/>
        </w:rPr>
        <w:t>年道路货运规模将超过</w:t>
      </w:r>
      <w:r>
        <w:rPr>
          <w:rFonts w:ascii="Arial Narrow" w:eastAsia="Arial Narrow" w:hAnsi="Arial Narrow" w:cs="Arial Narrow"/>
          <w:sz w:val="22"/>
          <w:szCs w:val="22"/>
        </w:rPr>
        <w:t>420</w:t>
      </w:r>
      <w:r>
        <w:rPr>
          <w:rFonts w:ascii="仿宋_GB2312" w:eastAsia="仿宋_GB2312" w:hAnsi="仿宋_GB2312" w:cs="仿宋_GB2312"/>
          <w:sz w:val="22"/>
          <w:szCs w:val="22"/>
        </w:rPr>
        <w:t>亿吨，</w:t>
      </w:r>
      <w:r>
        <w:rPr>
          <w:rFonts w:ascii="Arial Narrow" w:eastAsia="Arial Narrow" w:hAnsi="Arial Narrow" w:cs="Arial Narrow"/>
          <w:sz w:val="22"/>
          <w:szCs w:val="22"/>
        </w:rPr>
        <w:t>2024-2029</w:t>
      </w:r>
      <w:r>
        <w:rPr>
          <w:rFonts w:ascii="仿宋_GB2312" w:eastAsia="仿宋_GB2312" w:hAnsi="仿宋_GB2312" w:cs="仿宋_GB2312"/>
          <w:sz w:val="22"/>
          <w:szCs w:val="22"/>
        </w:rPr>
        <w:t>年复合增长率为</w:t>
      </w:r>
      <w:r>
        <w:rPr>
          <w:rFonts w:ascii="Arial Narrow" w:eastAsia="Arial Narrow" w:hAnsi="Arial Narrow" w:cs="Arial Narrow"/>
          <w:sz w:val="22"/>
          <w:szCs w:val="22"/>
        </w:rPr>
        <w:t>2%</w:t>
      </w:r>
      <w:r>
        <w:rPr>
          <w:rFonts w:ascii="Century" w:eastAsia="Century" w:hAnsi="Century" w:cs="Century"/>
          <w:color w:val="000000"/>
          <w:sz w:val="14"/>
          <w:szCs w:val="14"/>
          <w:u w:val="none"/>
          <w:vertAlign w:val="superscript"/>
        </w:rPr>
        <w:footnoteReference w:id="5"/>
      </w:r>
      <w:r>
        <w:rPr>
          <w:rFonts w:ascii="仿宋_GB2312" w:eastAsia="仿宋_GB2312" w:hAnsi="仿宋_GB2312" w:cs="仿宋_GB2312"/>
          <w:sz w:val="22"/>
          <w:szCs w:val="22"/>
        </w:rPr>
        <w:t>。且从长远来看，我国道路货运市场规模在</w:t>
      </w:r>
      <w:r>
        <w:rPr>
          <w:rFonts w:ascii="Arial Narrow" w:eastAsia="Arial Narrow" w:hAnsi="Arial Narrow" w:cs="Arial Narrow"/>
          <w:sz w:val="22"/>
          <w:szCs w:val="22"/>
        </w:rPr>
        <w:t>2021</w:t>
      </w:r>
      <w:r>
        <w:rPr>
          <w:rFonts w:ascii="仿宋_GB2312" w:eastAsia="仿宋_GB2312" w:hAnsi="仿宋_GB2312" w:cs="仿宋_GB2312"/>
          <w:sz w:val="22"/>
          <w:szCs w:val="22"/>
        </w:rPr>
        <w:t>年达到了约</w:t>
      </w:r>
      <w:r>
        <w:rPr>
          <w:rFonts w:ascii="Arial Narrow" w:eastAsia="Arial Narrow" w:hAnsi="Arial Narrow" w:cs="Arial Narrow"/>
          <w:sz w:val="22"/>
          <w:szCs w:val="22"/>
        </w:rPr>
        <w:t>5</w:t>
      </w:r>
      <w:r>
        <w:rPr>
          <w:rFonts w:ascii="仿宋_GB2312" w:eastAsia="仿宋_GB2312" w:hAnsi="仿宋_GB2312" w:cs="仿宋_GB2312"/>
          <w:sz w:val="22"/>
          <w:szCs w:val="22"/>
        </w:rPr>
        <w:t>万亿元，自</w:t>
      </w:r>
      <w:r>
        <w:rPr>
          <w:rFonts w:ascii="Arial Narrow" w:eastAsia="Arial Narrow" w:hAnsi="Arial Narrow" w:cs="Arial Narrow"/>
          <w:sz w:val="22"/>
          <w:szCs w:val="22"/>
        </w:rPr>
        <w:t>2016</w:t>
      </w:r>
      <w:r>
        <w:rPr>
          <w:rFonts w:ascii="仿宋_GB2312" w:eastAsia="仿宋_GB2312" w:hAnsi="仿宋_GB2312" w:cs="仿宋_GB2312"/>
          <w:sz w:val="22"/>
          <w:szCs w:val="22"/>
        </w:rPr>
        <w:t>年以来一直保持着</w:t>
      </w:r>
      <w:r>
        <w:rPr>
          <w:rFonts w:ascii="Arial Narrow" w:eastAsia="Arial Narrow" w:hAnsi="Arial Narrow" w:cs="Arial Narrow"/>
          <w:sz w:val="22"/>
          <w:szCs w:val="22"/>
        </w:rPr>
        <w:t>3.3%</w:t>
      </w:r>
      <w:r>
        <w:rPr>
          <w:rFonts w:ascii="仿宋_GB2312" w:eastAsia="仿宋_GB2312" w:hAnsi="仿宋_GB2312" w:cs="仿宋_GB2312"/>
          <w:sz w:val="22"/>
          <w:szCs w:val="22"/>
        </w:rPr>
        <w:t>左右的稳定复合增长率。随着国家对交通基础设施的持续投资和物流需求的不断增长，预计到</w:t>
      </w:r>
      <w:r>
        <w:rPr>
          <w:rFonts w:ascii="Arial Narrow" w:eastAsia="Arial Narrow" w:hAnsi="Arial Narrow" w:cs="Arial Narrow"/>
          <w:sz w:val="22"/>
          <w:szCs w:val="22"/>
        </w:rPr>
        <w:t>2029</w:t>
      </w:r>
      <w:r>
        <w:rPr>
          <w:rFonts w:ascii="仿宋_GB2312" w:eastAsia="仿宋_GB2312" w:hAnsi="仿宋_GB2312" w:cs="仿宋_GB2312"/>
          <w:sz w:val="22"/>
          <w:szCs w:val="22"/>
        </w:rPr>
        <w:t>年，道路货运市场规模将继续扩大至</w:t>
      </w:r>
      <w:r>
        <w:rPr>
          <w:rFonts w:ascii="Arial Narrow" w:eastAsia="Arial Narrow" w:hAnsi="Arial Narrow" w:cs="Arial Narrow"/>
          <w:sz w:val="22"/>
          <w:szCs w:val="22"/>
        </w:rPr>
        <w:t>6.35</w:t>
      </w:r>
      <w:r>
        <w:rPr>
          <w:rFonts w:ascii="仿宋_GB2312" w:eastAsia="仿宋_GB2312" w:hAnsi="仿宋_GB2312" w:cs="仿宋_GB2312"/>
          <w:sz w:val="22"/>
          <w:szCs w:val="22"/>
        </w:rPr>
        <w:t>万亿元，展现出良好的发展前景</w:t>
      </w:r>
      <w:r>
        <w:rPr>
          <w:rFonts w:ascii="Century" w:eastAsia="Century" w:hAnsi="Century" w:cs="Century"/>
          <w:color w:val="000000"/>
          <w:sz w:val="14"/>
          <w:szCs w:val="14"/>
          <w:u w:val="none"/>
          <w:vertAlign w:val="superscript"/>
        </w:rPr>
        <w:footnoteReference w:id="6"/>
      </w:r>
      <w:r>
        <w:rPr>
          <w:rFonts w:ascii="仿宋_GB2312" w:eastAsia="仿宋_GB2312" w:hAnsi="仿宋_GB2312" w:cs="仿宋_GB2312"/>
          <w:sz w:val="22"/>
          <w:szCs w:val="22"/>
        </w:rPr>
        <w:t>。</w:t>
      </w:r>
    </w:p>
    <w:p>
      <w:pPr>
        <w:pStyle w:val="BodyText"/>
        <w:numPr>
          <w:ilvl w:val="0"/>
          <w:numId w:val="0"/>
        </w:numPr>
        <w:spacing w:before="120" w:after="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anchor simplePos="0" relativeHeight="251659264" behindDoc="0" locked="0" layoutInCell="1" allowOverlap="1">
            <wp:simplePos x="0" y="0"/>
            <wp:positionH relativeFrom="page">
              <wp:posOffset>0</wp:posOffset>
            </wp:positionH>
            <wp:positionV relativeFrom="paragraph">
              <wp:posOffset>559435</wp:posOffset>
            </wp:positionV>
            <wp:extent cx="5353050" cy="2057400"/>
            <wp:wrapTopAndBottom/>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353050" cy="2057400"/>
                    </a:xfrm>
                    <a:prstGeom prst="rect">
                      <a:avLst/>
                    </a:prstGeom>
                  </pic:spPr>
                </pic:pic>
              </a:graphicData>
            </a:graphic>
          </wp:anchor>
        </w:drawing>
      </w:r>
      <w:r>
        <w:rPr>
          <w:rFonts w:ascii="Times New Roman" w:eastAsia="Times New Roman" w:hAnsi="Times New Roman" w:cs="Times New Roman"/>
          <w:sz w:val="22"/>
          <w:szCs w:val="22"/>
        </w:rPr>
        <w:br/>
      </w:r>
      <w:bookmarkStart w:id="123" w:name="OLE_LINK7"/>
      <w:r>
        <w:rPr>
          <w:rFonts w:ascii="仿宋" w:eastAsia="仿宋" w:hAnsi="仿宋" w:cs="仿宋"/>
          <w:b/>
          <w:bCs/>
          <w:sz w:val="22"/>
          <w:szCs w:val="22"/>
        </w:rPr>
        <w:t>图表</w:t>
      </w:r>
      <w:r>
        <w:rPr>
          <w:rFonts w:ascii="Arial Narrow" w:eastAsia="Arial Narrow" w:hAnsi="Arial Narrow" w:cs="Arial Narrow"/>
          <w:b/>
          <w:bCs/>
          <w:sz w:val="22"/>
          <w:szCs w:val="22"/>
        </w:rPr>
        <w:t>8</w:t>
      </w:r>
      <w:r>
        <w:rPr>
          <w:rFonts w:ascii="仿宋" w:eastAsia="仿宋" w:hAnsi="仿宋" w:cs="仿宋"/>
          <w:b/>
          <w:bCs/>
          <w:sz w:val="22"/>
          <w:szCs w:val="22"/>
        </w:rPr>
        <w:t>：20</w:t>
      </w:r>
      <w:r>
        <w:rPr>
          <w:rFonts w:ascii="仿宋" w:eastAsia="仿宋" w:hAnsi="仿宋" w:cs="仿宋"/>
          <w:b/>
          <w:bCs/>
          <w:sz w:val="22"/>
          <w:szCs w:val="22"/>
        </w:rPr>
        <w:t>23</w:t>
      </w:r>
      <w:r>
        <w:rPr>
          <w:rFonts w:ascii="仿宋" w:eastAsia="仿宋" w:hAnsi="仿宋" w:cs="仿宋"/>
          <w:b/>
          <w:bCs/>
          <w:sz w:val="22"/>
          <w:szCs w:val="22"/>
        </w:rPr>
        <w:t>年载货汽车市场占比份额</w:t>
      </w:r>
      <w:bookmarkEnd w:id="123"/>
      <w:r>
        <w:rPr>
          <w:rFonts w:ascii="Century" w:eastAsia="Century" w:hAnsi="Century" w:cs="Century"/>
          <w:color w:val="000000"/>
          <w:sz w:val="14"/>
          <w:szCs w:val="14"/>
          <w:u w:val="none"/>
          <w:vertAlign w:val="superscript"/>
        </w:rPr>
        <w:footnoteReference w:id="7"/>
      </w:r>
    </w:p>
    <w:p>
      <w:pPr>
        <w:pStyle w:val="Heading2"/>
        <w:numPr>
          <w:ilvl w:val="1"/>
          <w:numId w:val="1"/>
        </w:numPr>
      </w:pPr>
      <w:bookmarkStart w:id="124" w:name="_Toc256003227"/>
      <w:r>
        <w:t>产业链上中下游</w:t>
      </w:r>
      <w:bookmarkEnd w:id="124"/>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随着我国经济的持续发展，货运需求大幅增加，公路货运行业在社会经济中的重要性日益凸显。作为国家的基础性产业，公路货运在保障各行业供应链顺畅运行中起着关键作用。同时，新能源商用车的快速普及和道路基础设施的持续完善也推动了公路货运行业的发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公路货运行业的产业链包括上游、中游和下游三个主要环节：</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上游：包括整车制造商（如福田汽车、中集车辆、中国重汽）、公路运营企业和能源物资供应企业（如中国石油、中国石化）。</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中游：公路货运服务企业（如中储物流、传化智联、顺丰股份、德邦物流）。</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下游：接受公路货运服务的个人及各行各业的商户和企业。此外，为公路货运提供配套服务的汽车维修厂商也起到了重要保障作用。</w:t>
      </w:r>
    </w:p>
    <w:p>
      <w:pPr>
        <w:pStyle w:val="BodyText"/>
        <w:numPr>
          <w:ilvl w:val="0"/>
          <w:numId w:val="0"/>
        </w:numPr>
        <w:spacing w:before="120" w:after="120" w:line="360" w:lineRule="auto"/>
        <w:ind w:firstLine="44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9</w:t>
      </w:r>
      <w:r>
        <w:rPr>
          <w:rFonts w:ascii="仿宋" w:eastAsia="仿宋" w:hAnsi="仿宋" w:cs="仿宋"/>
          <w:b/>
          <w:bCs/>
          <w:sz w:val="22"/>
          <w:szCs w:val="22"/>
        </w:rPr>
        <w:t>：货运行业产业链</w:t>
      </w:r>
      <w:r>
        <w:rPr>
          <w:rFonts w:ascii="仿宋_GB2312" w:eastAsia="仿宋_GB2312" w:hAnsi="仿宋_GB2312" w:cs="仿宋_GB2312"/>
          <w:sz w:val="22"/>
          <w:szCs w:val="22"/>
        </w:rPr>
        <w:t xml:space="preserve"> </w:t>
      </w:r>
    </w:p>
    <w:p>
      <w:pPr>
        <w:pStyle w:val="BodyText"/>
        <w:numPr>
          <w:ilvl w:val="0"/>
          <w:numId w:val="0"/>
        </w:numPr>
        <w:spacing w:before="120" w:after="120" w:line="360" w:lineRule="auto"/>
        <w:ind w:firstLine="4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inline>
            <wp:extent cx="4714875" cy="2143125"/>
            <wp:docPr id="100009" name="" descr="屏幕快照 2024-12-18 下午3.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714875" cy="2143125"/>
                    </a:xfrm>
                    <a:prstGeom prst="rect">
                      <a:avLst/>
                    </a:prstGeom>
                  </pic:spPr>
                </pic:pic>
              </a:graphicData>
            </a:graphic>
          </wp:inline>
        </w:drawing>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总体来看，我国公路货运行业的产业链脉络清晰，各环节紧密相连，共同推动着行业的稳步发展。</w:t>
      </w:r>
    </w:p>
    <w:p>
      <w:pPr>
        <w:pStyle w:val="Heading2"/>
        <w:numPr>
          <w:ilvl w:val="1"/>
          <w:numId w:val="1"/>
        </w:numPr>
      </w:pPr>
      <w:bookmarkStart w:id="125" w:name="_Toc256003228"/>
      <w:r>
        <w:t>行业竞争</w:t>
      </w:r>
      <w:bookmarkEnd w:id="125"/>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中国道路运输行业的竞争格局主要由两个部分组成：一是行业内的竞争，二是行业外的竞争。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行业内的竞争主要来自于公司之间的竞争，行业内的公司之间的竞争主要是以价格、服务、技术和信誉为主要竞争手段。特别是在服务方面，运输公司和货运代理公司之间的竞争日益激烈，服务水平也日益提高。</w:t>
      </w:r>
    </w:p>
    <w:p>
      <w:pPr>
        <w:pStyle w:val="BodyText"/>
        <w:numPr>
          <w:ilvl w:val="0"/>
          <w:numId w:val="5"/>
        </w:numPr>
        <w:tabs>
          <w:tab w:val="left" w:pos="869"/>
        </w:tabs>
        <w:spacing w:before="120" w:after="0" w:line="360" w:lineRule="auto"/>
        <w:ind w:left="84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价格竞争激烈：中小型货运企业众多，市场分散，竞争主要以价格为导向。部分企业通过压低价格吸引客户，导致行业利润率偏低。</w:t>
      </w:r>
    </w:p>
    <w:p>
      <w:pPr>
        <w:pStyle w:val="BodyText"/>
        <w:numPr>
          <w:ilvl w:val="0"/>
          <w:numId w:val="5"/>
        </w:numPr>
        <w:tabs>
          <w:tab w:val="left" w:pos="869"/>
        </w:tabs>
        <w:spacing w:before="0" w:after="0" w:line="360" w:lineRule="auto"/>
        <w:ind w:left="84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服务差异化不足：许多货运企业提供的服务较为同质化，难以形成品牌竞争力。客户更倾向于选择价格更低的服务，而非质量更高的服务。</w:t>
      </w:r>
    </w:p>
    <w:p>
      <w:pPr>
        <w:pStyle w:val="BodyText"/>
        <w:numPr>
          <w:ilvl w:val="0"/>
          <w:numId w:val="5"/>
        </w:numPr>
        <w:tabs>
          <w:tab w:val="left" w:pos="869"/>
        </w:tabs>
        <w:spacing w:before="0" w:after="0" w:line="360" w:lineRule="auto"/>
        <w:ind w:left="84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平台化与规模化竞争：大型物流平台（如德邦物流、顺丰快运）通过技术赋能、整合资源和优化服务链，逐步蚕食传统中小货运企业的市场份额。</w:t>
      </w:r>
    </w:p>
    <w:p>
      <w:pPr>
        <w:pStyle w:val="BodyText"/>
        <w:numPr>
          <w:ilvl w:val="0"/>
          <w:numId w:val="5"/>
        </w:numPr>
        <w:tabs>
          <w:tab w:val="left" w:pos="869"/>
        </w:tabs>
        <w:spacing w:before="0" w:after="120" w:line="360" w:lineRule="auto"/>
        <w:ind w:left="84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技术驱动竞争：数字化技术的普及使得车货匹配平台（如货拉拉、</w:t>
      </w:r>
      <w:bookmarkStart w:id="126" w:name="OLE_LINK3"/>
      <w:r>
        <w:rPr>
          <w:rFonts w:ascii="仿宋_GB2312" w:eastAsia="仿宋_GB2312" w:hAnsi="仿宋_GB2312" w:cs="仿宋_GB2312"/>
          <w:sz w:val="22"/>
          <w:szCs w:val="22"/>
        </w:rPr>
        <w:t>满帮集团</w:t>
      </w:r>
      <w:bookmarkEnd w:id="126"/>
      <w:r>
        <w:rPr>
          <w:rFonts w:ascii="仿宋_GB2312" w:eastAsia="仿宋_GB2312" w:hAnsi="仿宋_GB2312" w:cs="仿宋_GB2312"/>
          <w:sz w:val="22"/>
          <w:szCs w:val="22"/>
        </w:rPr>
        <w:t>）成为竞争焦点，它们依靠大数据、</w:t>
      </w:r>
      <w:r>
        <w:rPr>
          <w:rFonts w:ascii="Calibri" w:eastAsia="Calibri" w:hAnsi="Calibri" w:cs="Calibri"/>
          <w:sz w:val="22"/>
          <w:szCs w:val="22"/>
        </w:rPr>
        <w:t>AI</w:t>
      </w:r>
      <w:r>
        <w:rPr>
          <w:rFonts w:ascii="仿宋_GB2312" w:eastAsia="仿宋_GB2312" w:hAnsi="仿宋_GB2312" w:cs="仿宋_GB2312"/>
          <w:sz w:val="22"/>
          <w:szCs w:val="22"/>
        </w:rPr>
        <w:t>技术提升效率，降低运营成本。</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行业外的竞争主要来自于其他运输方式，如铁路运输、水路运输、航空运输等，这些运输方式的发展都会对公路运输行业造成一定的竞争。公路运输行业与其他运输方式的竞争主要是以价格、服务、时效、安全性和灵活性等为主要竞争手段。</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中国公路运输行业市场现状处于快速发展之中，行业内的竞争日趋激烈，而行业外的竞争也日益激烈。只有不断强化自身实力，才能在竞争中取得优势，发展公路运输行业。</w:t>
      </w:r>
    </w:p>
    <w:p>
      <w:pPr>
        <w:pStyle w:val="Heading2"/>
        <w:numPr>
          <w:ilvl w:val="1"/>
          <w:numId w:val="1"/>
        </w:numPr>
      </w:pPr>
      <w:bookmarkStart w:id="127" w:name="_Toc256003229"/>
      <w:r>
        <w:t>政策法规环境</w:t>
      </w:r>
      <w:bookmarkEnd w:id="127"/>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2021</w:t>
      </w:r>
      <w:r>
        <w:rPr>
          <w:rFonts w:ascii="仿宋_GB2312" w:eastAsia="仿宋_GB2312" w:hAnsi="仿宋_GB2312" w:cs="仿宋_GB2312"/>
          <w:sz w:val="22"/>
          <w:szCs w:val="22"/>
        </w:rPr>
        <w:t>年</w:t>
      </w:r>
      <w:r>
        <w:rPr>
          <w:rFonts w:ascii="Arial Narrow" w:eastAsia="Arial Narrow" w:hAnsi="Arial Narrow" w:cs="Arial Narrow"/>
          <w:sz w:val="22"/>
          <w:szCs w:val="22"/>
        </w:rPr>
        <w:t>8</w:t>
      </w:r>
      <w:r>
        <w:rPr>
          <w:rFonts w:ascii="仿宋_GB2312" w:eastAsia="仿宋_GB2312" w:hAnsi="仿宋_GB2312" w:cs="仿宋_GB2312"/>
          <w:sz w:val="22"/>
          <w:szCs w:val="22"/>
        </w:rPr>
        <w:t>月，我国交通运输部发布《交通运输领域新型基础设施建设行动方案（</w:t>
      </w:r>
      <w:r>
        <w:rPr>
          <w:rFonts w:ascii="Arial Narrow" w:eastAsia="Arial Narrow" w:hAnsi="Arial Narrow" w:cs="Arial Narrow"/>
          <w:sz w:val="22"/>
          <w:szCs w:val="22"/>
        </w:rPr>
        <w:t>2021-2025</w:t>
      </w:r>
      <w:r>
        <w:rPr>
          <w:rFonts w:ascii="仿宋_GB2312" w:eastAsia="仿宋_GB2312" w:hAnsi="仿宋_GB2312" w:cs="仿宋_GB2312"/>
          <w:sz w:val="22"/>
          <w:szCs w:val="22"/>
        </w:rPr>
        <w:t xml:space="preserve">年）》提出要打造综合交通运输 </w:t>
      </w:r>
      <w:r>
        <w:rPr>
          <w:rFonts w:ascii="Arial Narrow" w:eastAsia="Arial Narrow" w:hAnsi="Arial Narrow" w:cs="Arial Narrow"/>
          <w:sz w:val="22"/>
          <w:szCs w:val="22"/>
        </w:rPr>
        <w:t>“</w:t>
      </w:r>
      <w:r>
        <w:rPr>
          <w:rFonts w:ascii="仿宋_GB2312" w:eastAsia="仿宋_GB2312" w:hAnsi="仿宋_GB2312" w:cs="仿宋_GB2312"/>
          <w:sz w:val="22"/>
          <w:szCs w:val="22"/>
        </w:rPr>
        <w:t>数据大脑</w:t>
      </w:r>
      <w:r>
        <w:rPr>
          <w:rFonts w:ascii="Arial Narrow" w:eastAsia="Arial Narrow" w:hAnsi="Arial Narrow" w:cs="Arial Narrow"/>
          <w:sz w:val="22"/>
          <w:szCs w:val="22"/>
        </w:rPr>
        <w:t>”</w:t>
      </w:r>
      <w:r>
        <w:rPr>
          <w:rFonts w:ascii="仿宋_GB2312" w:eastAsia="仿宋_GB2312" w:hAnsi="仿宋_GB2312" w:cs="仿宋_GB2312"/>
          <w:sz w:val="22"/>
          <w:szCs w:val="22"/>
        </w:rPr>
        <w:t>，建强综合交通运输领域基础设施建设行动方案和掌控突发事件应急指挥能力。鼓励和支持各地交通运输主管部门统筹开展综合交通运输信息平台建设，通过信息平台的互联互通，实现各级综合交通运输信息平台互联互通。</w:t>
      </w:r>
      <w:r>
        <w:rPr>
          <w:rFonts w:ascii="Arial Narrow" w:eastAsia="Arial Narrow" w:hAnsi="Arial Narrow" w:cs="Arial Narrow"/>
          <w:sz w:val="22"/>
          <w:szCs w:val="22"/>
        </w:rPr>
        <w:t>2022</w:t>
      </w:r>
      <w:r>
        <w:rPr>
          <w:rFonts w:ascii="仿宋_GB2312" w:eastAsia="仿宋_GB2312" w:hAnsi="仿宋_GB2312" w:cs="仿宋_GB2312"/>
          <w:sz w:val="22"/>
          <w:szCs w:val="22"/>
        </w:rPr>
        <w:t>年</w:t>
      </w:r>
      <w:r>
        <w:rPr>
          <w:rFonts w:ascii="Arial Narrow" w:eastAsia="Arial Narrow" w:hAnsi="Arial Narrow" w:cs="Arial Narrow"/>
          <w:sz w:val="22"/>
          <w:szCs w:val="22"/>
        </w:rPr>
        <w:t>3</w:t>
      </w:r>
      <w:r>
        <w:rPr>
          <w:rFonts w:ascii="仿宋_GB2312" w:eastAsia="仿宋_GB2312" w:hAnsi="仿宋_GB2312" w:cs="仿宋_GB2312"/>
          <w:sz w:val="22"/>
          <w:szCs w:val="22"/>
        </w:rPr>
        <w:t>月，中共中央国务院关于印发《中共中央国务院关于加快建设全国统一大市场的意见》，也强调了要推进多层次一体化发展，加快建设全国统一综合交通枢纽建设，推动交通运输设施跨区域、跨方式一体化发展。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Arial Narrow" w:eastAsia="Arial Narrow" w:hAnsi="Arial Narrow" w:cs="Arial Narrow"/>
          <w:sz w:val="22"/>
          <w:szCs w:val="22"/>
        </w:rPr>
        <w:t xml:space="preserve"> </w:t>
      </w:r>
      <w:r>
        <w:rPr>
          <w:rFonts w:ascii="仿宋_GB2312" w:eastAsia="仿宋_GB2312" w:hAnsi="仿宋_GB2312" w:cs="仿宋_GB2312"/>
          <w:sz w:val="22"/>
          <w:szCs w:val="22"/>
        </w:rPr>
        <w:t>年</w:t>
      </w:r>
      <w:r>
        <w:rPr>
          <w:rFonts w:ascii="Arial Narrow" w:eastAsia="Arial Narrow" w:hAnsi="Arial Narrow" w:cs="Arial Narrow"/>
          <w:sz w:val="22"/>
          <w:szCs w:val="22"/>
        </w:rPr>
        <w:t>9</w:t>
      </w:r>
      <w:r>
        <w:rPr>
          <w:rFonts w:ascii="仿宋_GB2312" w:eastAsia="仿宋_GB2312" w:hAnsi="仿宋_GB2312" w:cs="仿宋_GB2312"/>
          <w:sz w:val="22"/>
          <w:szCs w:val="22"/>
        </w:rPr>
        <w:t xml:space="preserve">月，交通运输部办公厅再次明确了道路运输企业和城市应当认定为重大事故隐患的若干情形。其中，所属货运车辆运输过程中发生客货运输企业生产安全事故且导致车辆总质量超过 </w:t>
      </w:r>
      <w:r>
        <w:rPr>
          <w:rFonts w:ascii="Arial Narrow" w:eastAsia="Arial Narrow" w:hAnsi="Arial Narrow" w:cs="Arial Narrow"/>
          <w:sz w:val="22"/>
          <w:szCs w:val="22"/>
        </w:rPr>
        <w:t xml:space="preserve">100 </w:t>
      </w:r>
      <w:r>
        <w:rPr>
          <w:rFonts w:ascii="仿宋_GB2312" w:eastAsia="仿宋_GB2312" w:hAnsi="仿宋_GB2312" w:cs="仿宋_GB2312"/>
          <w:sz w:val="22"/>
          <w:szCs w:val="22"/>
        </w:rPr>
        <w:t xml:space="preserve">吨的，被认定为重大事故隐患认定标准为重大事故隐患的情形之一。还有使用擅自（自行）通知、改装、拼装的车辆从事经营活动的，所属经营性驾驶员和车辆存在长期 </w:t>
      </w:r>
      <w:r>
        <w:rPr>
          <w:rFonts w:ascii="Arial Narrow" w:eastAsia="Arial Narrow" w:hAnsi="Arial Narrow" w:cs="Arial Narrow"/>
          <w:sz w:val="22"/>
          <w:szCs w:val="22"/>
        </w:rPr>
        <w:t>“</w:t>
      </w:r>
      <w:r>
        <w:rPr>
          <w:rFonts w:ascii="仿宋_GB2312" w:eastAsia="仿宋_GB2312" w:hAnsi="仿宋_GB2312" w:cs="仿宋_GB2312"/>
          <w:sz w:val="22"/>
          <w:szCs w:val="22"/>
        </w:rPr>
        <w:t>三超一疲劳</w:t>
      </w:r>
      <w:r>
        <w:rPr>
          <w:rFonts w:ascii="Arial Narrow" w:eastAsia="Arial Narrow" w:hAnsi="Arial Narrow" w:cs="Arial Narrow"/>
          <w:sz w:val="22"/>
          <w:szCs w:val="22"/>
        </w:rPr>
        <w:t xml:space="preserve">” </w:t>
      </w:r>
      <w:r>
        <w:rPr>
          <w:rFonts w:ascii="仿宋_GB2312" w:eastAsia="仿宋_GB2312" w:hAnsi="仿宋_GB2312" w:cs="仿宋_GB2312"/>
          <w:sz w:val="22"/>
          <w:szCs w:val="22"/>
        </w:rPr>
        <w:t>的情形等也被认定为重大事故隐患。通过明确重大事故隐患的认定标准，促使企业规范运营，加强车辆和驾驶员管理，减少安全事故的发生。</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总体而言，这些政策从基础设施、行业规范、综合交通体系建设等多个方面对道路运输业进行了全方位的引导和规范，旨在促进道路运输业的高质量、安全、高效发展，同时也将对行业内企业的运营和竞争产生深远影响。</w:t>
      </w:r>
    </w:p>
    <w:p>
      <w:pPr>
        <w:pStyle w:val="Heading2"/>
        <w:keepNext/>
        <w:numPr>
          <w:ilvl w:val="1"/>
          <w:numId w:val="6"/>
        </w:numPr>
        <w:tabs>
          <w:tab w:val="left" w:pos="233"/>
        </w:tabs>
        <w:spacing w:before="240" w:after="240"/>
        <w:ind w:left="360" w:hanging="360"/>
        <w:jc w:val="both"/>
        <w:outlineLvl w:val="1"/>
        <w:rPr>
          <w:rFonts w:ascii="Times New Roman" w:eastAsia="Times New Roman" w:hAnsi="Times New Roman" w:cs="Times New Roman"/>
          <w:sz w:val="22"/>
          <w:szCs w:val="22"/>
        </w:rPr>
      </w:pPr>
      <w:bookmarkStart w:id="128" w:name="_Toc256000021"/>
      <w:bookmarkStart w:id="129" w:name="_Toc256003230"/>
      <w:r>
        <w:rPr>
          <w:rFonts w:ascii="仿宋_GB2312" w:eastAsia="仿宋_GB2312" w:hAnsi="仿宋_GB2312" w:cs="仿宋_GB2312"/>
          <w:b w:val="0"/>
          <w:bCs w:val="0"/>
          <w:color w:val="002060"/>
          <w:sz w:val="22"/>
          <w:szCs w:val="22"/>
        </w:rPr>
        <w:t>行业发展趋势</w:t>
      </w:r>
      <w:bookmarkEnd w:id="129"/>
      <w:bookmarkEnd w:id="128"/>
      <w:r>
        <w:rPr>
          <w:rFonts w:ascii="Century" w:eastAsia="Century" w:hAnsi="Century" w:cs="Century"/>
          <w:color w:val="000000"/>
          <w:sz w:val="14"/>
          <w:szCs w:val="14"/>
          <w:u w:val="none"/>
          <w:vertAlign w:val="superscript"/>
        </w:rPr>
        <w:footnoteReference w:id="8"/>
      </w:r>
    </w:p>
    <w:p>
      <w:pPr>
        <w:pStyle w:val="BodyText"/>
        <w:numPr>
          <w:ilvl w:val="0"/>
          <w:numId w:val="7"/>
        </w:numPr>
        <w:tabs>
          <w:tab w:val="left" w:pos="449"/>
        </w:tabs>
        <w:spacing w:before="120" w:after="120" w:line="360" w:lineRule="auto"/>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服务质量全面升级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道路运输作为服务性行业，全产业链上利用智能化手段改革、在产品种类上的革新以及加快与其他运输模式的融合，最终都将回归到行业服务质量的提升上，下游用户的服务体验将持续升级。</w:t>
      </w:r>
    </w:p>
    <w:p>
      <w:pPr>
        <w:pStyle w:val="BodyText"/>
        <w:numPr>
          <w:ilvl w:val="0"/>
          <w:numId w:val="7"/>
        </w:numPr>
        <w:tabs>
          <w:tab w:val="left" w:pos="449"/>
        </w:tabs>
        <w:spacing w:before="120" w:after="120" w:line="360" w:lineRule="auto"/>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绿色化运输兴起</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环保政策趋严，新能源货车应用比例持续攀升，尤其电动货车在城市配送中减排优势显著。低碳物流理念贯穿全产业链，各环节积极践行绿色理念，推动行业迈向可持续发展道路。</w:t>
      </w:r>
    </w:p>
    <w:p>
      <w:pPr>
        <w:pStyle w:val="BodyText"/>
        <w:numPr>
          <w:ilvl w:val="0"/>
          <w:numId w:val="7"/>
        </w:numPr>
        <w:tabs>
          <w:tab w:val="left" w:pos="449"/>
        </w:tabs>
        <w:spacing w:before="120" w:after="120" w:line="360" w:lineRule="auto"/>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平台化与一体化构建</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众多企业向生态化拓展，构建综合物流服务平台，整合运输、仓储、供应链管理等环节。同时，公、水、铁联运一体化程度的提高，在传统运输的优势之外，公路货运将更高效地联结水路、铁路以及航空等运输极式，为充分发挥国家立体交通运输网络的优势提供至关重要的力量。</w:t>
      </w:r>
    </w:p>
    <w:p>
      <w:pPr>
        <w:pStyle w:val="BodyText"/>
        <w:numPr>
          <w:ilvl w:val="0"/>
          <w:numId w:val="7"/>
        </w:numPr>
        <w:tabs>
          <w:tab w:val="left" w:pos="449"/>
        </w:tabs>
        <w:spacing w:before="120" w:after="120" w:line="360" w:lineRule="auto"/>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市场整合趋势加强</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行业并购重组活动频繁，市场份额加速向头部企业集中。大型企业凭规模、技术和品牌优势巩固地位，中小型企业生存空间受压，转而寻求专业化细分化发展，如聚焦冷链、危险品运输等特殊领域，促使行业服务体系更趋多元完善。</w:t>
      </w:r>
    </w:p>
    <w:p>
      <w:pPr>
        <w:pStyle w:val="Heading2"/>
        <w:numPr>
          <w:ilvl w:val="1"/>
          <w:numId w:val="1"/>
        </w:numPr>
      </w:pPr>
      <w:bookmarkStart w:id="130" w:name="_Toc256003231"/>
      <w:r>
        <w:t>总结</w:t>
      </w:r>
      <w:bookmarkEnd w:id="13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综上所述，道路运输业在国民经济中的地位重要且正处于快速发展与变革之中，竞争愈发激烈。企业需要积极应对，一方面要利用新技术创新运营模式，提高效率和服务质量；另一方面要积极响应政策，向绿色、安全方向发展，同时加强与各方的合作，整合资源实现共赢，从而在行业的动态发展中保持竞争力，助力行业持续健康发展。</w:t>
      </w:r>
    </w:p>
    <w:p>
      <w:pPr>
        <w:pStyle w:val="Heading1"/>
        <w:keepNext/>
        <w:numPr>
          <w:ilvl w:val="0"/>
          <w:numId w:val="8"/>
        </w:numPr>
        <w:tabs>
          <w:tab w:val="left" w:pos="226"/>
        </w:tabs>
        <w:spacing w:before="0" w:after="240"/>
        <w:ind w:left="360" w:hanging="360"/>
        <w:jc w:val="both"/>
        <w:outlineLvl w:val="0"/>
        <w:rPr>
          <w:rFonts w:ascii="Times New Roman" w:eastAsia="Times New Roman" w:hAnsi="Times New Roman" w:cs="Times New Roman"/>
          <w:sz w:val="28"/>
          <w:szCs w:val="28"/>
        </w:rPr>
      </w:pPr>
      <w:bookmarkStart w:id="131" w:name="_Toc489951810"/>
      <w:bookmarkEnd w:id="131"/>
      <w:r>
        <w:rPr>
          <w:rFonts w:ascii="Times New Roman" w:eastAsia="Times New Roman" w:hAnsi="Times New Roman" w:cs="Times New Roman"/>
          <w:b w:val="0"/>
          <w:bCs w:val="0"/>
          <w:i w:val="0"/>
          <w:iCs w:val="0"/>
          <w:smallCaps w:val="0"/>
          <w:sz w:val="14"/>
          <w:szCs w:val="14"/>
        </w:rPr>
        <w:t xml:space="preserve">   </w:t>
      </w:r>
      <w:bookmarkStart w:id="132" w:name="_Toc140761303"/>
      <w:bookmarkStart w:id="133" w:name="_Toc256000023"/>
      <w:bookmarkStart w:id="134" w:name="_Toc256003232"/>
      <w:r>
        <w:rPr>
          <w:rFonts w:ascii="仿宋_GB2312" w:eastAsia="仿宋_GB2312" w:hAnsi="仿宋_GB2312" w:cs="仿宋_GB2312"/>
          <w:b w:val="0"/>
          <w:bCs w:val="0"/>
          <w:color w:val="1E4517"/>
          <w:sz w:val="28"/>
          <w:szCs w:val="28"/>
        </w:rPr>
        <w:t>关联交易</w:t>
      </w:r>
      <w:bookmarkEnd w:id="134"/>
      <w:bookmarkEnd w:id="133"/>
      <w:bookmarkEnd w:id="132"/>
    </w:p>
    <w:p>
      <w:pPr>
        <w:pStyle w:val="BodyText"/>
        <w:numPr>
          <w:ilvl w:val="0"/>
          <w:numId w:val="0"/>
        </w:numPr>
        <w:sectPr>
          <w:pgMar w:header="720" w:footer="720"/>
          <w:cols w:space="720"/>
        </w:sectPr>
      </w:pPr>
    </w:p>
    <w:p>
      <w:pPr>
        <w:pStyle w:val="Heading1"/>
        <w:numPr>
          <w:ilvl w:val="0"/>
          <w:numId w:val="1"/>
        </w:numPr>
      </w:pPr>
      <w:bookmarkStart w:id="135" w:name="_Toc256003233"/>
      <w:r>
        <w:t>关联交易</w:t>
      </w:r>
      <w:bookmarkEnd w:id="135"/>
    </w:p>
    <w:p>
      <w:pPr>
        <w:pStyle w:val="Heading2"/>
        <w:numPr>
          <w:ilvl w:val="1"/>
          <w:numId w:val="1"/>
        </w:numPr>
      </w:pPr>
      <w:bookmarkStart w:id="136" w:name="_Toc256003234"/>
      <w:r>
        <w:t>关联方信息</w:t>
      </w:r>
      <w:bookmarkEnd w:id="136"/>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年度主要关联方的基本信息如下所示：</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1</w:t>
      </w:r>
      <w:r>
        <w:rPr>
          <w:rFonts w:ascii="仿宋_GB2312" w:eastAsia="仿宋_GB2312" w:hAnsi="仿宋_GB2312" w:cs="仿宋_GB2312"/>
          <w:sz w:val="22"/>
          <w:szCs w:val="22"/>
        </w:rPr>
        <w:t>）</w:t>
      </w:r>
      <w:r>
        <w:rPr>
          <w:rFonts w:ascii="Arial Narrow" w:eastAsia="Arial Narrow" w:hAnsi="Arial Narrow" w:cs="Arial Narrow"/>
          <w:sz w:val="22"/>
          <w:szCs w:val="22"/>
        </w:rPr>
        <w:t>远化物流</w:t>
      </w:r>
      <w:r>
        <w:rPr>
          <w:rFonts w:ascii="仿宋_GB2312" w:eastAsia="仿宋_GB2312" w:hAnsi="仿宋_GB2312" w:cs="仿宋_GB2312"/>
          <w:sz w:val="22"/>
          <w:szCs w:val="22"/>
        </w:rPr>
        <w:t>的母公司情况</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10</w:t>
      </w:r>
      <w:r>
        <w:rPr>
          <w:rFonts w:ascii="仿宋" w:eastAsia="仿宋" w:hAnsi="仿宋" w:cs="仿宋"/>
          <w:b/>
          <w:bCs/>
          <w:sz w:val="22"/>
          <w:szCs w:val="22"/>
        </w:rPr>
        <w:t>：本公司的母公司的基本信息</w:t>
      </w:r>
    </w:p>
    <w:p>
      <w:pPr>
        <w:pStyle w:val="BodyText"/>
        <w:numPr>
          <w:ilvl w:val="0"/>
          <w:numId w:val="0"/>
        </w:numPr>
        <w:spacing w:before="120" w:after="120"/>
        <w:ind w:left="24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信息来源：由</w:t>
      </w:r>
      <w:r>
        <w:rPr>
          <w:rFonts w:ascii="Arial Narrow" w:eastAsia="Arial Narrow" w:hAnsi="Arial Narrow" w:cs="Arial Narrow"/>
          <w:i/>
          <w:iCs/>
          <w:sz w:val="16"/>
          <w:szCs w:val="16"/>
        </w:rPr>
        <w:t>远化物流</w:t>
      </w:r>
      <w:r>
        <w:rPr>
          <w:rFonts w:ascii="仿宋_GB2312" w:eastAsia="仿宋_GB2312" w:hAnsi="仿宋_GB2312" w:cs="仿宋_GB2312"/>
          <w:i/>
          <w:iCs/>
          <w:sz w:val="16"/>
          <w:szCs w:val="16"/>
        </w:rPr>
        <w:t>提供</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母公司</w:t>
      </w:r>
      <w:r>
        <w:rPr>
          <w:rFonts w:ascii="Arial Narrow" w:eastAsia="Arial Narrow" w:hAnsi="Arial Narrow" w:cs="Arial Narrow"/>
          <w:sz w:val="22"/>
          <w:szCs w:val="22"/>
        </w:rPr>
        <w:t>远纺工业（上海）有限公司</w:t>
      </w:r>
      <w:r>
        <w:rPr>
          <w:rFonts w:ascii="仿宋_GB2312" w:eastAsia="仿宋_GB2312" w:hAnsi="仿宋_GB2312" w:cs="仿宋_GB2312"/>
          <w:sz w:val="22"/>
          <w:szCs w:val="22"/>
        </w:rPr>
        <w:t>对本公司的持股比例为</w:t>
      </w:r>
      <w:r>
        <w:rPr>
          <w:rFonts w:ascii="Arial Narrow" w:eastAsia="Arial Narrow" w:hAnsi="Arial Narrow" w:cs="Arial Narrow"/>
          <w:sz w:val="22"/>
          <w:szCs w:val="22"/>
        </w:rPr>
        <w:t>100%</w:t>
      </w:r>
      <w:r>
        <w:rPr>
          <w:rFonts w:ascii="仿宋_GB2312" w:eastAsia="仿宋_GB2312" w:hAnsi="仿宋_GB2312" w:cs="仿宋_GB2312"/>
          <w:sz w:val="22"/>
          <w:szCs w:val="22"/>
        </w:rPr>
        <w:t>，所持本公司的表决权比例为</w:t>
      </w:r>
      <w:r>
        <w:rPr>
          <w:rFonts w:ascii="Arial Narrow" w:eastAsia="Arial Narrow" w:hAnsi="Arial Narrow" w:cs="Arial Narrow"/>
          <w:sz w:val="22"/>
          <w:szCs w:val="22"/>
        </w:rPr>
        <w:t>100%</w:t>
      </w:r>
      <w:r>
        <w:rPr>
          <w:rFonts w:ascii="仿宋_GB2312" w:eastAsia="仿宋_GB2312" w:hAnsi="仿宋_GB2312" w:cs="仿宋_GB2312"/>
          <w:sz w:val="22"/>
          <w:szCs w:val="22"/>
        </w:rPr>
        <w:t>。</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w:t>
      </w:r>
      <w:r>
        <w:rPr>
          <w:rFonts w:ascii="仿宋_GB2312" w:eastAsia="仿宋_GB2312" w:hAnsi="仿宋_GB2312" w:cs="仿宋_GB2312"/>
          <w:sz w:val="22"/>
          <w:szCs w:val="22"/>
        </w:rPr>
        <w:t>）</w:t>
      </w:r>
      <w:r>
        <w:rPr>
          <w:rFonts w:ascii="Arial Narrow" w:eastAsia="Arial Narrow" w:hAnsi="Arial Narrow" w:cs="Arial Narrow"/>
          <w:sz w:val="22"/>
          <w:szCs w:val="22"/>
        </w:rPr>
        <w:t>远化物流</w:t>
      </w:r>
      <w:r>
        <w:rPr>
          <w:rFonts w:ascii="仿宋_GB2312" w:eastAsia="仿宋_GB2312" w:hAnsi="仿宋_GB2312" w:cs="仿宋_GB2312"/>
          <w:sz w:val="22"/>
          <w:szCs w:val="22"/>
        </w:rPr>
        <w:t>的其他关联方情况如下：</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在</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年度，没有个人关联方直接或间接持有</w:t>
      </w:r>
      <w:r>
        <w:rPr>
          <w:rFonts w:ascii="Arial Narrow" w:eastAsia="Arial Narrow" w:hAnsi="Arial Narrow" w:cs="Arial Narrow"/>
          <w:sz w:val="22"/>
          <w:szCs w:val="22"/>
        </w:rPr>
        <w:t>远化物流</w:t>
      </w:r>
      <w:r>
        <w:rPr>
          <w:rFonts w:ascii="仿宋_GB2312" w:eastAsia="仿宋_GB2312" w:hAnsi="仿宋_GB2312" w:cs="仿宋_GB2312"/>
          <w:sz w:val="22"/>
          <w:szCs w:val="22"/>
        </w:rPr>
        <w:t>的股份（ 如：个人持有最终母公司超过</w:t>
      </w:r>
      <w:r>
        <w:rPr>
          <w:rFonts w:ascii="Arial Narrow" w:eastAsia="Arial Narrow" w:hAnsi="Arial Narrow" w:cs="Arial Narrow"/>
          <w:sz w:val="22"/>
          <w:szCs w:val="22"/>
        </w:rPr>
        <w:t>25%</w:t>
      </w:r>
      <w:r>
        <w:rPr>
          <w:rFonts w:ascii="仿宋_GB2312" w:eastAsia="仿宋_GB2312" w:hAnsi="仿宋_GB2312" w:cs="仿宋_GB2312"/>
          <w:sz w:val="22"/>
          <w:szCs w:val="22"/>
        </w:rPr>
        <w:t>的股份）或与</w:t>
      </w:r>
      <w:r>
        <w:rPr>
          <w:rFonts w:ascii="Arial Narrow" w:eastAsia="Arial Narrow" w:hAnsi="Arial Narrow" w:cs="Arial Narrow"/>
          <w:sz w:val="22"/>
          <w:szCs w:val="22"/>
        </w:rPr>
        <w:t>远化物流</w:t>
      </w:r>
      <w:r>
        <w:rPr>
          <w:rFonts w:ascii="仿宋_GB2312" w:eastAsia="仿宋_GB2312" w:hAnsi="仿宋_GB2312" w:cs="仿宋_GB2312"/>
          <w:sz w:val="22"/>
          <w:szCs w:val="22"/>
        </w:rPr>
        <w:t>发生关联交易。</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11</w:t>
      </w:r>
      <w:r>
        <w:rPr>
          <w:rFonts w:ascii="仿宋" w:eastAsia="仿宋" w:hAnsi="仿宋" w:cs="仿宋"/>
          <w:b/>
          <w:bCs/>
          <w:sz w:val="22"/>
          <w:szCs w:val="22"/>
        </w:rPr>
        <w:t>：本公司的其他关联方的基本信息</w:t>
      </w:r>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w:t>
      </w:r>
      <w:r>
        <w:rPr>
          <w:rFonts w:ascii="Arial Narrow" w:eastAsia="Arial Narrow" w:hAnsi="Arial Narrow" w:cs="Arial Narrow"/>
          <w:i/>
          <w:iCs/>
          <w:sz w:val="16"/>
          <w:szCs w:val="16"/>
        </w:rPr>
        <w:t>远化物流</w:t>
      </w:r>
      <w:r>
        <w:rPr>
          <w:rFonts w:ascii="Arial Narrow" w:eastAsia="Arial Narrow" w:hAnsi="Arial Narrow" w:cs="Arial Narrow"/>
          <w:i/>
          <w:iCs/>
          <w:sz w:val="16"/>
          <w:szCs w:val="16"/>
        </w:rPr>
        <w:t>20</w:t>
      </w:r>
      <w:r>
        <w:rPr>
          <w:rFonts w:ascii="Arial Narrow" w:eastAsia="Arial Narrow" w:hAnsi="Arial Narrow" w:cs="Arial Narrow"/>
          <w:i/>
          <w:iCs/>
          <w:sz w:val="16"/>
          <w:szCs w:val="16"/>
        </w:rPr>
        <w:t>23</w:t>
      </w:r>
      <w:r>
        <w:rPr>
          <w:rFonts w:ascii="仿宋_GB2312" w:eastAsia="仿宋_GB2312" w:hAnsi="仿宋_GB2312" w:cs="仿宋_GB2312"/>
          <w:i/>
          <w:iCs/>
          <w:sz w:val="16"/>
          <w:szCs w:val="16"/>
        </w:rPr>
        <w:t>年度审计报告</w:t>
      </w:r>
    </w:p>
    <w:p>
      <w:pPr>
        <w:pStyle w:val="Heading2"/>
        <w:numPr>
          <w:ilvl w:val="1"/>
          <w:numId w:val="1"/>
        </w:numPr>
      </w:pPr>
      <w:bookmarkStart w:id="137" w:name="_Toc256003235"/>
      <w:r>
        <w:t>主要关联交易</w:t>
      </w:r>
      <w:bookmarkEnd w:id="137"/>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主要涉及关联劳务及关联租赁。主要关联交易金额及类型如下图所示：</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12</w:t>
      </w:r>
      <w:r>
        <w:rPr>
          <w:rFonts w:ascii="仿宋" w:eastAsia="仿宋" w:hAnsi="仿宋" w:cs="仿宋"/>
          <w:b/>
          <w:bCs/>
          <w:sz w:val="22"/>
          <w:szCs w:val="22"/>
        </w:rPr>
        <w:t>：关联交易汇总情况表</w:t>
      </w:r>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w:t>
      </w:r>
      <w:r>
        <w:rPr>
          <w:rFonts w:ascii="Arial Narrow" w:eastAsia="Arial Narrow" w:hAnsi="Arial Narrow" w:cs="Arial Narrow"/>
          <w:i/>
          <w:iCs/>
          <w:sz w:val="16"/>
          <w:szCs w:val="16"/>
        </w:rPr>
        <w:t>远化物流</w:t>
      </w:r>
      <w:r>
        <w:rPr>
          <w:rFonts w:ascii="Arial Narrow" w:eastAsia="Arial Narrow" w:hAnsi="Arial Narrow" w:cs="Arial Narrow"/>
          <w:i/>
          <w:iCs/>
          <w:sz w:val="16"/>
          <w:szCs w:val="16"/>
        </w:rPr>
        <w:t>20</w:t>
      </w:r>
      <w:r>
        <w:rPr>
          <w:rFonts w:ascii="Arial Narrow" w:eastAsia="Arial Narrow" w:hAnsi="Arial Narrow" w:cs="Arial Narrow"/>
          <w:i/>
          <w:iCs/>
          <w:sz w:val="16"/>
          <w:szCs w:val="16"/>
        </w:rPr>
        <w:t>23</w:t>
      </w:r>
      <w:r>
        <w:rPr>
          <w:rFonts w:ascii="仿宋_GB2312" w:eastAsia="仿宋_GB2312" w:hAnsi="仿宋_GB2312" w:cs="仿宋_GB2312"/>
          <w:i/>
          <w:iCs/>
          <w:sz w:val="16"/>
          <w:szCs w:val="16"/>
        </w:rPr>
        <w:t>年度审计报告</w:t>
      </w:r>
    </w:p>
    <w:p>
      <w:pPr>
        <w:pStyle w:val="Heading2"/>
        <w:numPr>
          <w:ilvl w:val="1"/>
          <w:numId w:val="1"/>
        </w:numPr>
      </w:pPr>
      <w:bookmarkStart w:id="138" w:name="_Toc256003236"/>
      <w:r>
        <w:t>关联劳务</w:t>
      </w:r>
      <w:bookmarkEnd w:id="138"/>
    </w:p>
    <w:p>
      <w:pPr>
        <w:pStyle w:val="BodyText"/>
        <w:numPr>
          <w:ilvl w:val="0"/>
          <w:numId w:val="0"/>
        </w:numPr>
        <w:spacing w:before="120" w:after="120"/>
        <w:jc w:val="both"/>
        <w:rPr>
          <w:rFonts w:ascii="Times New Roman" w:eastAsia="Times New Roman" w:hAnsi="Times New Roman" w:cs="Times New Roman"/>
          <w:sz w:val="22"/>
          <w:szCs w:val="22"/>
        </w:rPr>
      </w:pPr>
      <w:bookmarkStart w:id="139" w:name="_Toc47455418"/>
      <w:bookmarkStart w:id="140" w:name="_Toc140761307"/>
      <w:bookmarkStart w:id="141" w:name="_Toc256000027"/>
      <w:r>
        <w:rPr>
          <w:rFonts w:ascii="Arial Narrow" w:eastAsia="Arial Narrow" w:hAnsi="Arial Narrow" w:cs="Arial Narrow"/>
          <w:color w:val="002060"/>
          <w:sz w:val="22"/>
          <w:szCs w:val="22"/>
        </w:rPr>
        <w:t>4.3.1.</w:t>
      </w:r>
      <w:r>
        <w:rPr>
          <w:rFonts w:ascii="仿宋_GB2312" w:eastAsia="仿宋_GB2312" w:hAnsi="仿宋_GB2312" w:cs="仿宋_GB2312"/>
          <w:color w:val="002060"/>
          <w:sz w:val="22"/>
          <w:szCs w:val="22"/>
        </w:rPr>
        <w:t>交易流程</w:t>
      </w:r>
      <w:bookmarkEnd w:id="141"/>
      <w:bookmarkEnd w:id="139"/>
      <w:bookmarkEnd w:id="14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对于</w:t>
      </w:r>
      <w:r>
        <w:rPr>
          <w:rFonts w:ascii="Arial Narrow" w:eastAsia="Arial Narrow" w:hAnsi="Arial Narrow" w:cs="Arial Narrow"/>
          <w:sz w:val="22"/>
          <w:szCs w:val="22"/>
        </w:rPr>
        <w:t>远化物流</w:t>
      </w:r>
      <w:r>
        <w:rPr>
          <w:rFonts w:ascii="仿宋_GB2312" w:eastAsia="仿宋_GB2312" w:hAnsi="仿宋_GB2312" w:cs="仿宋_GB2312"/>
          <w:sz w:val="22"/>
          <w:szCs w:val="22"/>
        </w:rPr>
        <w:t>境内提供的服务，主要由各关联公司根据货物发运需求，向</w:t>
      </w:r>
      <w:r>
        <w:rPr>
          <w:rFonts w:ascii="Arial Narrow" w:eastAsia="Arial Narrow" w:hAnsi="Arial Narrow" w:cs="Arial Narrow"/>
          <w:sz w:val="22"/>
          <w:szCs w:val="22"/>
        </w:rPr>
        <w:t>远化物流</w:t>
      </w:r>
      <w:r>
        <w:rPr>
          <w:rFonts w:ascii="仿宋_GB2312" w:eastAsia="仿宋_GB2312" w:hAnsi="仿宋_GB2312" w:cs="仿宋_GB2312"/>
          <w:sz w:val="22"/>
          <w:szCs w:val="22"/>
        </w:rPr>
        <w:t>下运输、车辆租赁或驾驶服务订单。对于</w:t>
      </w:r>
      <w:r>
        <w:rPr>
          <w:rFonts w:ascii="Arial Narrow" w:eastAsia="Arial Narrow" w:hAnsi="Arial Narrow" w:cs="Arial Narrow"/>
          <w:sz w:val="22"/>
          <w:szCs w:val="22"/>
        </w:rPr>
        <w:t>远化物流</w:t>
      </w:r>
      <w:r>
        <w:rPr>
          <w:rFonts w:ascii="仿宋_GB2312" w:eastAsia="仿宋_GB2312" w:hAnsi="仿宋_GB2312" w:cs="仿宋_GB2312"/>
          <w:sz w:val="22"/>
          <w:szCs w:val="22"/>
        </w:rPr>
        <w:t>境内接受的服务，主要是由关联方向</w:t>
      </w:r>
      <w:r>
        <w:rPr>
          <w:rFonts w:ascii="Arial Narrow" w:eastAsia="Arial Narrow" w:hAnsi="Arial Narrow" w:cs="Arial Narrow"/>
          <w:sz w:val="22"/>
          <w:szCs w:val="22"/>
        </w:rPr>
        <w:t>远化物流</w:t>
      </w:r>
      <w:r>
        <w:rPr>
          <w:rFonts w:ascii="仿宋_GB2312" w:eastAsia="仿宋_GB2312" w:hAnsi="仿宋_GB2312" w:cs="仿宋_GB2312"/>
          <w:sz w:val="22"/>
          <w:szCs w:val="22"/>
        </w:rPr>
        <w:t>提供行政管理支持服务。</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142" w:name="OLE_LINK10"/>
      <w:r>
        <w:rPr>
          <w:rFonts w:ascii="Arial Narrow" w:eastAsia="Arial Narrow" w:hAnsi="Arial Narrow" w:cs="Arial Narrow"/>
          <w:sz w:val="22"/>
          <w:szCs w:val="22"/>
        </w:rPr>
        <w:t>远化物流</w:t>
      </w:r>
      <w:r>
        <w:rPr>
          <w:rFonts w:ascii="仿宋_GB2312" w:eastAsia="仿宋_GB2312" w:hAnsi="仿宋_GB2312" w:cs="仿宋_GB2312"/>
          <w:sz w:val="22"/>
          <w:szCs w:val="22"/>
        </w:rPr>
        <w:t>的关联劳务流程如下图所示：</w:t>
      </w:r>
      <w:bookmarkEnd w:id="142"/>
    </w:p>
    <w:p>
      <w:pPr>
        <w:pStyle w:val="BodyText"/>
        <w:numPr>
          <w:ilvl w:val="0"/>
          <w:numId w:val="0"/>
        </w:numPr>
        <w:spacing w:before="0" w:after="0"/>
        <w:ind w:left="420" w:hanging="420"/>
        <w:jc w:val="center"/>
        <w:rPr>
          <w:rFonts w:ascii="Times New Roman" w:eastAsia="Times New Roman" w:hAnsi="Times New Roman" w:cs="Times New Roman"/>
          <w:sz w:val="22"/>
          <w:szCs w:val="22"/>
        </w:rPr>
      </w:pPr>
      <w:bookmarkStart w:id="143" w:name="_Toc12286306"/>
      <w:r>
        <w:rPr>
          <w:rFonts w:ascii="仿宋" w:eastAsia="仿宋" w:hAnsi="仿宋" w:cs="仿宋"/>
          <w:b/>
          <w:bCs/>
          <w:sz w:val="22"/>
          <w:szCs w:val="22"/>
        </w:rPr>
        <w:t>图表</w:t>
      </w:r>
      <w:r>
        <w:rPr>
          <w:rFonts w:ascii="Arial Narrow" w:eastAsia="Arial Narrow" w:hAnsi="Arial Narrow" w:cs="Arial Narrow"/>
          <w:b/>
          <w:bCs/>
          <w:sz w:val="22"/>
          <w:szCs w:val="22"/>
        </w:rPr>
        <w:t>13</w:t>
      </w:r>
      <w:r>
        <w:rPr>
          <w:rFonts w:ascii="仿宋" w:eastAsia="仿宋" w:hAnsi="仿宋" w:cs="仿宋"/>
          <w:b/>
          <w:bCs/>
          <w:sz w:val="22"/>
          <w:szCs w:val="22"/>
        </w:rPr>
        <w:t>：关联劳务交易流程图</w:t>
      </w:r>
    </w:p>
    <w:p>
      <w:pPr>
        <w:pStyle w:val="BodyText"/>
        <w:numPr>
          <w:ilvl w:val="0"/>
          <w:numId w:val="0"/>
        </w:numPr>
        <w:spacing w:before="0" w:after="0"/>
        <w:ind w:firstLine="480"/>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inline>
            <wp:extent cx="5010150" cy="1485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010150" cy="1485900"/>
                    </a:xfrm>
                    <a:prstGeom prst="rect">
                      <a:avLst/>
                    </a:prstGeom>
                  </pic:spPr>
                </pic:pic>
              </a:graphicData>
            </a:graphic>
          </wp:inline>
        </w:drawing>
      </w:r>
      <w:r>
        <w:rPr>
          <w:rFonts w:ascii="仿宋_GB2312" w:eastAsia="仿宋_GB2312" w:hAnsi="仿宋_GB2312" w:cs="仿宋_GB2312"/>
          <w:sz w:val="22"/>
          <w:szCs w:val="22"/>
        </w:rPr>
        <w:t xml:space="preserve"> </w:t>
      </w:r>
    </w:p>
    <w:p>
      <w:pPr>
        <w:pStyle w:val="BodyText"/>
        <w:numPr>
          <w:ilvl w:val="0"/>
          <w:numId w:val="0"/>
        </w:numPr>
        <w:spacing w:before="180" w:after="180"/>
        <w:jc w:val="both"/>
        <w:rPr>
          <w:rFonts w:ascii="Times New Roman" w:eastAsia="Times New Roman" w:hAnsi="Times New Roman" w:cs="Times New Roman"/>
          <w:sz w:val="22"/>
          <w:szCs w:val="22"/>
        </w:rPr>
      </w:pPr>
      <w:bookmarkStart w:id="144" w:name="_Toc140761312"/>
      <w:bookmarkStart w:id="145" w:name="_Toc47455423"/>
      <w:bookmarkEnd w:id="143"/>
      <w:bookmarkStart w:id="146" w:name="_Toc256000028"/>
      <w:r>
        <w:rPr>
          <w:rFonts w:ascii="Arial Narrow" w:eastAsia="Arial Narrow" w:hAnsi="Arial Narrow" w:cs="Arial Narrow"/>
          <w:color w:val="002060"/>
          <w:sz w:val="22"/>
          <w:szCs w:val="22"/>
        </w:rPr>
        <w:t>4.3.2.</w:t>
      </w:r>
      <w:r>
        <w:rPr>
          <w:rFonts w:ascii="仿宋_GB2312" w:eastAsia="仿宋_GB2312" w:hAnsi="仿宋_GB2312" w:cs="仿宋_GB2312"/>
          <w:color w:val="002060"/>
          <w:sz w:val="22"/>
          <w:szCs w:val="22"/>
        </w:rPr>
        <w:t>交易明细</w:t>
      </w:r>
      <w:bookmarkEnd w:id="146"/>
      <w:bookmarkEnd w:id="144"/>
      <w:bookmarkEnd w:id="145"/>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关联劳务的关联方和交易金额如下表所示：</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14</w:t>
      </w:r>
      <w:r>
        <w:rPr>
          <w:rFonts w:ascii="仿宋" w:eastAsia="仿宋" w:hAnsi="仿宋" w:cs="仿宋"/>
          <w:b/>
          <w:bCs/>
          <w:sz w:val="22"/>
          <w:szCs w:val="22"/>
        </w:rPr>
        <w:t>：20</w:t>
      </w:r>
      <w:r>
        <w:rPr>
          <w:rFonts w:ascii="仿宋" w:eastAsia="仿宋" w:hAnsi="仿宋" w:cs="仿宋"/>
          <w:b/>
          <w:bCs/>
          <w:sz w:val="22"/>
          <w:szCs w:val="22"/>
        </w:rPr>
        <w:t>23</w:t>
      </w:r>
      <w:r>
        <w:rPr>
          <w:rFonts w:ascii="仿宋" w:eastAsia="仿宋" w:hAnsi="仿宋" w:cs="仿宋"/>
          <w:b/>
          <w:bCs/>
          <w:sz w:val="22"/>
          <w:szCs w:val="22"/>
        </w:rPr>
        <w:t>年度关联劳务收入明细表</w:t>
      </w:r>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w:t>
      </w:r>
      <w:r>
        <w:rPr>
          <w:rFonts w:ascii="Arial Narrow" w:eastAsia="Arial Narrow" w:hAnsi="Arial Narrow" w:cs="Arial Narrow"/>
          <w:i/>
          <w:iCs/>
          <w:sz w:val="16"/>
          <w:szCs w:val="16"/>
        </w:rPr>
        <w:t>远化物流</w:t>
      </w:r>
      <w:r>
        <w:rPr>
          <w:rFonts w:ascii="Arial Narrow" w:eastAsia="Arial Narrow" w:hAnsi="Arial Narrow" w:cs="Arial Narrow"/>
          <w:i/>
          <w:iCs/>
          <w:sz w:val="16"/>
          <w:szCs w:val="16"/>
        </w:rPr>
        <w:t>20</w:t>
      </w:r>
      <w:r>
        <w:rPr>
          <w:rFonts w:ascii="Arial Narrow" w:eastAsia="Arial Narrow" w:hAnsi="Arial Narrow" w:cs="Arial Narrow"/>
          <w:i/>
          <w:iCs/>
          <w:sz w:val="16"/>
          <w:szCs w:val="16"/>
        </w:rPr>
        <w:t>23</w:t>
      </w:r>
      <w:r>
        <w:rPr>
          <w:rFonts w:ascii="仿宋_GB2312" w:eastAsia="仿宋_GB2312" w:hAnsi="仿宋_GB2312" w:cs="仿宋_GB2312"/>
          <w:i/>
          <w:iCs/>
          <w:sz w:val="16"/>
          <w:szCs w:val="16"/>
        </w:rPr>
        <w:t>年度审计报告及关联业务往来报告表</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15</w:t>
      </w:r>
      <w:r>
        <w:rPr>
          <w:rFonts w:ascii="仿宋" w:eastAsia="仿宋" w:hAnsi="仿宋" w:cs="仿宋"/>
          <w:b/>
          <w:bCs/>
          <w:sz w:val="22"/>
          <w:szCs w:val="22"/>
        </w:rPr>
        <w:t>：20</w:t>
      </w:r>
      <w:r>
        <w:rPr>
          <w:rFonts w:ascii="仿宋" w:eastAsia="仿宋" w:hAnsi="仿宋" w:cs="仿宋"/>
          <w:b/>
          <w:bCs/>
          <w:sz w:val="22"/>
          <w:szCs w:val="22"/>
        </w:rPr>
        <w:t>23</w:t>
      </w:r>
      <w:r>
        <w:rPr>
          <w:rFonts w:ascii="仿宋" w:eastAsia="仿宋" w:hAnsi="仿宋" w:cs="仿宋"/>
          <w:b/>
          <w:bCs/>
          <w:sz w:val="22"/>
          <w:szCs w:val="22"/>
        </w:rPr>
        <w:t>年度关联劳务支出明细表</w:t>
      </w:r>
    </w:p>
    <w:p>
      <w:pPr>
        <w:pStyle w:val="BodyText"/>
        <w:numPr>
          <w:ilvl w:val="0"/>
          <w:numId w:val="0"/>
        </w:numPr>
        <w:spacing w:before="0" w:after="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w:t>
      </w:r>
      <w:r>
        <w:rPr>
          <w:rFonts w:ascii="Arial Narrow" w:eastAsia="Arial Narrow" w:hAnsi="Arial Narrow" w:cs="Arial Narrow"/>
          <w:i/>
          <w:iCs/>
          <w:sz w:val="16"/>
          <w:szCs w:val="16"/>
        </w:rPr>
        <w:t>远化物流</w:t>
      </w:r>
      <w:r>
        <w:rPr>
          <w:rFonts w:ascii="Arial Narrow" w:eastAsia="Arial Narrow" w:hAnsi="Arial Narrow" w:cs="Arial Narrow"/>
          <w:i/>
          <w:iCs/>
          <w:sz w:val="16"/>
          <w:szCs w:val="16"/>
        </w:rPr>
        <w:t>20</w:t>
      </w:r>
      <w:r>
        <w:rPr>
          <w:rFonts w:ascii="Arial Narrow" w:eastAsia="Arial Narrow" w:hAnsi="Arial Narrow" w:cs="Arial Narrow"/>
          <w:i/>
          <w:iCs/>
          <w:sz w:val="16"/>
          <w:szCs w:val="16"/>
        </w:rPr>
        <w:t>23</w:t>
      </w:r>
      <w:r>
        <w:rPr>
          <w:rFonts w:ascii="仿宋_GB2312" w:eastAsia="仿宋_GB2312" w:hAnsi="仿宋_GB2312" w:cs="仿宋_GB2312"/>
          <w:i/>
          <w:iCs/>
          <w:sz w:val="16"/>
          <w:szCs w:val="16"/>
        </w:rPr>
        <w:t>年度审计报告及关联业务往来报告表</w:t>
      </w:r>
    </w:p>
    <w:p>
      <w:pPr>
        <w:pStyle w:val="BodyText"/>
        <w:numPr>
          <w:ilvl w:val="0"/>
          <w:numId w:val="0"/>
        </w:numPr>
        <w:tabs>
          <w:tab w:val="left" w:pos="2364"/>
        </w:tabs>
        <w:spacing w:before="180" w:after="180"/>
        <w:jc w:val="both"/>
        <w:rPr>
          <w:rFonts w:ascii="Arial Narrow" w:eastAsia="Arial Narrow" w:hAnsi="Arial Narrow" w:cs="Arial Narrow"/>
          <w:sz w:val="22"/>
          <w:szCs w:val="22"/>
        </w:rPr>
      </w:pPr>
      <w:bookmarkStart w:id="147" w:name="_Toc140761313"/>
      <w:bookmarkStart w:id="148" w:name="_Toc47455427"/>
      <w:bookmarkStart w:id="149" w:name="_Toc256000029"/>
      <w:r>
        <w:rPr>
          <w:rFonts w:ascii="Arial Narrow" w:eastAsia="Arial Narrow" w:hAnsi="Arial Narrow" w:cs="Arial Narrow"/>
          <w:color w:val="002060"/>
          <w:sz w:val="22"/>
          <w:szCs w:val="22"/>
        </w:rPr>
        <w:t>4.3.3.</w:t>
      </w:r>
      <w:r>
        <w:rPr>
          <w:rFonts w:ascii="仿宋_GB2312" w:eastAsia="仿宋_GB2312" w:hAnsi="仿宋_GB2312" w:cs="仿宋_GB2312"/>
          <w:color w:val="002060"/>
          <w:sz w:val="22"/>
          <w:szCs w:val="22"/>
        </w:rPr>
        <w:t>交易定价政策</w:t>
      </w:r>
      <w:bookmarkEnd w:id="149"/>
      <w:bookmarkEnd w:id="147"/>
      <w:bookmarkEnd w:id="148"/>
      <w:r>
        <w:rPr>
          <w:rFonts w:ascii="Arial Narrow" w:eastAsia="Arial Narrow" w:hAnsi="Arial Narrow" w:cs="Arial Narrow"/>
          <w:color w:val="002060"/>
          <w:sz w:val="22"/>
          <w:szCs w:val="22"/>
        </w:rPr>
        <w:tab/>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在关联劳务交易方面，</w:t>
      </w:r>
      <w:r>
        <w:rPr>
          <w:rFonts w:ascii="Arial Narrow" w:eastAsia="Arial Narrow" w:hAnsi="Arial Narrow" w:cs="Arial Narrow"/>
          <w:sz w:val="22"/>
          <w:szCs w:val="22"/>
        </w:rPr>
        <w:t>远化物流</w:t>
      </w:r>
      <w:r>
        <w:rPr>
          <w:rFonts w:ascii="仿宋_GB2312" w:eastAsia="仿宋_GB2312" w:hAnsi="仿宋_GB2312" w:cs="仿宋_GB2312"/>
          <w:sz w:val="22"/>
          <w:szCs w:val="22"/>
        </w:rPr>
        <w:t>与关联方之间的服务交易按照市场价格确定服务费金额。</w:t>
      </w:r>
    </w:p>
    <w:p>
      <w:pPr>
        <w:pStyle w:val="Heading2"/>
        <w:numPr>
          <w:ilvl w:val="1"/>
          <w:numId w:val="1"/>
        </w:numPr>
      </w:pPr>
      <w:bookmarkStart w:id="150" w:name="_Toc256003237"/>
      <w:r>
        <w:t>关联租赁</w:t>
      </w:r>
      <w:bookmarkEnd w:id="15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151" w:name="_Toc522205786"/>
      <w:bookmarkEnd w:id="151"/>
      <w:r>
        <w:rPr>
          <w:rFonts w:ascii="Arial Narrow" w:eastAsia="Arial Narrow" w:hAnsi="Arial Narrow" w:cs="Arial Narrow"/>
          <w:sz w:val="22"/>
          <w:szCs w:val="22"/>
        </w:rPr>
        <w:t>远化物流</w:t>
      </w:r>
      <w:r>
        <w:rPr>
          <w:rFonts w:ascii="仿宋_GB2312" w:eastAsia="仿宋_GB2312" w:hAnsi="仿宋_GB2312" w:cs="仿宋_GB2312"/>
          <w:sz w:val="22"/>
          <w:szCs w:val="22"/>
        </w:rPr>
        <w:t>从境内关联方租赁厂房。</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w:t>
      </w:r>
      <w:r>
        <w:rPr>
          <w:rFonts w:ascii="Arial Narrow" w:eastAsia="Arial Narrow" w:hAnsi="Arial Narrow" w:cs="Arial Narrow"/>
          <w:sz w:val="22"/>
          <w:szCs w:val="22"/>
        </w:rPr>
        <w:t>远化物流</w:t>
      </w:r>
      <w:r>
        <w:rPr>
          <w:rFonts w:ascii="仿宋_GB2312" w:eastAsia="仿宋_GB2312" w:hAnsi="仿宋_GB2312" w:cs="仿宋_GB2312"/>
          <w:sz w:val="22"/>
          <w:szCs w:val="22"/>
        </w:rPr>
        <w:t>相应支付租金</w:t>
      </w:r>
      <w:r>
        <w:rPr>
          <w:rFonts w:ascii="Arial Narrow" w:eastAsia="Arial Narrow" w:hAnsi="Arial Narrow" w:cs="Arial Narrow"/>
          <w:sz w:val="22"/>
          <w:szCs w:val="22"/>
        </w:rPr>
        <w:t>432,000.00</w:t>
      </w:r>
      <w:r>
        <w:rPr>
          <w:rFonts w:ascii="仿宋_GB2312" w:eastAsia="仿宋_GB2312" w:hAnsi="仿宋_GB2312" w:cs="仿宋_GB2312"/>
          <w:sz w:val="22"/>
          <w:szCs w:val="22"/>
        </w:rPr>
        <w:t>元。</w:t>
      </w:r>
    </w:p>
    <w:p>
      <w:pPr>
        <w:pStyle w:val="Heading2"/>
        <w:numPr>
          <w:ilvl w:val="1"/>
          <w:numId w:val="1"/>
        </w:numPr>
      </w:pPr>
      <w:bookmarkStart w:id="152" w:name="_Toc256003238"/>
      <w:r>
        <w:t>关联交易合同及执行汇总</w:t>
      </w:r>
      <w:bookmarkEnd w:id="152"/>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与关联方均依据协议中的条款和约定履行各自的责任和义务。</w:t>
      </w:r>
    </w:p>
    <w:p>
      <w:pPr>
        <w:pStyle w:val="Heading2"/>
        <w:numPr>
          <w:ilvl w:val="1"/>
          <w:numId w:val="1"/>
        </w:numPr>
      </w:pPr>
      <w:bookmarkStart w:id="153" w:name="_Toc256003239"/>
      <w:r>
        <w:t>与企业关联交易直接相关的预约定价安排和其他税收裁定</w:t>
      </w:r>
      <w:bookmarkEnd w:id="153"/>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154" w:name="_Toc489951924"/>
      <w:bookmarkStart w:id="155" w:name="_Toc489951925"/>
      <w:bookmarkStart w:id="156" w:name="_Toc489951927"/>
      <w:bookmarkStart w:id="157" w:name="_Toc522205790"/>
      <w:bookmarkStart w:id="158" w:name="_Toc522205789"/>
      <w:bookmarkEnd w:id="154"/>
      <w:bookmarkEnd w:id="155"/>
      <w:bookmarkEnd w:id="156"/>
      <w:bookmarkEnd w:id="157"/>
      <w:bookmarkEnd w:id="158"/>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无与企业关联交易直接相关的预约定价安排和作出的其他税收裁定。</w:t>
      </w:r>
    </w:p>
    <w:p>
      <w:pPr>
        <w:pStyle w:val="Heading2"/>
        <w:numPr>
          <w:ilvl w:val="1"/>
          <w:numId w:val="1"/>
        </w:numPr>
      </w:pPr>
      <w:bookmarkStart w:id="159" w:name="_Toc256003240"/>
      <w:r>
        <w:t>关联交易财务状况</w:t>
      </w:r>
      <w:bookmarkEnd w:id="159"/>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按照客户类型进行收入划分，即根据客户是否是境内公司将销售收入明确划分成境内关联交易收入和境外关联交易收入。具体拆分数据详见附件</w:t>
      </w:r>
      <w:r>
        <w:rPr>
          <w:rFonts w:ascii="Arial Narrow" w:eastAsia="Arial Narrow" w:hAnsi="Arial Narrow" w:cs="Arial Narrow"/>
          <w:sz w:val="22"/>
          <w:szCs w:val="22"/>
        </w:rPr>
        <w:t>2</w:t>
      </w:r>
      <w:r>
        <w:rPr>
          <w:rFonts w:ascii="仿宋_GB2312" w:eastAsia="仿宋_GB2312" w:hAnsi="仿宋_GB2312" w:cs="仿宋_GB2312"/>
          <w:sz w:val="22"/>
          <w:szCs w:val="22"/>
        </w:rPr>
        <w:t>《企业年度关联交易财务状况分析表》。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原则上根据实际情况在不同的交易类型中归集、划分成本和费用，对于不能按照实际情况划分的成本和费用，</w:t>
      </w:r>
      <w:r>
        <w:rPr>
          <w:rFonts w:ascii="Arial Narrow" w:eastAsia="Arial Narrow" w:hAnsi="Arial Narrow" w:cs="Arial Narrow"/>
          <w:sz w:val="22"/>
          <w:szCs w:val="22"/>
        </w:rPr>
        <w:t>远化物流</w:t>
      </w:r>
      <w:r>
        <w:rPr>
          <w:rFonts w:ascii="仿宋_GB2312" w:eastAsia="仿宋_GB2312" w:hAnsi="仿宋_GB2312" w:cs="仿宋_GB2312"/>
          <w:sz w:val="22"/>
          <w:szCs w:val="22"/>
        </w:rPr>
        <w:t>按照合理比例进行划分。</w:t>
      </w:r>
    </w:p>
    <w:p>
      <w:pPr>
        <w:pStyle w:val="Heading2"/>
        <w:numPr>
          <w:ilvl w:val="1"/>
          <w:numId w:val="1"/>
        </w:numPr>
      </w:pPr>
      <w:bookmarkStart w:id="160" w:name="_Toc256003241"/>
      <w:r>
        <w:t>结论</w:t>
      </w:r>
      <w:bookmarkEnd w:id="16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Fonts w:ascii="Arial Narrow" w:eastAsia="Arial Narrow" w:hAnsi="Arial Narrow" w:cs="Arial Narrow"/>
          <w:color w:val="000000"/>
          <w:sz w:val="11"/>
          <w:szCs w:val="11"/>
          <w:u w:val="none"/>
          <w:vertAlign w:val="superscript"/>
        </w:rPr>
        <w:footnoteReference w:id="9"/>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w:t>
      </w:r>
      <w:r>
        <w:rPr>
          <w:rFonts w:ascii="Arial Narrow" w:eastAsia="Arial Narrow" w:hAnsi="Arial Narrow" w:cs="Arial Narrow"/>
          <w:sz w:val="22"/>
          <w:szCs w:val="22"/>
        </w:rPr>
        <w:t>远化物流</w:t>
      </w:r>
      <w:r>
        <w:rPr>
          <w:rFonts w:ascii="仿宋_GB2312" w:eastAsia="仿宋_GB2312" w:hAnsi="仿宋_GB2312" w:cs="仿宋_GB2312"/>
          <w:sz w:val="22"/>
          <w:szCs w:val="22"/>
        </w:rPr>
        <w:t>的主要关联交易包括关联劳务和关联租赁，这些关联交易的结果均已反映到成本费用中，因此，本报告将不对其进行单独测试分析，而是对</w:t>
      </w:r>
      <w:r>
        <w:rPr>
          <w:rFonts w:ascii="Arial Narrow" w:eastAsia="Arial Narrow" w:hAnsi="Arial Narrow" w:cs="Arial Narrow"/>
          <w:sz w:val="22"/>
          <w:szCs w:val="22"/>
        </w:rPr>
        <w:t>远化物流</w:t>
      </w:r>
      <w:r>
        <w:rPr>
          <w:rFonts w:ascii="仿宋_GB2312" w:eastAsia="仿宋_GB2312" w:hAnsi="仿宋_GB2312" w:cs="仿宋_GB2312"/>
          <w:sz w:val="22"/>
          <w:szCs w:val="22"/>
        </w:rPr>
        <w:t>的关联交易作为一个整体去分析。</w:t>
      </w:r>
      <w:r>
        <w:rPr>
          <w:rFonts w:ascii="Times New Roman" w:eastAsia="Times New Roman" w:hAnsi="Times New Roman" w:cs="Times New Roman"/>
          <w:sz w:val="22"/>
          <w:szCs w:val="22"/>
        </w:rPr>
        <w:br w:type="page"/>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根据分析，可比公司</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财年加权平均完全成本加成率独立交易区间为</w:t>
      </w:r>
      <w:r>
        <w:rPr>
          <w:rFonts w:ascii="Arial Narrow" w:eastAsia="Arial Narrow" w:hAnsi="Arial Narrow" w:cs="Arial Narrow"/>
          <w:sz w:val="22"/>
          <w:szCs w:val="22"/>
        </w:rPr>
        <w:t>2.36%</w:t>
      </w:r>
      <w:r>
        <w:rPr>
          <w:rFonts w:ascii="仿宋_GB2312" w:eastAsia="仿宋_GB2312" w:hAnsi="仿宋_GB2312" w:cs="仿宋_GB2312"/>
          <w:sz w:val="22"/>
          <w:szCs w:val="22"/>
        </w:rPr>
        <w:t>到</w:t>
      </w:r>
      <w:r>
        <w:rPr>
          <w:rFonts w:ascii="Arial Narrow" w:eastAsia="Arial Narrow" w:hAnsi="Arial Narrow" w:cs="Arial Narrow"/>
          <w:sz w:val="22"/>
          <w:szCs w:val="22"/>
        </w:rPr>
        <w:t>6.64%</w:t>
      </w:r>
      <w:r>
        <w:rPr>
          <w:rFonts w:ascii="仿宋_GB2312" w:eastAsia="仿宋_GB2312" w:hAnsi="仿宋_GB2312" w:cs="仿宋_GB2312"/>
          <w:sz w:val="22"/>
          <w:szCs w:val="22"/>
        </w:rPr>
        <w:t>，中位值为</w:t>
      </w:r>
      <w:r>
        <w:rPr>
          <w:rFonts w:ascii="Arial Narrow" w:eastAsia="Arial Narrow" w:hAnsi="Arial Narrow" w:cs="Arial Narrow"/>
          <w:sz w:val="22"/>
          <w:szCs w:val="22"/>
        </w:rPr>
        <w:t>3.20%</w:t>
      </w:r>
      <w:r>
        <w:rPr>
          <w:rFonts w:ascii="仿宋_GB2312" w:eastAsia="仿宋_GB2312" w:hAnsi="仿宋_GB2312" w:cs="仿宋_GB2312"/>
          <w:sz w:val="22"/>
          <w:szCs w:val="22"/>
        </w:rPr>
        <w:t>。</w:t>
      </w:r>
      <w:r>
        <w:rPr>
          <w:rFonts w:ascii="Arial Narrow" w:eastAsia="Arial Narrow" w:hAnsi="Arial Narrow" w:cs="Arial Narrow"/>
          <w:sz w:val="22"/>
          <w:szCs w:val="22"/>
        </w:rPr>
        <w:t>远化物流</w:t>
      </w:r>
      <w:r>
        <w:rPr>
          <w:rFonts w:ascii="仿宋_GB2312" w:eastAsia="仿宋_GB2312" w:hAnsi="仿宋_GB2312" w:cs="仿宋_GB2312"/>
          <w:sz w:val="22"/>
          <w:szCs w:val="22"/>
        </w:rPr>
        <w:t>受测关联交易获得的完全成本加成率为</w:t>
      </w:r>
      <w:r>
        <w:rPr>
          <w:rFonts w:ascii="Arial Narrow" w:eastAsia="Arial Narrow" w:hAnsi="Arial Narrow" w:cs="Arial Narrow"/>
          <w:sz w:val="22"/>
          <w:szCs w:val="22"/>
        </w:rPr>
        <w:t>3.60%</w:t>
      </w:r>
      <w:r>
        <w:rPr>
          <w:rFonts w:ascii="仿宋_GB2312" w:eastAsia="仿宋_GB2312" w:hAnsi="仿宋_GB2312" w:cs="仿宋_GB2312"/>
          <w:sz w:val="22"/>
          <w:szCs w:val="22"/>
        </w:rPr>
        <w:t>，位于可比非受控公司在</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财年三年加权平均完全成本加成率的四分位区间之内，且高于中位值。因此，从中国转让定价角度，我们认为</w:t>
      </w:r>
      <w:r>
        <w:rPr>
          <w:rFonts w:ascii="Arial Narrow" w:eastAsia="Arial Narrow" w:hAnsi="Arial Narrow" w:cs="Arial Narrow"/>
          <w:sz w:val="22"/>
          <w:szCs w:val="22"/>
        </w:rPr>
        <w:t>远化物流</w:t>
      </w:r>
      <w:r>
        <w:rPr>
          <w:rFonts w:ascii="仿宋_GB2312" w:eastAsia="仿宋_GB2312" w:hAnsi="仿宋_GB2312" w:cs="仿宋_GB2312"/>
          <w:sz w:val="22"/>
          <w:szCs w:val="22"/>
        </w:rPr>
        <w:t>的受测关联交易不违背独立交易原则。</w:t>
      </w:r>
    </w:p>
    <w:p>
      <w:pPr>
        <w:pStyle w:val="BodyText"/>
        <w:numPr>
          <w:ilvl w:val="0"/>
          <w:numId w:val="0"/>
        </w:numPr>
        <w:spacing w:before="0" w:after="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br w:type="page"/>
      </w:r>
    </w:p>
    <w:p>
      <w:pPr>
        <w:pStyle w:val="BodyText"/>
        <w:numPr>
          <w:ilvl w:val="0"/>
          <w:numId w:val="0"/>
        </w:numPr>
        <w:spacing w:before="280" w:after="280"/>
        <w:jc w:val="both"/>
        <w:rPr>
          <w:rFonts w:ascii="Times New Roman" w:eastAsia="Times New Roman" w:hAnsi="Times New Roman" w:cs="Times New Roman"/>
          <w:sz w:val="28"/>
          <w:szCs w:val="28"/>
        </w:rPr>
      </w:pPr>
      <w:bookmarkStart w:id="161" w:name="_Toc47700092"/>
      <w:bookmarkStart w:id="162" w:name="_Toc140761347"/>
      <w:bookmarkStart w:id="163" w:name="_Toc522015260"/>
      <w:bookmarkStart w:id="164" w:name="_Toc256000061"/>
      <w:r>
        <w:rPr>
          <w:rFonts w:ascii="仿宋_GB2312" w:eastAsia="仿宋_GB2312" w:hAnsi="仿宋_GB2312" w:cs="仿宋_GB2312"/>
          <w:color w:val="486A00"/>
          <w:sz w:val="28"/>
          <w:szCs w:val="28"/>
        </w:rPr>
        <w:t>附件列表</w:t>
      </w:r>
      <w:bookmarkEnd w:id="164"/>
      <w:bookmarkEnd w:id="161"/>
      <w:bookmarkEnd w:id="162"/>
      <w:bookmarkEnd w:id="163"/>
    </w:p>
    <w:p>
      <w:pPr>
        <w:pStyle w:val="BodyText"/>
        <w:numPr>
          <w:ilvl w:val="0"/>
          <w:numId w:val="0"/>
        </w:numPr>
        <w:spacing w:before="120" w:after="120" w:line="360" w:lineRule="auto"/>
        <w:ind w:firstLine="22"/>
        <w:jc w:val="both"/>
        <w:rPr>
          <w:rFonts w:ascii="Times New Roman" w:eastAsia="Times New Roman" w:hAnsi="Times New Roman" w:cs="Times New Roman"/>
          <w:sz w:val="22"/>
          <w:szCs w:val="22"/>
        </w:rPr>
      </w:pPr>
      <w:r>
        <w:rPr>
          <w:rFonts w:ascii="仿宋_GB2312" w:eastAsia="仿宋_GB2312" w:hAnsi="仿宋_GB2312" w:cs="仿宋_GB2312"/>
          <w:sz w:val="22"/>
          <w:szCs w:val="22"/>
        </w:rPr>
        <w:t>附件</w:t>
      </w:r>
      <w:r>
        <w:rPr>
          <w:rFonts w:ascii="Arial Narrow" w:eastAsia="Arial Narrow" w:hAnsi="Arial Narrow" w:cs="Arial Narrow"/>
          <w:sz w:val="22"/>
          <w:szCs w:val="22"/>
        </w:rPr>
        <w:t>1</w:t>
      </w:r>
      <w:r>
        <w:rPr>
          <w:rFonts w:ascii="仿宋_GB2312" w:eastAsia="仿宋_GB2312" w:hAnsi="仿宋_GB2312" w:cs="仿宋_GB2312"/>
          <w:sz w:val="22"/>
          <w:szCs w:val="22"/>
        </w:rPr>
        <w:t>转让定价方法简介</w:t>
      </w:r>
    </w:p>
    <w:p>
      <w:pPr>
        <w:pStyle w:val="BodyText"/>
        <w:numPr>
          <w:ilvl w:val="0"/>
          <w:numId w:val="0"/>
        </w:numPr>
        <w:spacing w:before="120" w:after="120" w:line="360" w:lineRule="auto"/>
        <w:ind w:firstLine="22"/>
        <w:jc w:val="both"/>
        <w:rPr>
          <w:rFonts w:ascii="Times New Roman" w:eastAsia="Times New Roman" w:hAnsi="Times New Roman" w:cs="Times New Roman"/>
          <w:sz w:val="22"/>
          <w:szCs w:val="22"/>
        </w:rPr>
      </w:pPr>
      <w:r>
        <w:rPr>
          <w:rFonts w:ascii="仿宋_GB2312" w:eastAsia="仿宋_GB2312" w:hAnsi="仿宋_GB2312" w:cs="仿宋_GB2312"/>
          <w:sz w:val="22"/>
          <w:szCs w:val="22"/>
        </w:rPr>
        <w:t>附件</w:t>
      </w:r>
      <w:r>
        <w:rPr>
          <w:rFonts w:ascii="Arial Narrow" w:eastAsia="Arial Narrow" w:hAnsi="Arial Narrow" w:cs="Arial Narrow"/>
          <w:sz w:val="22"/>
          <w:szCs w:val="22"/>
        </w:rPr>
        <w:t>2</w:t>
      </w:r>
      <w:r>
        <w:rPr>
          <w:rFonts w:ascii="仿宋_GB2312" w:eastAsia="仿宋_GB2312" w:hAnsi="仿宋_GB2312" w:cs="仿宋_GB2312"/>
          <w:sz w:val="22"/>
          <w:szCs w:val="22"/>
        </w:rPr>
        <w:t>企业年度关联交易财务状况分析表</w:t>
      </w:r>
    </w:p>
    <w:p>
      <w:pPr>
        <w:pStyle w:val="BodyText"/>
        <w:numPr>
          <w:ilvl w:val="0"/>
          <w:numId w:val="0"/>
        </w:numPr>
        <w:spacing w:before="120" w:after="120" w:line="360" w:lineRule="auto"/>
        <w:ind w:firstLine="22"/>
        <w:jc w:val="both"/>
        <w:rPr>
          <w:rFonts w:ascii="Times New Roman" w:eastAsia="Times New Roman" w:hAnsi="Times New Roman" w:cs="Times New Roman"/>
          <w:sz w:val="22"/>
          <w:szCs w:val="22"/>
        </w:rPr>
      </w:pPr>
      <w:r>
        <w:rPr>
          <w:rFonts w:ascii="仿宋_GB2312" w:eastAsia="仿宋_GB2312" w:hAnsi="仿宋_GB2312" w:cs="仿宋_GB2312"/>
          <w:sz w:val="22"/>
          <w:szCs w:val="22"/>
        </w:rPr>
        <w:t>附件</w:t>
      </w:r>
      <w:r>
        <w:rPr>
          <w:rFonts w:ascii="Arial Narrow" w:eastAsia="Arial Narrow" w:hAnsi="Arial Narrow" w:cs="Arial Narrow"/>
          <w:sz w:val="22"/>
          <w:szCs w:val="22"/>
        </w:rPr>
        <w:t>3</w:t>
      </w:r>
      <w:r>
        <w:rPr>
          <w:rFonts w:ascii="仿宋_GB2312" w:eastAsia="仿宋_GB2312" w:hAnsi="仿宋_GB2312" w:cs="仿宋_GB2312"/>
          <w:sz w:val="22"/>
          <w:szCs w:val="22"/>
        </w:rPr>
        <w:t>可比公司的业务简介</w:t>
      </w:r>
    </w:p>
    <w:p>
      <w:pPr>
        <w:pStyle w:val="BodyText"/>
        <w:numPr>
          <w:ilvl w:val="0"/>
          <w:numId w:val="0"/>
        </w:numPr>
        <w:spacing w:before="120" w:after="120" w:line="360" w:lineRule="auto"/>
        <w:ind w:firstLine="22"/>
        <w:jc w:val="both"/>
        <w:rPr>
          <w:rFonts w:ascii="Times New Roman" w:eastAsia="Times New Roman" w:hAnsi="Times New Roman" w:cs="Times New Roman"/>
          <w:sz w:val="22"/>
          <w:szCs w:val="22"/>
        </w:rPr>
      </w:pPr>
      <w:r>
        <w:rPr>
          <w:rFonts w:ascii="仿宋_GB2312" w:eastAsia="仿宋_GB2312" w:hAnsi="仿宋_GB2312" w:cs="仿宋_GB2312"/>
          <w:sz w:val="22"/>
          <w:szCs w:val="22"/>
        </w:rPr>
        <w:t>附件</w:t>
      </w:r>
      <w:r>
        <w:rPr>
          <w:rFonts w:ascii="Arial Narrow" w:eastAsia="Arial Narrow" w:hAnsi="Arial Narrow" w:cs="Arial Narrow"/>
          <w:sz w:val="22"/>
          <w:szCs w:val="22"/>
        </w:rPr>
        <w:t>4</w:t>
      </w:r>
      <w:r>
        <w:rPr>
          <w:rFonts w:ascii="仿宋_GB2312" w:eastAsia="仿宋_GB2312" w:hAnsi="仿宋_GB2312" w:cs="仿宋_GB2312"/>
          <w:sz w:val="22"/>
          <w:szCs w:val="22"/>
        </w:rPr>
        <w:t>可比公司完全成本加成率的计算</w:t>
      </w:r>
    </w:p>
    <w:p>
      <w:pPr>
        <w:pStyle w:val="BodyText"/>
        <w:numPr>
          <w:ilvl w:val="0"/>
          <w:numId w:val="0"/>
        </w:numPr>
        <w:spacing w:before="280" w:after="2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bookmarkStart w:id="165" w:name="_Toc522015262"/>
      <w:bookmarkStart w:id="166" w:name="_Toc50477149"/>
      <w:bookmarkStart w:id="167" w:name="_Hlk417658624"/>
      <w:bookmarkStart w:id="168" w:name="_Toc140761348"/>
      <w:bookmarkStart w:id="169" w:name="_Toc256000062"/>
      <w:r>
        <w:rPr>
          <w:rFonts w:ascii="仿宋_GB2312" w:eastAsia="仿宋_GB2312" w:hAnsi="仿宋_GB2312" w:cs="仿宋_GB2312"/>
          <w:color w:val="486A00"/>
          <w:sz w:val="28"/>
          <w:szCs w:val="28"/>
        </w:rPr>
        <w:t>附件</w:t>
      </w:r>
      <w:r>
        <w:rPr>
          <w:rFonts w:ascii="Arial Narrow" w:eastAsia="Arial Narrow" w:hAnsi="Arial Narrow" w:cs="Arial Narrow"/>
          <w:color w:val="486A00"/>
          <w:sz w:val="28"/>
          <w:szCs w:val="28"/>
        </w:rPr>
        <w:t xml:space="preserve">1 </w:t>
      </w:r>
      <w:r>
        <w:rPr>
          <w:rFonts w:ascii="仿宋_GB2312" w:eastAsia="仿宋_GB2312" w:hAnsi="仿宋_GB2312" w:cs="仿宋_GB2312"/>
          <w:color w:val="486A00"/>
          <w:sz w:val="28"/>
          <w:szCs w:val="28"/>
        </w:rPr>
        <w:t>转让定价方法简介</w:t>
      </w:r>
      <w:bookmarkEnd w:id="169"/>
      <w:bookmarkEnd w:id="165"/>
      <w:bookmarkEnd w:id="166"/>
      <w:bookmarkEnd w:id="167"/>
      <w:bookmarkEnd w:id="168"/>
    </w:p>
    <w:p>
      <w:pPr>
        <w:pStyle w:val="BodyText"/>
        <w:numPr>
          <w:ilvl w:val="0"/>
          <w:numId w:val="0"/>
        </w:numPr>
        <w:spacing w:before="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可比非受控价格法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17</w:t>
      </w:r>
      <w:r>
        <w:rPr>
          <w:rFonts w:ascii="仿宋_GB2312" w:eastAsia="仿宋_GB2312" w:hAnsi="仿宋_GB2312" w:cs="仿宋_GB2312"/>
          <w:sz w:val="22"/>
          <w:szCs w:val="22"/>
        </w:rPr>
        <w:t>条规定，可比非受控价格法可以适用于所有类型的关联交易。可比非受控价格法以非关联方之间进行的与关联交易相同或类似业务活动所收取的价格作为关联交易的公平成交价格。</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可比因素要求通常很难达到，因为关联与非关联交易在上述可比因素的任一方面或几个方面的一个细微差别都可能对价格产生重大影响。</w:t>
      </w: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17</w:t>
      </w:r>
      <w:r>
        <w:rPr>
          <w:rFonts w:ascii="仿宋_GB2312" w:eastAsia="仿宋_GB2312" w:hAnsi="仿宋_GB2312" w:cs="仿宋_GB2312"/>
          <w:sz w:val="22"/>
          <w:szCs w:val="22"/>
        </w:rPr>
        <w:t>条虽规定了关联交易与非关联交易之间在以上方面存在重大差异时，应就该差异对价格的影响进行合理调整，但也指出如无法合理调整的，应选择其他合理的转让定价方法。</w:t>
      </w:r>
    </w:p>
    <w:p>
      <w:pPr>
        <w:pStyle w:val="BodyText"/>
        <w:numPr>
          <w:ilvl w:val="0"/>
          <w:numId w:val="0"/>
        </w:numPr>
        <w:spacing w:before="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再销售价格法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18</w:t>
      </w:r>
      <w:r>
        <w:rPr>
          <w:rFonts w:ascii="仿宋_GB2312" w:eastAsia="仿宋_GB2312" w:hAnsi="仿宋_GB2312" w:cs="仿宋_GB2312"/>
          <w:sz w:val="22"/>
          <w:szCs w:val="22"/>
        </w:rPr>
        <w:t>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可比非关联交易毛利率</w:t>
      </w:r>
      <w:r>
        <w:rPr>
          <w:rFonts w:ascii="Arial Narrow" w:eastAsia="Arial Narrow" w:hAnsi="Arial Narrow" w:cs="Arial Narrow"/>
          <w:sz w:val="22"/>
          <w:szCs w:val="22"/>
        </w:rPr>
        <w:t>”</w:t>
      </w:r>
      <w:r>
        <w:rPr>
          <w:rFonts w:ascii="仿宋_GB2312" w:eastAsia="仿宋_GB2312" w:hAnsi="仿宋_GB2312" w:cs="仿宋_GB2312"/>
          <w:sz w:val="22"/>
          <w:szCs w:val="22"/>
        </w:rPr>
        <w:t>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18</w:t>
      </w:r>
      <w:r>
        <w:rPr>
          <w:rFonts w:ascii="仿宋_GB2312" w:eastAsia="仿宋_GB2312" w:hAnsi="仿宋_GB2312" w:cs="仿宋_GB2312"/>
          <w:sz w:val="22"/>
          <w:szCs w:val="22"/>
        </w:rPr>
        <w:t>条规定，再销售价格法通常适用于以下交易：</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再销售者未对商品进行改变外型、性能、结构或更换商标等实质性增值加工的简单加工或单纯的购销业务。</w:t>
      </w:r>
      <w:r>
        <w:rPr>
          <w:rFonts w:ascii="Arial Narrow" w:eastAsia="Arial Narrow" w:hAnsi="Arial Narrow" w:cs="Arial Narrow"/>
          <w:sz w:val="22"/>
          <w:szCs w:val="22"/>
        </w:rPr>
        <w:t>”</w:t>
      </w:r>
    </w:p>
    <w:p>
      <w:pPr>
        <w:pStyle w:val="BodyText"/>
        <w:numPr>
          <w:ilvl w:val="0"/>
          <w:numId w:val="0"/>
        </w:numPr>
        <w:spacing w:before="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成本加成法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19</w:t>
      </w:r>
      <w:r>
        <w:rPr>
          <w:rFonts w:ascii="仿宋_GB2312" w:eastAsia="仿宋_GB2312" w:hAnsi="仿宋_GB2312" w:cs="仿宋_GB2312"/>
          <w:sz w:val="22"/>
          <w:szCs w:val="22"/>
        </w:rPr>
        <w:t>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可比非关联交易成本加成率</w:t>
      </w:r>
      <w:r>
        <w:rPr>
          <w:rFonts w:ascii="Arial Narrow" w:eastAsia="Arial Narrow" w:hAnsi="Arial Narrow" w:cs="Arial Narrow"/>
          <w:sz w:val="22"/>
          <w:szCs w:val="22"/>
        </w:rPr>
        <w:t>”</w:t>
      </w:r>
      <w:r>
        <w:rPr>
          <w:rFonts w:ascii="仿宋_GB2312" w:eastAsia="仿宋_GB2312" w:hAnsi="仿宋_GB2312" w:cs="仿宋_GB2312"/>
          <w:sz w:val="22"/>
          <w:szCs w:val="22"/>
        </w:rPr>
        <w:t>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pPr>
        <w:pStyle w:val="BodyText"/>
        <w:numPr>
          <w:ilvl w:val="0"/>
          <w:numId w:val="0"/>
        </w:numPr>
        <w:spacing w:before="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交易净利润法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20</w:t>
      </w:r>
      <w:r>
        <w:rPr>
          <w:rFonts w:ascii="仿宋_GB2312" w:eastAsia="仿宋_GB2312" w:hAnsi="仿宋_GB2312" w:cs="仿宋_GB2312"/>
          <w:sz w:val="22"/>
          <w:szCs w:val="22"/>
        </w:rPr>
        <w:t>条规定，交易净利润法是以可比非关联交易的利润水平指标确定关联交易的净利润。</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交易净利润法较其它传统转让定价方法有其明显的优势，《</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w:t>
      </w:r>
      <w:r>
        <w:rPr>
          <w:rFonts w:ascii="Arial Narrow" w:eastAsia="Arial Narrow" w:hAnsi="Arial Narrow" w:cs="Arial Narrow"/>
          <w:sz w:val="22"/>
          <w:szCs w:val="22"/>
        </w:rPr>
        <w:t>2.62</w:t>
      </w:r>
      <w:r>
        <w:rPr>
          <w:rFonts w:ascii="仿宋_GB2312" w:eastAsia="仿宋_GB2312" w:hAnsi="仿宋_GB2312" w:cs="仿宋_GB2312"/>
          <w:sz w:val="22"/>
          <w:szCs w:val="22"/>
        </w:rPr>
        <w:t>章节指出</w:t>
      </w:r>
      <w:r>
        <w:rPr>
          <w:rFonts w:ascii="Arial Narrow" w:eastAsia="Arial Narrow" w:hAnsi="Arial Narrow" w:cs="Arial Narrow"/>
          <w:sz w:val="22"/>
          <w:szCs w:val="22"/>
        </w:rPr>
        <w:t>:</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净利润指标</w:t>
      </w:r>
      <w:r>
        <w:rPr>
          <w:rFonts w:ascii="Arial Narrow" w:eastAsia="Arial Narrow" w:hAnsi="Arial Narrow" w:cs="Arial Narrow"/>
          <w:sz w:val="22"/>
          <w:szCs w:val="22"/>
        </w:rPr>
        <w:t>2</w:t>
      </w:r>
      <w:r>
        <w:rPr>
          <w:rFonts w:ascii="仿宋_GB2312" w:eastAsia="仿宋_GB2312" w:hAnsi="仿宋_GB2312" w:cs="仿宋_GB2312"/>
          <w:sz w:val="22"/>
          <w:szCs w:val="22"/>
        </w:rPr>
        <w:t>承受受控和非受控交易之间的某些功能差别。企业所发挥功能方面的差异，通常反映在营业费用的不同上。</w:t>
      </w:r>
      <w:r>
        <w:rPr>
          <w:rFonts w:ascii="Arial Narrow" w:eastAsia="Arial Narrow" w:hAnsi="Arial Narrow" w:cs="Arial Narrow"/>
          <w:sz w:val="22"/>
          <w:szCs w:val="22"/>
        </w:rPr>
        <w:t>”</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pPr>
        <w:pStyle w:val="BodyText"/>
        <w:numPr>
          <w:ilvl w:val="0"/>
          <w:numId w:val="0"/>
        </w:numPr>
        <w:spacing w:before="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利润分割法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21</w:t>
      </w:r>
      <w:r>
        <w:rPr>
          <w:rFonts w:ascii="仿宋_GB2312" w:eastAsia="仿宋_GB2312" w:hAnsi="仿宋_GB2312" w:cs="仿宋_GB2312"/>
          <w:sz w:val="22"/>
          <w:szCs w:val="22"/>
        </w:rPr>
        <w:t>条规定，利润分割法为根据企业与其关联方对关联交易合并利润的贡献计算各自应该分配的利润额。利润分割法适用于各参与方关联交易高度整合且难以单独评估各方交易结果的情况。</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21</w:t>
      </w:r>
      <w:r>
        <w:rPr>
          <w:rFonts w:ascii="仿宋_GB2312" w:eastAsia="仿宋_GB2312" w:hAnsi="仿宋_GB2312" w:cs="仿宋_GB2312"/>
          <w:sz w:val="22"/>
          <w:szCs w:val="22"/>
        </w:rPr>
        <w:t>条的规定，利润分割法一般分为以下</w:t>
      </w:r>
      <w:r>
        <w:rPr>
          <w:rFonts w:ascii="Arial Narrow" w:eastAsia="Arial Narrow" w:hAnsi="Arial Narrow" w:cs="Arial Narrow"/>
          <w:sz w:val="22"/>
          <w:szCs w:val="22"/>
        </w:rPr>
        <w:t>2</w:t>
      </w:r>
      <w:r>
        <w:rPr>
          <w:rFonts w:ascii="仿宋_GB2312" w:eastAsia="仿宋_GB2312" w:hAnsi="仿宋_GB2312" w:cs="仿宋_GB2312"/>
          <w:sz w:val="22"/>
          <w:szCs w:val="22"/>
        </w:rPr>
        <w:t>种：</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剩余利润分割法：剩余利润分割法将关联交易各参与方的合并利润减去分配给各方的常规利润的余额作为剩余利润，再根据各方对剩余利润的贡献程度进行分配。</w:t>
      </w:r>
    </w:p>
    <w:p>
      <w:pPr>
        <w:pStyle w:val="BodyText"/>
        <w:numPr>
          <w:ilvl w:val="0"/>
          <w:numId w:val="0"/>
        </w:numPr>
        <w:spacing w:before="0" w:after="0"/>
        <w:jc w:val="both"/>
        <w:rPr>
          <w:rFonts w:ascii="Times New Roman" w:eastAsia="Times New Roman" w:hAnsi="Times New Roman" w:cs="Times New Roman"/>
          <w:sz w:val="22"/>
          <w:szCs w:val="22"/>
        </w:rPr>
      </w:pPr>
      <w:bookmarkStart w:id="170" w:name="OLE_LINK4"/>
      <w:r>
        <w:rPr>
          <w:rFonts w:ascii="仿宋_GB2312" w:eastAsia="仿宋_GB2312" w:hAnsi="仿宋_GB2312" w:cs="仿宋_GB2312"/>
          <w:b/>
          <w:bCs/>
          <w:i/>
          <w:iCs/>
          <w:color w:val="002060"/>
          <w:sz w:val="22"/>
          <w:szCs w:val="22"/>
        </w:rPr>
        <w:t>其他符合独立交易原则的方法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其他符合独立交易原则的方法包括成本法、市场法和收益法等资产评估方法，以及其他能够反映利润与经济活动发生地和价值创造地相匹配原则的方法。</w:t>
      </w:r>
    </w:p>
    <w:p>
      <w:pPr>
        <w:pStyle w:val="BodyText"/>
        <w:numPr>
          <w:ilvl w:val="0"/>
          <w:numId w:val="9"/>
        </w:numPr>
        <w:tabs>
          <w:tab w:val="left" w:pos="449"/>
        </w:tabs>
        <w:spacing w:before="0" w:after="0"/>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bCs/>
          <w:i/>
          <w:iCs/>
          <w:color w:val="002060"/>
          <w:sz w:val="22"/>
          <w:szCs w:val="22"/>
        </w:rPr>
        <w:t>成本法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成本法是以替代或者重置原则为基础，通过在当前市场价格下创造一项相似资产所发生的支出确定评估标的价值的评估方法。成本法适用于能够被替代的资产价值评估。</w:t>
      </w:r>
    </w:p>
    <w:p>
      <w:pPr>
        <w:pStyle w:val="BodyText"/>
        <w:numPr>
          <w:ilvl w:val="0"/>
          <w:numId w:val="9"/>
        </w:numPr>
        <w:tabs>
          <w:tab w:val="left" w:pos="449"/>
        </w:tabs>
        <w:spacing w:before="0" w:after="0"/>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bCs/>
          <w:i/>
          <w:iCs/>
          <w:color w:val="002060"/>
          <w:sz w:val="22"/>
          <w:szCs w:val="22"/>
        </w:rPr>
        <w:t>市场法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pPr>
        <w:pStyle w:val="BodyText"/>
        <w:numPr>
          <w:ilvl w:val="0"/>
          <w:numId w:val="9"/>
        </w:numPr>
        <w:tabs>
          <w:tab w:val="left" w:pos="449"/>
        </w:tabs>
        <w:spacing w:before="0" w:after="0"/>
        <w:ind w:left="42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bCs/>
          <w:i/>
          <w:iCs/>
          <w:color w:val="002060"/>
          <w:sz w:val="22"/>
          <w:szCs w:val="22"/>
        </w:rPr>
        <w:t>收益法</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收益法是通过评估标的未来预期收益现值来确定其价值的评估方法。收益法适用于企业整体资产和可预期未来收益的单项资产评估。</w:t>
      </w:r>
      <w:bookmarkEnd w:id="170"/>
    </w:p>
    <w:p>
      <w:pPr>
        <w:pStyle w:val="BodyText"/>
        <w:numPr>
          <w:ilvl w:val="0"/>
          <w:numId w:val="0"/>
        </w:numPr>
        <w:spacing w:before="280" w:after="280"/>
        <w:jc w:val="both"/>
        <w:rPr>
          <w:rFonts w:ascii="Times New Roman" w:eastAsia="Times New Roman" w:hAnsi="Times New Roman" w:cs="Times New Roman"/>
          <w:sz w:val="28"/>
          <w:szCs w:val="28"/>
        </w:rPr>
      </w:pPr>
      <w:bookmarkStart w:id="171" w:name="_Toc140761349"/>
      <w:bookmarkStart w:id="172" w:name="_Toc50477150"/>
      <w:bookmarkStart w:id="173" w:name="_Toc256000063"/>
      <w:r>
        <w:rPr>
          <w:rFonts w:ascii="仿宋_GB2312" w:eastAsia="仿宋_GB2312" w:hAnsi="仿宋_GB2312" w:cs="仿宋_GB2312"/>
          <w:color w:val="486A00"/>
          <w:sz w:val="28"/>
          <w:szCs w:val="28"/>
        </w:rPr>
        <w:t>附件</w:t>
      </w:r>
      <w:r>
        <w:rPr>
          <w:rFonts w:ascii="Arial Narrow" w:eastAsia="Arial Narrow" w:hAnsi="Arial Narrow" w:cs="Arial Narrow"/>
          <w:color w:val="486A00"/>
          <w:sz w:val="28"/>
          <w:szCs w:val="28"/>
        </w:rPr>
        <w:t xml:space="preserve">2 </w:t>
      </w:r>
      <w:r>
        <w:rPr>
          <w:rFonts w:ascii="仿宋_GB2312" w:eastAsia="仿宋_GB2312" w:hAnsi="仿宋_GB2312" w:cs="仿宋_GB2312"/>
          <w:color w:val="486A00"/>
          <w:sz w:val="28"/>
          <w:szCs w:val="28"/>
        </w:rPr>
        <w:t>企业年度关联交易财务状况分析表</w:t>
      </w:r>
      <w:bookmarkEnd w:id="173"/>
      <w:bookmarkEnd w:id="171"/>
      <w:bookmarkEnd w:id="172"/>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下表中的财务数据均由</w:t>
      </w:r>
      <w:r>
        <w:rPr>
          <w:rFonts w:ascii="Arial Narrow" w:eastAsia="Arial Narrow" w:hAnsi="Arial Narrow" w:cs="Arial Narrow"/>
          <w:sz w:val="22"/>
          <w:szCs w:val="22"/>
        </w:rPr>
        <w:t>远化物流</w:t>
      </w:r>
      <w:r>
        <w:rPr>
          <w:rFonts w:ascii="仿宋_GB2312" w:eastAsia="仿宋_GB2312" w:hAnsi="仿宋_GB2312" w:cs="仿宋_GB2312"/>
          <w:sz w:val="22"/>
          <w:szCs w:val="22"/>
        </w:rPr>
        <w:t>提供，所有金额均以人民币元为单位。</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立信未对提供的财务数据进行核实，也未进行任何的财务分析以验证</w:t>
      </w:r>
      <w:r>
        <w:rPr>
          <w:rFonts w:ascii="Arial Narrow" w:eastAsia="Arial Narrow" w:hAnsi="Arial Narrow" w:cs="Arial Narrow"/>
          <w:sz w:val="22"/>
          <w:szCs w:val="22"/>
        </w:rPr>
        <w:t>远化物流</w:t>
      </w:r>
      <w:r>
        <w:rPr>
          <w:rFonts w:ascii="仿宋_GB2312" w:eastAsia="仿宋_GB2312" w:hAnsi="仿宋_GB2312" w:cs="仿宋_GB2312"/>
          <w:sz w:val="22"/>
          <w:szCs w:val="22"/>
        </w:rPr>
        <w:t>在下述财务数据中所选用分摊标准的合理性。</w:t>
      </w:r>
    </w:p>
    <w:p>
      <w:pPr>
        <w:pStyle w:val="BodyText"/>
        <w:numPr>
          <w:ilvl w:val="0"/>
          <w:numId w:val="0"/>
        </w:numPr>
        <w:spacing w:before="0" w:after="0"/>
        <w:jc w:val="right"/>
        <w:rPr>
          <w:rFonts w:ascii="Times New Roman" w:eastAsia="Times New Roman" w:hAnsi="Times New Roman" w:cs="Times New Roman"/>
          <w:sz w:val="21"/>
          <w:szCs w:val="21"/>
        </w:rPr>
      </w:pPr>
      <w:r>
        <w:rPr>
          <w:rFonts w:ascii="仿宋_GB2312" w:eastAsia="仿宋_GB2312" w:hAnsi="仿宋_GB2312" w:cs="仿宋_GB2312"/>
          <w:sz w:val="21"/>
          <w:szCs w:val="21"/>
        </w:rPr>
        <w:t>货币单位：人民币</w:t>
      </w:r>
      <w:r>
        <w:rPr>
          <w:rFonts w:ascii="微软雅黑" w:eastAsia="微软雅黑" w:hAnsi="微软雅黑" w:cs="微软雅黑"/>
          <w:sz w:val="21"/>
          <w:szCs w:val="21"/>
        </w:rPr>
        <w:t>˙</w:t>
      </w:r>
      <w:r>
        <w:rPr>
          <w:rFonts w:ascii="仿宋_GB2312" w:eastAsia="仿宋_GB2312" w:hAnsi="仿宋_GB2312" w:cs="仿宋_GB2312"/>
          <w:sz w:val="21"/>
          <w:szCs w:val="21"/>
        </w:rPr>
        <w:t>元</w:t>
      </w:r>
    </w:p>
    <w:p>
      <w:pPr>
        <w:pStyle w:val="BodyText"/>
        <w:numPr>
          <w:ilvl w:val="0"/>
          <w:numId w:val="0"/>
        </w:numPr>
        <w:spacing w:before="280" w:after="280"/>
        <w:jc w:val="both"/>
        <w:rPr>
          <w:rFonts w:ascii="Times New Roman" w:eastAsia="Times New Roman" w:hAnsi="Times New Roman" w:cs="Times New Roman"/>
          <w:sz w:val="28"/>
          <w:szCs w:val="28"/>
        </w:rPr>
      </w:pPr>
      <w:bookmarkStart w:id="174" w:name="_Toc140761350"/>
      <w:bookmarkStart w:id="175" w:name="_Toc50477151"/>
      <w:bookmarkStart w:id="176" w:name="_Toc256000064"/>
      <w:r>
        <w:rPr>
          <w:rFonts w:ascii="仿宋_GB2312" w:eastAsia="仿宋_GB2312" w:hAnsi="仿宋_GB2312" w:cs="仿宋_GB2312"/>
          <w:color w:val="486A00"/>
          <w:sz w:val="28"/>
          <w:szCs w:val="28"/>
        </w:rPr>
        <w:t>附件</w:t>
      </w:r>
      <w:r>
        <w:rPr>
          <w:rFonts w:ascii="Arial Narrow" w:eastAsia="Arial Narrow" w:hAnsi="Arial Narrow" w:cs="Arial Narrow"/>
          <w:color w:val="486A00"/>
          <w:sz w:val="28"/>
          <w:szCs w:val="28"/>
        </w:rPr>
        <w:t xml:space="preserve">3 </w:t>
      </w:r>
      <w:r>
        <w:rPr>
          <w:rFonts w:ascii="仿宋_GB2312" w:eastAsia="仿宋_GB2312" w:hAnsi="仿宋_GB2312" w:cs="仿宋_GB2312"/>
          <w:color w:val="486A00"/>
          <w:sz w:val="28"/>
          <w:szCs w:val="28"/>
        </w:rPr>
        <w:t>被选可比公司的业务简介</w:t>
      </w:r>
      <w:bookmarkEnd w:id="176"/>
      <w:bookmarkEnd w:id="174"/>
      <w:bookmarkEnd w:id="175"/>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Yamato Holdings CO LTD</w:t>
      </w:r>
      <w:r>
        <w:rPr>
          <w:rFonts w:ascii="仿宋_GB2312" w:eastAsia="仿宋_GB2312" w:hAnsi="仿宋_GB2312" w:cs="仿宋_GB2312"/>
          <w:b/>
          <w:bCs/>
          <w:i/>
          <w:iCs/>
          <w:color w:val="002060"/>
          <w:sz w:val="22"/>
          <w:szCs w:val="22"/>
        </w:rPr>
        <w:t>（日本）</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该公司从事物流和运输服务，重点是其旗舰“</w:t>
      </w:r>
      <w:r>
        <w:rPr>
          <w:rFonts w:ascii="Arial Narrow" w:eastAsia="Arial Narrow" w:hAnsi="Arial Narrow" w:cs="Arial Narrow"/>
          <w:sz w:val="22"/>
          <w:szCs w:val="22"/>
        </w:rPr>
        <w:t>TA-Q-BIN</w:t>
      </w:r>
      <w:r>
        <w:rPr>
          <w:rFonts w:ascii="仿宋_GB2312" w:eastAsia="仿宋_GB2312" w:hAnsi="仿宋_GB2312" w:cs="仿宋_GB2312"/>
          <w:sz w:val="22"/>
          <w:szCs w:val="22"/>
        </w:rPr>
        <w:t>”包裹递送服务。公司专注于提供创新、高品质的物流解决方案。这包括</w:t>
      </w:r>
      <w:r>
        <w:rPr>
          <w:rFonts w:ascii="Arial Narrow" w:eastAsia="Arial Narrow" w:hAnsi="Arial Narrow" w:cs="Arial Narrow"/>
          <w:sz w:val="22"/>
          <w:szCs w:val="22"/>
        </w:rPr>
        <w:t>TA-Q-BIN</w:t>
      </w:r>
      <w:r>
        <w:rPr>
          <w:rFonts w:ascii="仿宋_GB2312" w:eastAsia="仿宋_GB2312" w:hAnsi="仿宋_GB2312" w:cs="仿宋_GB2312"/>
          <w:sz w:val="22"/>
          <w:szCs w:val="22"/>
        </w:rPr>
        <w:t>包裹递送服务，以及电子商务、</w:t>
      </w:r>
      <w:r>
        <w:rPr>
          <w:rFonts w:ascii="Arial Narrow" w:eastAsia="Arial Narrow" w:hAnsi="Arial Narrow" w:cs="Arial Narrow"/>
          <w:sz w:val="22"/>
          <w:szCs w:val="22"/>
        </w:rPr>
        <w:t>B2B</w:t>
      </w:r>
      <w:r>
        <w:rPr>
          <w:rFonts w:ascii="仿宋_GB2312" w:eastAsia="仿宋_GB2312" w:hAnsi="仿宋_GB2312" w:cs="仿宋_GB2312"/>
          <w:sz w:val="22"/>
          <w:szCs w:val="22"/>
        </w:rPr>
        <w:t>运输、仓储等服务。</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Fukuyama Transporting CO LTD</w:t>
      </w:r>
      <w:r>
        <w:rPr>
          <w:rFonts w:ascii="仿宋_GB2312" w:eastAsia="仿宋_GB2312" w:hAnsi="仿宋_GB2312" w:cs="仿宋_GB2312"/>
          <w:b/>
          <w:bCs/>
          <w:i/>
          <w:iCs/>
          <w:color w:val="002060"/>
          <w:sz w:val="22"/>
          <w:szCs w:val="22"/>
        </w:rPr>
        <w:t>（日本）</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该公司从事运输服务。公司的运输业务提供卡车运输、航空货运和港口运输服务，以及与运输相关的非人寿保险代理服务。</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Nikkon Holdings CO LTD</w:t>
      </w:r>
      <w:r>
        <w:rPr>
          <w:rFonts w:ascii="仿宋_GB2312" w:eastAsia="仿宋_GB2312" w:hAnsi="仿宋_GB2312" w:cs="仿宋_GB2312"/>
          <w:b/>
          <w:bCs/>
          <w:i/>
          <w:iCs/>
          <w:color w:val="002060"/>
          <w:sz w:val="22"/>
          <w:szCs w:val="22"/>
        </w:rPr>
        <w:t>（日本）</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该公司主要作为物流公司在日本和国际上提供运输，仓储，包装和其他服务。它提供卡车运输；货运处理服务；并提供仓储服务，同时兼任航空货运代理。</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Okayamaken Freight Transportation CO LTD</w:t>
      </w:r>
      <w:r>
        <w:rPr>
          <w:rFonts w:ascii="仿宋_GB2312" w:eastAsia="仿宋_GB2312" w:hAnsi="仿宋_GB2312" w:cs="仿宋_GB2312"/>
          <w:b/>
          <w:bCs/>
          <w:i/>
          <w:iCs/>
          <w:color w:val="002060"/>
          <w:sz w:val="22"/>
          <w:szCs w:val="22"/>
        </w:rPr>
        <w:t>（日本）</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这家公司从事物流服务。该公司经营三个业务部门：货物运输，房地产和石油产品销售。货物运输部门专门提供汽车货运、货物交付和收集、货物包装、仓储、航空货运代理、海关入境和工业废物收集和运输服务。房地产部门活跃于房地产业务。石油产品销售部门是石油产品和汽车零部件的经销商，建筑业务，提供保险服务，销售叉车，以及提供人力派遣服务。</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Samil Co.,Ltd.</w:t>
      </w:r>
      <w:r>
        <w:rPr>
          <w:rFonts w:ascii="仿宋_GB2312" w:eastAsia="仿宋_GB2312" w:hAnsi="仿宋_GB2312" w:cs="仿宋_GB2312"/>
          <w:b/>
          <w:bCs/>
          <w:i/>
          <w:iCs/>
          <w:color w:val="002060"/>
          <w:sz w:val="22"/>
          <w:szCs w:val="22"/>
        </w:rPr>
        <w:t>（韩国）</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总部位于韩国浦项市，从事钢铁产品的储存和运输。其业务范围包括运输、仓储、装运、卸载，并不断成长为一家经营终端业务的综合性物流公司。并为客户提供一般货物运输、特殊货物运输、特殊保税运输、仓储运输等全方位物流服务。</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SEA &amp; Land Integrated Corporation</w:t>
      </w:r>
      <w:r>
        <w:rPr>
          <w:rFonts w:ascii="仿宋_GB2312" w:eastAsia="仿宋_GB2312" w:hAnsi="仿宋_GB2312" w:cs="仿宋_GB2312"/>
          <w:b/>
          <w:bCs/>
          <w:i/>
          <w:iCs/>
          <w:color w:val="002060"/>
          <w:sz w:val="22"/>
          <w:szCs w:val="22"/>
        </w:rPr>
        <w:t>（中国台湾）</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该公司从事集装箱运输服务、仓储服务、工程起重运输服务。它成立于</w:t>
      </w:r>
      <w:r>
        <w:rPr>
          <w:rFonts w:ascii="Arial Narrow" w:eastAsia="Arial Narrow" w:hAnsi="Arial Narrow" w:cs="Arial Narrow"/>
          <w:sz w:val="22"/>
          <w:szCs w:val="22"/>
        </w:rPr>
        <w:t>1973</w:t>
      </w:r>
      <w:r>
        <w:rPr>
          <w:rFonts w:ascii="仿宋_GB2312" w:eastAsia="仿宋_GB2312" w:hAnsi="仿宋_GB2312" w:cs="仿宋_GB2312"/>
          <w:sz w:val="22"/>
          <w:szCs w:val="22"/>
        </w:rPr>
        <w:t>年。公司注册办事处位于中国台湾，在基隆港、杨梅港、台中港、高雄港等周边地区设有办事处。在集装箱运输方面，除了与国际知名船公司的集装箱运输合同比同行多且稳定外，公司还拥有重型机械零部件。该公司在基隆港、台中港、高雄港和杨梅港拥有</w:t>
      </w:r>
      <w:r>
        <w:rPr>
          <w:rFonts w:ascii="Arial Narrow" w:eastAsia="Arial Narrow" w:hAnsi="Arial Narrow" w:cs="Arial Narrow"/>
          <w:sz w:val="22"/>
          <w:szCs w:val="22"/>
        </w:rPr>
        <w:t>3400</w:t>
      </w:r>
      <w:r>
        <w:rPr>
          <w:rFonts w:ascii="仿宋_GB2312" w:eastAsia="仿宋_GB2312" w:hAnsi="仿宋_GB2312" w:cs="仿宋_GB2312"/>
          <w:sz w:val="22"/>
          <w:szCs w:val="22"/>
        </w:rPr>
        <w:t>平方英尺的集装箱专用停车场，用于停车和维修。它建立了一个全省运输系统，也有重型机械，仓储，起重，安装等服务。</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Vinalink Logistics Joint Stock Company</w:t>
      </w:r>
      <w:r>
        <w:rPr>
          <w:rFonts w:ascii="仿宋_GB2312" w:eastAsia="仿宋_GB2312" w:hAnsi="仿宋_GB2312" w:cs="仿宋_GB2312"/>
          <w:b/>
          <w:bCs/>
          <w:i/>
          <w:iCs/>
          <w:color w:val="002060"/>
          <w:sz w:val="22"/>
          <w:szCs w:val="22"/>
        </w:rPr>
        <w:t>（越南）</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该公司在越南从事运输和物流服务。公司成立于</w:t>
      </w:r>
      <w:r>
        <w:rPr>
          <w:rFonts w:ascii="Arial Narrow" w:eastAsia="Arial Narrow" w:hAnsi="Arial Narrow" w:cs="Arial Narrow"/>
          <w:sz w:val="22"/>
          <w:szCs w:val="22"/>
        </w:rPr>
        <w:t>1999</w:t>
      </w:r>
      <w:r>
        <w:rPr>
          <w:rFonts w:ascii="仿宋_GB2312" w:eastAsia="仿宋_GB2312" w:hAnsi="仿宋_GB2312" w:cs="仿宋_GB2312"/>
          <w:sz w:val="22"/>
          <w:szCs w:val="22"/>
        </w:rPr>
        <w:t>年</w:t>
      </w:r>
      <w:r>
        <w:rPr>
          <w:rFonts w:ascii="Arial Narrow" w:eastAsia="Arial Narrow" w:hAnsi="Arial Narrow" w:cs="Arial Narrow"/>
          <w:sz w:val="22"/>
          <w:szCs w:val="22"/>
        </w:rPr>
        <w:t>7</w:t>
      </w:r>
      <w:r>
        <w:rPr>
          <w:rFonts w:ascii="仿宋_GB2312" w:eastAsia="仿宋_GB2312" w:hAnsi="仿宋_GB2312" w:cs="仿宋_GB2312"/>
          <w:sz w:val="22"/>
          <w:szCs w:val="22"/>
        </w:rPr>
        <w:t>月，注册总部位于越南胡志明市。公司的活动范围包括送货和包装；仓储和经纪服务；运输及快递服务。它处理各种各样的商品，包括汽车产品、加油站油泵的燃料和自动售货机用品等。其使命是通过提供送货、包装、仓储和快递服务，在越南提供运输和物流解决方案。</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Inter State OIL Carrier LTD</w:t>
      </w:r>
      <w:r>
        <w:rPr>
          <w:rFonts w:ascii="仿宋_GB2312" w:eastAsia="仿宋_GB2312" w:hAnsi="仿宋_GB2312" w:cs="仿宋_GB2312"/>
          <w:b/>
          <w:bCs/>
          <w:i/>
          <w:iCs/>
          <w:color w:val="002060"/>
          <w:sz w:val="22"/>
          <w:szCs w:val="22"/>
        </w:rPr>
        <w:t>（印度）</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从事化学品和气体的运输。公司专注于化学品、气体和其他产品的安全可靠运输，同时还提供以先进技术和高度关注安全为基础的综合物流解决方案。其使命是成为印度可靠、安全、技术先进的运输和物流服务的领先供应商，专注于提供卓越的客户服务，并不断提高其能力，以满足不同客户群不断变化的需求。</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PT MPX Logistics International TBK</w:t>
      </w:r>
      <w:r>
        <w:rPr>
          <w:rFonts w:ascii="仿宋_GB2312" w:eastAsia="仿宋_GB2312" w:hAnsi="仿宋_GB2312" w:cs="仿宋_GB2312"/>
          <w:b/>
          <w:bCs/>
          <w:i/>
          <w:iCs/>
          <w:color w:val="002060"/>
          <w:sz w:val="22"/>
          <w:szCs w:val="22"/>
        </w:rPr>
        <w:t>（印度尼西亚）</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总部设在印度尼西亚，从事货运和货物运输安排以及提供物流服务。公司主要从事国内外货物、货物及相关商品的运输。它提供诸如货运和仓储的合并或转发等服务。它还提供分销管理、包装和标签服务、供应商整合、货物保险、采购订单管理和定制物流信息服务。此外，公司还为全国各地的客户提供沿大部分主要贸易路线的货运服务。该公司与全国首屈一指的人力资源供应商建立了战略联盟，以更好地为客户服务。</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Balurghat Technologies Limited</w:t>
      </w:r>
      <w:r>
        <w:rPr>
          <w:rFonts w:ascii="仿宋_GB2312" w:eastAsia="仿宋_GB2312" w:hAnsi="仿宋_GB2312" w:cs="仿宋_GB2312"/>
          <w:b/>
          <w:bCs/>
          <w:i/>
          <w:iCs/>
          <w:color w:val="002060"/>
          <w:sz w:val="22"/>
          <w:szCs w:val="22"/>
        </w:rPr>
        <w:t>（印度）</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该公司从事物流和供应链解决方案。该公司的部门包括运输业务，旅游部门和贸易。其产品和服务包括分配燃料和货运运输服务的其他泵。该公司为各个行业提供服务，如汽车、快速消费品（</w:t>
      </w:r>
      <w:r>
        <w:rPr>
          <w:rFonts w:ascii="Arial Narrow" w:eastAsia="Arial Narrow" w:hAnsi="Arial Narrow" w:cs="Arial Narrow"/>
          <w:sz w:val="22"/>
          <w:szCs w:val="22"/>
        </w:rPr>
        <w:t>FMCG</w:t>
      </w:r>
      <w:r>
        <w:rPr>
          <w:rFonts w:ascii="仿宋_GB2312" w:eastAsia="仿宋_GB2312" w:hAnsi="仿宋_GB2312" w:cs="仿宋_GB2312"/>
          <w:sz w:val="22"/>
          <w:szCs w:val="22"/>
        </w:rPr>
        <w:t>）、工业、制药、医疗保健、零售、房地产开发商和政府机构。</w:t>
      </w:r>
    </w:p>
    <w:p>
      <w:pPr>
        <w:pStyle w:val="BodyText"/>
        <w:numPr>
          <w:ilvl w:val="0"/>
          <w:numId w:val="0"/>
        </w:numPr>
        <w:spacing w:before="0" w:after="0"/>
        <w:jc w:val="both"/>
        <w:rPr>
          <w:rFonts w:ascii="Times New Roman" w:eastAsia="Times New Roman" w:hAnsi="Times New Roman" w:cs="Times New Roman"/>
          <w:sz w:val="22"/>
          <w:szCs w:val="22"/>
        </w:rPr>
      </w:pPr>
      <w:r>
        <w:rPr>
          <w:rFonts w:ascii="Arial Narrow" w:eastAsia="Arial Narrow" w:hAnsi="Arial Narrow" w:cs="Arial Narrow"/>
          <w:b/>
          <w:bCs/>
          <w:i/>
          <w:iCs/>
          <w:color w:val="002060"/>
          <w:sz w:val="22"/>
          <w:szCs w:val="22"/>
        </w:rPr>
        <w:t>Guangdong Smart Fortune Logistics Inc.</w:t>
      </w:r>
      <w:r>
        <w:rPr>
          <w:rFonts w:ascii="仿宋_GB2312" w:eastAsia="仿宋_GB2312" w:hAnsi="仿宋_GB2312" w:cs="仿宋_GB2312"/>
          <w:b/>
          <w:bCs/>
          <w:i/>
          <w:iCs/>
          <w:color w:val="002060"/>
          <w:sz w:val="22"/>
          <w:szCs w:val="22"/>
        </w:rPr>
        <w:t>（中国）</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该公司总部设在中国，从事货物运输安排以及提供物流服务。该公司从事货运、货物及相关商品的运输。它提供全方位的物流服务，包括合同仓储、公共仓储和运输服务。它还提供分销管理、供应商整合、货物保险、采购订单管理和定制物流信息服务。公司为全国各地的客户提供沿大部分主要贸易路线的货运服务。</w:t>
      </w:r>
    </w:p>
    <w:p>
      <w:pPr>
        <w:pStyle w:val="BodyText"/>
        <w:numPr>
          <w:ilvl w:val="0"/>
          <w:numId w:val="0"/>
        </w:numPr>
        <w:spacing w:before="280" w:after="280"/>
        <w:jc w:val="both"/>
        <w:rPr>
          <w:rFonts w:ascii="Times New Roman" w:eastAsia="Times New Roman" w:hAnsi="Times New Roman" w:cs="Times New Roman"/>
          <w:sz w:val="28"/>
          <w:szCs w:val="28"/>
        </w:rPr>
      </w:pPr>
      <w:bookmarkStart w:id="177" w:name="_Toc50477152"/>
      <w:bookmarkStart w:id="178" w:name="_Toc140761351"/>
      <w:bookmarkStart w:id="179" w:name="_Toc256000065"/>
      <w:r>
        <w:rPr>
          <w:rFonts w:ascii="仿宋_GB2312" w:eastAsia="仿宋_GB2312" w:hAnsi="仿宋_GB2312" w:cs="仿宋_GB2312"/>
          <w:color w:val="486A00"/>
          <w:sz w:val="28"/>
          <w:szCs w:val="28"/>
        </w:rPr>
        <w:t>附件</w:t>
      </w:r>
      <w:r>
        <w:rPr>
          <w:rFonts w:ascii="Arial Narrow" w:eastAsia="Arial Narrow" w:hAnsi="Arial Narrow" w:cs="Arial Narrow"/>
          <w:color w:val="486A00"/>
          <w:sz w:val="28"/>
          <w:szCs w:val="28"/>
        </w:rPr>
        <w:t xml:space="preserve">4 </w:t>
      </w:r>
      <w:r>
        <w:rPr>
          <w:rFonts w:ascii="仿宋_GB2312" w:eastAsia="仿宋_GB2312" w:hAnsi="仿宋_GB2312" w:cs="仿宋_GB2312"/>
          <w:color w:val="486A00"/>
          <w:sz w:val="28"/>
          <w:szCs w:val="28"/>
        </w:rPr>
        <w:t>被选可比公司完全成本加成率的计算</w:t>
      </w:r>
      <w:bookmarkEnd w:id="179"/>
      <w:bookmarkEnd w:id="177"/>
      <w:bookmarkEnd w:id="178"/>
    </w:p>
    <w:p>
      <w:pPr>
        <w:pStyle w:val="BodyText"/>
        <w:numPr>
          <w:ilvl w:val="0"/>
          <w:numId w:val="0"/>
        </w:numPr>
        <w:spacing w:before="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可比公司</w:t>
      </w:r>
      <w:r>
        <w:rPr>
          <w:rFonts w:ascii="Arial Narrow" w:eastAsia="Arial Narrow" w:hAnsi="Arial Narrow" w:cs="Arial Narrow"/>
          <w:b/>
          <w:bCs/>
          <w:i/>
          <w:iCs/>
          <w:color w:val="002060"/>
          <w:sz w:val="22"/>
          <w:szCs w:val="22"/>
        </w:rPr>
        <w:t>2020-2022</w:t>
      </w:r>
      <w:r>
        <w:rPr>
          <w:rFonts w:ascii="仿宋_GB2312" w:eastAsia="仿宋_GB2312" w:hAnsi="仿宋_GB2312" w:cs="仿宋_GB2312"/>
          <w:b/>
          <w:bCs/>
          <w:i/>
          <w:iCs/>
          <w:color w:val="002060"/>
          <w:sz w:val="22"/>
          <w:szCs w:val="22"/>
        </w:rPr>
        <w:t>年度加权平均财务数据完全成本加成率计算表</w:t>
      </w:r>
    </w:p>
    <w:p>
      <w:pPr>
        <w:pStyle w:val="BodyText"/>
        <w:numPr>
          <w:ilvl w:val="0"/>
          <w:numId w:val="0"/>
        </w:numPr>
        <w:spacing w:before="0" w:after="0"/>
        <w:jc w:val="right"/>
        <w:rPr>
          <w:rFonts w:ascii="Times New Roman" w:eastAsia="Times New Roman" w:hAnsi="Times New Roman" w:cs="Times New Roman"/>
          <w:sz w:val="20"/>
          <w:szCs w:val="20"/>
        </w:rPr>
      </w:pPr>
      <w:r>
        <w:rPr>
          <w:rFonts w:ascii="仿宋_GB2312" w:eastAsia="仿宋_GB2312" w:hAnsi="仿宋_GB2312" w:cs="仿宋_GB2312"/>
          <w:sz w:val="20"/>
          <w:szCs w:val="20"/>
        </w:rPr>
        <w:t>货币单位：所属地本位币˙千元</w:t>
      </w:r>
    </w:p>
    <w:p>
      <w:pPr>
        <w:pStyle w:val="BodyText"/>
        <w:numPr>
          <w:ilvl w:val="0"/>
          <w:numId w:val="0"/>
        </w:numPr>
        <w:spacing w:before="240" w:after="0"/>
        <w:jc w:val="both"/>
        <w:rPr>
          <w:rFonts w:ascii="Times New Roman" w:eastAsia="Times New Roman" w:hAnsi="Times New Roman" w:cs="Times New Roman"/>
          <w:sz w:val="22"/>
          <w:szCs w:val="22"/>
        </w:rPr>
      </w:pPr>
      <w:r>
        <w:rPr>
          <w:rFonts w:ascii="仿宋_GB2312" w:eastAsia="仿宋_GB2312" w:hAnsi="仿宋_GB2312" w:cs="仿宋_GB2312"/>
          <w:b/>
          <w:bCs/>
          <w:i/>
          <w:iCs/>
          <w:color w:val="002060"/>
          <w:sz w:val="22"/>
          <w:szCs w:val="22"/>
        </w:rPr>
        <w:t>四分位区间分析表</w:t>
      </w:r>
    </w:p>
    <w:p>
      <w:pPr>
        <w:pStyle w:val="BodyText"/>
        <w:numPr>
          <w:ilvl w:val="0"/>
          <w:numId w:val="0"/>
        </w:numPr>
        <w:sectPr>
          <w:pgMar w:header="720" w:footer="720"/>
          <w:cols w:space="720"/>
        </w:sectPr>
      </w:pPr>
    </w:p>
    <w:p>
      <w:pPr>
        <w:pStyle w:val="Heading1"/>
        <w:numPr>
          <w:ilvl w:val="0"/>
          <w:numId w:val="1"/>
        </w:numPr>
      </w:pPr>
      <w:bookmarkStart w:id="180" w:name="_Toc256003242"/>
      <w:r>
        <w:t>功能和风险分析</w:t>
      </w:r>
      <w:bookmarkEnd w:id="180"/>
    </w:p>
    <w:p>
      <w:pPr>
        <w:pStyle w:val="Heading2"/>
        <w:numPr>
          <w:ilvl w:val="1"/>
          <w:numId w:val="1"/>
        </w:numPr>
      </w:pPr>
      <w:bookmarkStart w:id="181" w:name="_Toc256003243"/>
      <w:r>
        <w:t>简介</w:t>
      </w:r>
      <w:bookmarkEnd w:id="181"/>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182" w:name="_Toc48317266"/>
      <w:bookmarkStart w:id="183" w:name="_Toc48317453"/>
      <w:bookmarkStart w:id="184" w:name="_Toc48317269"/>
      <w:bookmarkStart w:id="185" w:name="_Toc48317268"/>
      <w:bookmarkStart w:id="186" w:name="_Toc48317146"/>
      <w:bookmarkStart w:id="187" w:name="_Toc48582984"/>
      <w:bookmarkStart w:id="188" w:name="_Toc48317265"/>
      <w:bookmarkStart w:id="189" w:name="_Toc48582573"/>
      <w:bookmarkStart w:id="190" w:name="_Toc48582572"/>
      <w:bookmarkStart w:id="191" w:name="_Toc48317148"/>
      <w:bookmarkStart w:id="192" w:name="_Toc48582574"/>
      <w:bookmarkStart w:id="193" w:name="_Toc48317147"/>
      <w:bookmarkStart w:id="194" w:name="_Toc48399589"/>
      <w:bookmarkStart w:id="195" w:name="_Toc48317150"/>
      <w:bookmarkStart w:id="196" w:name="_Toc48317267"/>
      <w:bookmarkStart w:id="197" w:name="_Toc48399590"/>
      <w:bookmarkStart w:id="198" w:name="_Toc48317451"/>
      <w:bookmarkStart w:id="199" w:name="_Toc48582986"/>
      <w:bookmarkStart w:id="200" w:name="_Toc48582985"/>
      <w:bookmarkStart w:id="201" w:name="_Toc48317452"/>
      <w:bookmarkStart w:id="202" w:name="_Toc48582988"/>
      <w:bookmarkStart w:id="203" w:name="_Toc48399588"/>
      <w:bookmarkStart w:id="204" w:name="_Toc48399592"/>
      <w:bookmarkStart w:id="205" w:name="_Toc48317454"/>
      <w:bookmarkStart w:id="206" w:name="_Toc48317450"/>
      <w:bookmarkStart w:id="207" w:name="_Toc48582987"/>
      <w:bookmarkStart w:id="208" w:name="_Toc48582571"/>
      <w:bookmarkStart w:id="209" w:name="_Toc48317149"/>
      <w:bookmarkStart w:id="210" w:name="_Toc48399591"/>
      <w:bookmarkStart w:id="211" w:name="_Toc48582575"/>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r>
        <w:rPr>
          <w:rFonts w:ascii="仿宋_GB2312" w:eastAsia="仿宋_GB2312" w:hAnsi="仿宋_GB2312" w:cs="仿宋_GB2312"/>
          <w:sz w:val="22"/>
          <w:szCs w:val="22"/>
        </w:rPr>
        <w:t>功能和风险分析有助于理解和验证相关的转让定价安排，也是中国转让定价法规规定必须进行的分析。功能和风险分析部分所收集的信息，将被用来分析评估期间的以下问题：</w:t>
      </w:r>
    </w:p>
    <w:p>
      <w:pPr>
        <w:pStyle w:val="BodyText"/>
        <w:numPr>
          <w:ilvl w:val="0"/>
          <w:numId w:val="10"/>
        </w:numPr>
        <w:tabs>
          <w:tab w:val="left" w:pos="1031"/>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企业及其关联方执行的主要功能（包括种类和频繁程度）；</w:t>
      </w:r>
    </w:p>
    <w:p>
      <w:pPr>
        <w:pStyle w:val="BodyText"/>
        <w:numPr>
          <w:ilvl w:val="0"/>
          <w:numId w:val="10"/>
        </w:numPr>
        <w:tabs>
          <w:tab w:val="left" w:pos="1031"/>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企业及其关联方所承担的风险；</w:t>
      </w:r>
    </w:p>
    <w:p>
      <w:pPr>
        <w:pStyle w:val="BodyText"/>
        <w:numPr>
          <w:ilvl w:val="0"/>
          <w:numId w:val="10"/>
        </w:numPr>
        <w:tabs>
          <w:tab w:val="left" w:pos="1031"/>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企业及其关联方所使用的资产（包括有形资产和无形资产）。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在本报告的功能和风险分析部分，我们将对</w:t>
      </w:r>
      <w:r>
        <w:rPr>
          <w:rFonts w:ascii="Arial Narrow" w:eastAsia="Arial Narrow" w:hAnsi="Arial Narrow" w:cs="Arial Narrow"/>
          <w:sz w:val="22"/>
          <w:szCs w:val="22"/>
        </w:rPr>
        <w:t>远化物流</w:t>
      </w:r>
      <w:r>
        <w:rPr>
          <w:rFonts w:ascii="仿宋_GB2312" w:eastAsia="仿宋_GB2312" w:hAnsi="仿宋_GB2312" w:cs="仿宋_GB2312"/>
          <w:sz w:val="22"/>
          <w:szCs w:val="22"/>
        </w:rPr>
        <w:t>在受测关联交易中与其关联方之间形成的经济关系进行分析和评估。</w:t>
      </w:r>
    </w:p>
    <w:p>
      <w:pPr>
        <w:pStyle w:val="Heading2"/>
        <w:numPr>
          <w:ilvl w:val="1"/>
          <w:numId w:val="1"/>
        </w:numPr>
      </w:pPr>
      <w:bookmarkStart w:id="212" w:name="_Toc256003244"/>
      <w:r>
        <w:t>功能及风险分析</w:t>
      </w:r>
      <w:bookmarkEnd w:id="212"/>
    </w:p>
    <w:p>
      <w:pPr>
        <w:pStyle w:val="Heading3"/>
        <w:numPr>
          <w:ilvl w:val="2"/>
          <w:numId w:val="1"/>
        </w:numPr>
      </w:pPr>
      <w:bookmarkStart w:id="213" w:name="_Toc256003245"/>
      <w:r>
        <w:t>功能分析</w:t>
      </w:r>
      <w:bookmarkEnd w:id="213"/>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此处我们将主要分析</w:t>
      </w:r>
      <w:r>
        <w:rPr>
          <w:rFonts w:ascii="Arial Narrow" w:eastAsia="Arial Narrow" w:hAnsi="Arial Narrow" w:cs="Arial Narrow"/>
          <w:sz w:val="22"/>
          <w:szCs w:val="22"/>
        </w:rPr>
        <w:t>远化物流</w:t>
      </w:r>
      <w:r>
        <w:rPr>
          <w:rFonts w:ascii="仿宋_GB2312" w:eastAsia="仿宋_GB2312" w:hAnsi="仿宋_GB2312" w:cs="仿宋_GB2312"/>
          <w:sz w:val="22"/>
          <w:szCs w:val="22"/>
        </w:rPr>
        <w:t>及其关联企业各个业务部门在关联交易中所从事的业务活动，以及关联交易的各个参与方所执行的功能。</w:t>
      </w:r>
    </w:p>
    <w:p>
      <w:pPr>
        <w:pStyle w:val="Heading4"/>
        <w:keepNext/>
        <w:numPr>
          <w:ilvl w:val="3"/>
          <w:numId w:val="1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采购</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主要涉及运输车辆所使用的柴油的采购，而</w:t>
      </w:r>
      <w:r>
        <w:rPr>
          <w:rFonts w:ascii="Arial Narrow" w:eastAsia="Arial Narrow" w:hAnsi="Arial Narrow" w:cs="Arial Narrow"/>
          <w:sz w:val="22"/>
          <w:szCs w:val="22"/>
        </w:rPr>
        <w:t>远化物流</w:t>
      </w:r>
      <w:r>
        <w:rPr>
          <w:rFonts w:ascii="仿宋_GB2312" w:eastAsia="仿宋_GB2312" w:hAnsi="仿宋_GB2312" w:cs="仿宋_GB2312"/>
          <w:sz w:val="22"/>
          <w:szCs w:val="22"/>
        </w:rPr>
        <w:t>本身未设置专门的采购部门，相应的招标采购流程均由关联方完成。</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不执行采购功能。</w:t>
      </w:r>
    </w:p>
    <w:p>
      <w:pPr>
        <w:pStyle w:val="Heading4"/>
        <w:keepNext/>
        <w:numPr>
          <w:ilvl w:val="3"/>
          <w:numId w:val="1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物流运输</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根据收到的订单提供相应的运输和运输支持服务，包括车辆租赁服务，驾驶服务等。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运输服务的第一步是进行运输规划，需要确定货物的运输路线、运输工具以及运输量，同时还要考虑到货物的特性，如易损、易腐等，以合理选择适当的运输方式。运输规划确定后，需要对货物进行合理的装载与卸载，以确保货物的安全运输。物流运输的核心环节是运输实施阶段，在运输实施阶段需要实时监控货物的状态，确保货物按时到达目的地。同时，还需要处理可能出现的突发事件，如交通拥堵、天气不良等，以确保货物的安全和运输效率。</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因此，评估期间，</w:t>
      </w:r>
      <w:r>
        <w:rPr>
          <w:rFonts w:ascii="Arial Narrow" w:eastAsia="Arial Narrow" w:hAnsi="Arial Narrow" w:cs="Arial Narrow"/>
          <w:sz w:val="22"/>
          <w:szCs w:val="22"/>
        </w:rPr>
        <w:t>远化物流</w:t>
      </w:r>
      <w:bookmarkStart w:id="214" w:name="OLE_LINK13"/>
      <w:r>
        <w:rPr>
          <w:rFonts w:ascii="仿宋_GB2312" w:eastAsia="仿宋_GB2312" w:hAnsi="仿宋_GB2312" w:cs="仿宋_GB2312"/>
          <w:sz w:val="22"/>
          <w:szCs w:val="22"/>
        </w:rPr>
        <w:t>执行物流运输功能</w:t>
      </w:r>
      <w:bookmarkEnd w:id="214"/>
      <w:r>
        <w:rPr>
          <w:rFonts w:ascii="仿宋_GB2312" w:eastAsia="仿宋_GB2312" w:hAnsi="仿宋_GB2312" w:cs="仿宋_GB2312"/>
          <w:sz w:val="22"/>
          <w:szCs w:val="22"/>
        </w:rPr>
        <w:t>。</w:t>
      </w:r>
    </w:p>
    <w:p>
      <w:pPr>
        <w:pStyle w:val="Heading4"/>
        <w:keepNext/>
        <w:numPr>
          <w:ilvl w:val="3"/>
          <w:numId w:val="1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市场营销</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市场营销功能是指基于产品在目标市场的定位通过各种市场推广活动以吸引潜在用户的行为。</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w:t>
      </w:r>
      <w:r>
        <w:rPr>
          <w:rFonts w:ascii="Arial Narrow" w:eastAsia="Arial Narrow" w:hAnsi="Arial Narrow" w:cs="Arial Narrow"/>
          <w:sz w:val="22"/>
          <w:szCs w:val="22"/>
        </w:rPr>
        <w:t>远化物流</w:t>
      </w:r>
      <w:r>
        <w:rPr>
          <w:rFonts w:ascii="仿宋_GB2312" w:eastAsia="仿宋_GB2312" w:hAnsi="仿宋_GB2312" w:cs="仿宋_GB2312"/>
          <w:sz w:val="22"/>
          <w:szCs w:val="22"/>
        </w:rPr>
        <w:t>主要向关联方提供服务，但</w:t>
      </w:r>
      <w:r>
        <w:rPr>
          <w:rFonts w:ascii="Arial Narrow" w:eastAsia="Arial Narrow" w:hAnsi="Arial Narrow" w:cs="Arial Narrow"/>
          <w:sz w:val="22"/>
          <w:szCs w:val="22"/>
        </w:rPr>
        <w:t>远化物流</w:t>
      </w:r>
      <w:r>
        <w:rPr>
          <w:rFonts w:ascii="仿宋_GB2312" w:eastAsia="仿宋_GB2312" w:hAnsi="仿宋_GB2312" w:cs="仿宋_GB2312"/>
          <w:sz w:val="22"/>
          <w:szCs w:val="22"/>
        </w:rPr>
        <w:t>同时会针对于第三方市场进行业务开拓活动。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执行有限的市场营销功能。</w:t>
      </w:r>
    </w:p>
    <w:p>
      <w:pPr>
        <w:pStyle w:val="Heading4"/>
        <w:keepNext/>
        <w:numPr>
          <w:ilvl w:val="3"/>
          <w:numId w:val="1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一般行政管理</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一般行政管理指企业日常的经营管理活动（如人事、财务、法务、信息技术等）。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有自己的运营部门，但日常行政管理职能仅有人事，其他的财务、会计、法务、采购等行政管理职能人员由</w:t>
      </w:r>
      <w:r>
        <w:rPr>
          <w:rFonts w:ascii="Arial Narrow" w:eastAsia="Arial Narrow" w:hAnsi="Arial Narrow" w:cs="Arial Narrow"/>
          <w:sz w:val="22"/>
          <w:szCs w:val="22"/>
        </w:rPr>
        <w:t>远化物流</w:t>
      </w:r>
      <w:r>
        <w:rPr>
          <w:rFonts w:ascii="仿宋_GB2312" w:eastAsia="仿宋_GB2312" w:hAnsi="仿宋_GB2312" w:cs="仿宋_GB2312"/>
          <w:sz w:val="22"/>
          <w:szCs w:val="22"/>
        </w:rPr>
        <w:t>关联方提供。</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执行有限的一般行政管理功能。</w:t>
      </w:r>
    </w:p>
    <w:p>
      <w:pPr>
        <w:pStyle w:val="Heading3"/>
        <w:numPr>
          <w:ilvl w:val="2"/>
          <w:numId w:val="1"/>
        </w:numPr>
      </w:pPr>
      <w:bookmarkStart w:id="215" w:name="_Toc256003246"/>
      <w:r>
        <w:t>风险分析</w:t>
      </w:r>
      <w:bookmarkEnd w:id="215"/>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w:t>
      </w:r>
      <w:r>
        <w:rPr>
          <w:rFonts w:ascii="Arial Narrow" w:eastAsia="Arial Narrow" w:hAnsi="Arial Narrow" w:cs="Arial Narrow"/>
          <w:sz w:val="22"/>
          <w:szCs w:val="22"/>
        </w:rPr>
        <w:t>远化物流</w:t>
      </w:r>
      <w:r>
        <w:rPr>
          <w:rFonts w:ascii="仿宋_GB2312" w:eastAsia="仿宋_GB2312" w:hAnsi="仿宋_GB2312" w:cs="仿宋_GB2312"/>
          <w:sz w:val="22"/>
          <w:szCs w:val="22"/>
        </w:rPr>
        <w:t>和其关联方在受测交易中所承担的风险。</w:t>
      </w:r>
    </w:p>
    <w:p>
      <w:pPr>
        <w:pStyle w:val="Heading4"/>
        <w:keepNext/>
        <w:numPr>
          <w:ilvl w:val="3"/>
          <w:numId w:val="12"/>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市场风险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市场风险是指由于市场需求变化、市场价格波动等造成企业盈利状况的不可预知性，如由于市场需求萎缩而造成的产品滞销、产品价格变化造成的利润下降、市场推广策略失误造成的损失等。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主要向关联方提供运输服务，不直接承担市场风险，而是会间接受到终端市场情况的影响。关联公司直接承担终端市场的市场风险。因此，</w:t>
      </w:r>
      <w:r>
        <w:rPr>
          <w:rFonts w:ascii="Arial Narrow" w:eastAsia="Arial Narrow" w:hAnsi="Arial Narrow" w:cs="Arial Narrow"/>
          <w:sz w:val="22"/>
          <w:szCs w:val="22"/>
        </w:rPr>
        <w:t>远化物流</w:t>
      </w:r>
      <w:r>
        <w:rPr>
          <w:rFonts w:ascii="仿宋_GB2312" w:eastAsia="仿宋_GB2312" w:hAnsi="仿宋_GB2312" w:cs="仿宋_GB2312"/>
          <w:sz w:val="22"/>
          <w:szCs w:val="22"/>
        </w:rPr>
        <w:t>和关联公司共同承担市场风险。</w:t>
      </w:r>
    </w:p>
    <w:p>
      <w:pPr>
        <w:pStyle w:val="Heading4"/>
        <w:keepNext/>
        <w:numPr>
          <w:ilvl w:val="3"/>
          <w:numId w:val="12"/>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信用风险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在先交货（或先提供劳务）后付款的情况下，销售方（或劳务提供方）在未来有可能不能如期或全额收到货款，相应的风险便是信用风险。其主要取决于两个因素：客户的信用度和应收账款的数额。</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在服务中直接对接客户均为关联方并从关联方收款，因此承担有限的信用风险。</w:t>
      </w:r>
    </w:p>
    <w:p>
      <w:pPr>
        <w:pStyle w:val="Heading4"/>
        <w:keepNext/>
        <w:numPr>
          <w:ilvl w:val="3"/>
          <w:numId w:val="12"/>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责任风险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责任风险指一个公司的产品</w:t>
      </w:r>
      <w:r>
        <w:rPr>
          <w:rFonts w:ascii="Arial Narrow" w:eastAsia="Arial Narrow" w:hAnsi="Arial Narrow" w:cs="Arial Narrow"/>
          <w:sz w:val="22"/>
          <w:szCs w:val="22"/>
        </w:rPr>
        <w:t>/</w:t>
      </w:r>
      <w:r>
        <w:rPr>
          <w:rFonts w:ascii="仿宋_GB2312" w:eastAsia="仿宋_GB2312" w:hAnsi="仿宋_GB2312" w:cs="仿宋_GB2312"/>
          <w:sz w:val="22"/>
          <w:szCs w:val="22"/>
        </w:rPr>
        <w:t>服务未达到预期标准，而相应承担的赔偿责任或名誉受损的风险。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自行购买运输险。若产品在运输期内出现瑕疵损坏，相关的更换或损害赔偿费用由保险公司承担。但由于</w:t>
      </w:r>
      <w:r>
        <w:rPr>
          <w:rFonts w:ascii="Arial Narrow" w:eastAsia="Arial Narrow" w:hAnsi="Arial Narrow" w:cs="Arial Narrow"/>
          <w:sz w:val="22"/>
          <w:szCs w:val="22"/>
        </w:rPr>
        <w:t>远化物流</w:t>
      </w:r>
      <w:r>
        <w:rPr>
          <w:rFonts w:ascii="仿宋_GB2312" w:eastAsia="仿宋_GB2312" w:hAnsi="仿宋_GB2312" w:cs="仿宋_GB2312"/>
          <w:sz w:val="22"/>
          <w:szCs w:val="22"/>
        </w:rPr>
        <w:t>拥有严格的运输控制流程，</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年度仅发生零星索赔，金额相对有限。</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承担的有限的责任风险。</w:t>
      </w:r>
    </w:p>
    <w:p>
      <w:pPr>
        <w:pStyle w:val="Heading2"/>
        <w:numPr>
          <w:ilvl w:val="1"/>
          <w:numId w:val="1"/>
        </w:numPr>
      </w:pPr>
      <w:bookmarkStart w:id="216" w:name="_Toc256003247"/>
      <w:r>
        <w:t>资产分析</w:t>
      </w:r>
      <w:bookmarkEnd w:id="216"/>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本节描述了评估期间，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及其关联企业在受测关联交易中所使用的资产。</w:t>
      </w:r>
    </w:p>
    <w:p>
      <w:pPr>
        <w:pStyle w:val="Heading3"/>
        <w:numPr>
          <w:ilvl w:val="2"/>
          <w:numId w:val="1"/>
        </w:numPr>
      </w:pPr>
      <w:bookmarkStart w:id="217" w:name="_Toc256003248"/>
      <w:r>
        <w:t>有形资产</w:t>
      </w:r>
      <w:bookmarkEnd w:id="217"/>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拥有的有形资产主要包括车辆和办公设备及其他日常经营所需的固定资产等。</w:t>
      </w:r>
    </w:p>
    <w:p>
      <w:pPr>
        <w:pStyle w:val="Heading3"/>
        <w:numPr>
          <w:ilvl w:val="2"/>
          <w:numId w:val="1"/>
        </w:numPr>
      </w:pPr>
      <w:bookmarkStart w:id="218" w:name="_Toc256003249"/>
      <w:r>
        <w:t>无形资产</w:t>
      </w:r>
      <w:bookmarkEnd w:id="218"/>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pPr>
        <w:pStyle w:val="Heading4"/>
        <w:keepNext/>
        <w:numPr>
          <w:ilvl w:val="3"/>
          <w:numId w:val="13"/>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生产型无形资产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生产型无形资产可以分为两种，即由生产企业的研发活动或生产工艺改进所产生的专利技术和非专利的技术诀窍。</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没有生产型无形资产。</w:t>
      </w:r>
    </w:p>
    <w:p>
      <w:pPr>
        <w:pStyle w:val="Heading4"/>
        <w:keepNext/>
        <w:numPr>
          <w:ilvl w:val="3"/>
          <w:numId w:val="13"/>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营销型无形资产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219" w:name="_Toc154394528"/>
      <w:bookmarkStart w:id="220" w:name="_Toc154394600"/>
      <w:bookmarkStart w:id="221" w:name="_Toc154394621"/>
      <w:bookmarkStart w:id="222" w:name="_Toc154394537"/>
      <w:bookmarkStart w:id="223" w:name="_Toc154394532"/>
      <w:bookmarkStart w:id="224" w:name="_Toc154394530"/>
      <w:bookmarkStart w:id="225" w:name="_Toc154394611"/>
      <w:bookmarkStart w:id="226" w:name="_Toc154394609"/>
      <w:bookmarkStart w:id="227" w:name="_Toc154394612"/>
      <w:bookmarkStart w:id="228" w:name="_Toc154394540"/>
      <w:bookmarkStart w:id="229" w:name="_Toc154394602"/>
      <w:bookmarkStart w:id="230" w:name="_Toc154394529"/>
      <w:bookmarkStart w:id="231" w:name="_Toc489952546"/>
      <w:bookmarkStart w:id="232" w:name="_Toc154394539"/>
      <w:bookmarkStart w:id="233" w:name="_Toc154394604"/>
      <w:bookmarkStart w:id="234" w:name="_Toc154394601"/>
      <w:bookmarkStart w:id="235" w:name="_Toc154394549"/>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r>
        <w:rPr>
          <w:rFonts w:ascii="仿宋_GB2312" w:eastAsia="仿宋_GB2312" w:hAnsi="仿宋_GB2312" w:cs="仿宋_GB2312"/>
          <w:sz w:val="22"/>
          <w:szCs w:val="22"/>
        </w:rPr>
        <w:t>营销型无形资产包括商标、公司商誉、销售网络以及向客户提供售前和售后服务的能力。</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不拥有品牌、商标等非常规市场型无形资产，相关无形资产由关联方拥有。</w:t>
      </w:r>
    </w:p>
    <w:p>
      <w:pPr>
        <w:pStyle w:val="Heading2"/>
        <w:numPr>
          <w:ilvl w:val="1"/>
          <w:numId w:val="1"/>
        </w:numPr>
      </w:pPr>
      <w:bookmarkStart w:id="236" w:name="_Toc256003250"/>
      <w:r>
        <w:t>小结</w:t>
      </w:r>
      <w:bookmarkEnd w:id="236"/>
    </w:p>
    <w:p>
      <w:pPr>
        <w:pStyle w:val="BodyText"/>
        <w:numPr>
          <w:ilvl w:val="0"/>
          <w:numId w:val="0"/>
        </w:numPr>
        <w:spacing w:before="240" w:after="240"/>
        <w:ind w:firstLine="475"/>
        <w:jc w:val="both"/>
        <w:rPr>
          <w:rFonts w:ascii="Times New Roman" w:eastAsia="Times New Roman" w:hAnsi="Times New Roman" w:cs="Times New Roman"/>
          <w:sz w:val="22"/>
          <w:szCs w:val="22"/>
        </w:rPr>
      </w:pPr>
      <w:r>
        <w:rPr>
          <w:rFonts w:ascii="仿宋_GB2312" w:eastAsia="仿宋_GB2312" w:hAnsi="仿宋_GB2312" w:cs="仿宋_GB2312"/>
          <w:sz w:val="22"/>
          <w:szCs w:val="22"/>
        </w:rPr>
        <w:t>评估期间，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承担的主要功能和风险，以及拥有的资产总结如下：</w:t>
      </w:r>
    </w:p>
    <w:p>
      <w:pPr>
        <w:pStyle w:val="BodyText"/>
        <w:numPr>
          <w:ilvl w:val="0"/>
          <w:numId w:val="14"/>
        </w:numPr>
        <w:tabs>
          <w:tab w:val="left" w:pos="1008"/>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sz w:val="22"/>
          <w:szCs w:val="22"/>
        </w:rPr>
        <w:t>远化物流</w:t>
      </w:r>
      <w:r>
        <w:rPr>
          <w:rFonts w:ascii="仿宋_GB2312" w:eastAsia="仿宋_GB2312" w:hAnsi="仿宋_GB2312" w:cs="仿宋_GB2312"/>
          <w:sz w:val="22"/>
          <w:szCs w:val="22"/>
        </w:rPr>
        <w:t>主要承担物流运输功能及有限的市场营销和一般行政管理功能；</w:t>
      </w:r>
    </w:p>
    <w:p>
      <w:pPr>
        <w:pStyle w:val="BodyText"/>
        <w:numPr>
          <w:ilvl w:val="0"/>
          <w:numId w:val="14"/>
        </w:numPr>
        <w:tabs>
          <w:tab w:val="left" w:pos="1008"/>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sz w:val="22"/>
          <w:szCs w:val="22"/>
        </w:rPr>
        <w:t>远化物流</w:t>
      </w:r>
      <w:r>
        <w:rPr>
          <w:rFonts w:ascii="仿宋_GB2312" w:eastAsia="仿宋_GB2312" w:hAnsi="仿宋_GB2312" w:cs="仿宋_GB2312"/>
          <w:sz w:val="22"/>
          <w:szCs w:val="22"/>
        </w:rPr>
        <w:t>间接承担市场风险，同时承担有限的信用风险、有限的责任风险。</w:t>
      </w:r>
    </w:p>
    <w:p>
      <w:pPr>
        <w:pStyle w:val="BodyText"/>
        <w:numPr>
          <w:ilvl w:val="0"/>
          <w:numId w:val="0"/>
        </w:numPr>
        <w:sectPr>
          <w:pgMar w:header="720" w:footer="720"/>
          <w:cols w:space="720"/>
        </w:sectPr>
      </w:pPr>
    </w:p>
    <w:p>
      <w:pPr>
        <w:pStyle w:val="Heading1"/>
        <w:numPr>
          <w:ilvl w:val="0"/>
          <w:numId w:val="1"/>
        </w:numPr>
      </w:pPr>
      <w:bookmarkStart w:id="237" w:name="_Toc256003251"/>
      <w:r>
        <w:t>价值链分析</w:t>
      </w:r>
      <w:bookmarkEnd w:id="237"/>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238" w:name="_Toc489952569"/>
      <w:bookmarkStart w:id="239" w:name="_Toc489952561"/>
      <w:bookmarkStart w:id="240" w:name="_Toc489952573"/>
      <w:bookmarkStart w:id="241" w:name="_Toc489952567"/>
      <w:bookmarkStart w:id="242" w:name="_Toc48582585"/>
      <w:bookmarkStart w:id="243" w:name="_Toc48582998"/>
      <w:bookmarkStart w:id="244" w:name="_Toc522205826"/>
      <w:bookmarkStart w:id="245" w:name="_Toc522205825"/>
      <w:bookmarkStart w:id="246" w:name="_Toc522205827"/>
      <w:bookmarkEnd w:id="238"/>
      <w:bookmarkEnd w:id="239"/>
      <w:bookmarkEnd w:id="240"/>
      <w:bookmarkEnd w:id="241"/>
      <w:bookmarkEnd w:id="242"/>
      <w:bookmarkEnd w:id="243"/>
      <w:bookmarkEnd w:id="244"/>
      <w:bookmarkEnd w:id="245"/>
      <w:bookmarkEnd w:id="246"/>
      <w:r>
        <w:rPr>
          <w:rFonts w:ascii="仿宋_GB2312" w:eastAsia="仿宋_GB2312" w:hAnsi="仿宋_GB2312" w:cs="仿宋_GB2312"/>
          <w:sz w:val="22"/>
          <w:szCs w:val="22"/>
        </w:rPr>
        <w:t>根据</w:t>
      </w:r>
      <w:r>
        <w:rPr>
          <w:rFonts w:ascii="Arial Narrow" w:eastAsia="Arial Narrow" w:hAnsi="Arial Narrow" w:cs="Arial Narrow"/>
          <w:sz w:val="22"/>
          <w:szCs w:val="22"/>
        </w:rPr>
        <w:t>[2016]42</w:t>
      </w:r>
      <w:r>
        <w:rPr>
          <w:rFonts w:ascii="仿宋_GB2312" w:eastAsia="仿宋_GB2312" w:hAnsi="仿宋_GB2312" w:cs="仿宋_GB2312"/>
          <w:sz w:val="22"/>
          <w:szCs w:val="22"/>
        </w:rPr>
        <w:t>号公告的相关规定，在分析关联交易是否符合独立交易原则的过程中应当对集团价值链进行分析。因此，本节将阐述远东集团价值链情况。</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价值链分析能够提供以下与经营活动相关的有效信息：</w:t>
      </w:r>
    </w:p>
    <w:p>
      <w:pPr>
        <w:pStyle w:val="BodyText"/>
        <w:numPr>
          <w:ilvl w:val="0"/>
          <w:numId w:val="15"/>
        </w:numPr>
        <w:pBdr>
          <w:left w:val="none" w:sz="0" w:space="10" w:color="auto"/>
        </w:pBdr>
        <w:spacing w:before="120" w:after="120" w:line="360" w:lineRule="auto"/>
        <w:ind w:left="919" w:right="113" w:hanging="565"/>
        <w:jc w:val="both"/>
        <w:rPr>
          <w:rFonts w:ascii="Times New Roman" w:eastAsia="Times New Roman" w:hAnsi="Times New Roman" w:cs="Times New Roman"/>
          <w:sz w:val="22"/>
          <w:szCs w:val="22"/>
        </w:rPr>
      </w:pPr>
      <w:r>
        <w:rPr>
          <w:rFonts w:ascii="仿宋_GB2312" w:eastAsia="仿宋_GB2312" w:hAnsi="仿宋_GB2312" w:cs="仿宋_GB2312"/>
          <w:sz w:val="22"/>
          <w:szCs w:val="22"/>
        </w:rPr>
        <w:t>与交易有关的关键价值驱动因素，其中包括各相关方是如何使其自身区别于同业竞争者进而赢取市场的；</w:t>
      </w:r>
    </w:p>
    <w:p>
      <w:pPr>
        <w:pStyle w:val="BodyText"/>
        <w:numPr>
          <w:ilvl w:val="0"/>
          <w:numId w:val="15"/>
        </w:numPr>
        <w:pBdr>
          <w:left w:val="none" w:sz="0" w:space="10" w:color="auto"/>
        </w:pBdr>
        <w:spacing w:after="120" w:line="360" w:lineRule="auto"/>
        <w:ind w:left="919" w:right="113" w:hanging="565"/>
        <w:jc w:val="both"/>
        <w:rPr>
          <w:rFonts w:ascii="Times New Roman" w:eastAsia="Times New Roman" w:hAnsi="Times New Roman" w:cs="Times New Roman"/>
          <w:sz w:val="22"/>
          <w:szCs w:val="22"/>
        </w:rPr>
      </w:pPr>
      <w:r>
        <w:rPr>
          <w:rFonts w:ascii="仿宋_GB2312" w:eastAsia="仿宋_GB2312" w:hAnsi="仿宋_GB2312" w:cs="仿宋_GB2312"/>
          <w:sz w:val="22"/>
          <w:szCs w:val="22"/>
        </w:rPr>
        <w:t>相关企业在资产、功能及风险方面对价值驱动的贡献，包括哪些贡献是独特且有价值的；</w:t>
      </w:r>
    </w:p>
    <w:p>
      <w:pPr>
        <w:pStyle w:val="BodyText"/>
        <w:numPr>
          <w:ilvl w:val="0"/>
          <w:numId w:val="15"/>
        </w:numPr>
        <w:pBdr>
          <w:left w:val="none" w:sz="0" w:space="10" w:color="auto"/>
        </w:pBdr>
        <w:spacing w:after="120" w:line="360" w:lineRule="auto"/>
        <w:ind w:left="919" w:right="113" w:hanging="565"/>
        <w:jc w:val="both"/>
        <w:rPr>
          <w:rFonts w:ascii="Times New Roman" w:eastAsia="Times New Roman" w:hAnsi="Times New Roman" w:cs="Times New Roman"/>
          <w:sz w:val="22"/>
          <w:szCs w:val="22"/>
        </w:rPr>
      </w:pPr>
      <w:r>
        <w:rPr>
          <w:rFonts w:ascii="仿宋_GB2312" w:eastAsia="仿宋_GB2312" w:hAnsi="仿宋_GB2312" w:cs="仿宋_GB2312"/>
          <w:sz w:val="22"/>
          <w:szCs w:val="22"/>
        </w:rPr>
        <w:t>企业集团内业务流、物流和资金流，包括商品、劳务或者其他交易标的从设计、开发、生产制造、营销、销售、交货、结算、消费、售后服务、循环利用等各环节及其参与方；</w:t>
      </w:r>
    </w:p>
    <w:p>
      <w:pPr>
        <w:pStyle w:val="BodyText"/>
        <w:numPr>
          <w:ilvl w:val="0"/>
          <w:numId w:val="15"/>
        </w:numPr>
        <w:pBdr>
          <w:left w:val="none" w:sz="0" w:space="10" w:color="auto"/>
        </w:pBdr>
        <w:spacing w:after="120" w:line="360" w:lineRule="auto"/>
        <w:ind w:left="919" w:right="113" w:hanging="565"/>
        <w:jc w:val="both"/>
        <w:rPr>
          <w:rFonts w:ascii="Times New Roman" w:eastAsia="Times New Roman" w:hAnsi="Times New Roman" w:cs="Times New Roman"/>
          <w:sz w:val="22"/>
          <w:szCs w:val="22"/>
        </w:rPr>
      </w:pPr>
      <w:r>
        <w:rPr>
          <w:rFonts w:ascii="仿宋_GB2312" w:eastAsia="仿宋_GB2312" w:hAnsi="仿宋_GB2312" w:cs="仿宋_GB2312"/>
          <w:sz w:val="22"/>
          <w:szCs w:val="22"/>
        </w:rPr>
        <w:t>各相关方在价值链中是如何协同运作，以及是如何分配功能和资产的。</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pPr>
        <w:pStyle w:val="Heading2"/>
        <w:numPr>
          <w:ilvl w:val="1"/>
          <w:numId w:val="1"/>
        </w:numPr>
      </w:pPr>
      <w:bookmarkStart w:id="247" w:name="_Toc256003252"/>
      <w:r>
        <w:t>确定关键价值驱动因素</w:t>
      </w:r>
      <w:bookmarkEnd w:id="247"/>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的利润重要价值驱动因素包括：</w:t>
      </w:r>
      <w:r>
        <w:rPr>
          <w:rFonts w:ascii="Arial Narrow" w:eastAsia="Arial Narrow" w:hAnsi="Arial Narrow" w:cs="Arial Narrow"/>
          <w:sz w:val="22"/>
          <w:szCs w:val="22"/>
        </w:rPr>
        <w:t>1</w:t>
      </w:r>
      <w:r>
        <w:rPr>
          <w:rFonts w:ascii="仿宋_GB2312" w:eastAsia="仿宋_GB2312" w:hAnsi="仿宋_GB2312" w:cs="仿宋_GB2312"/>
          <w:sz w:val="22"/>
          <w:szCs w:val="22"/>
        </w:rPr>
        <w:t>）合理的成本控制与效率管理；</w:t>
      </w:r>
      <w:r>
        <w:rPr>
          <w:rFonts w:ascii="Arial Narrow" w:eastAsia="Arial Narrow" w:hAnsi="Arial Narrow" w:cs="Arial Narrow"/>
          <w:sz w:val="22"/>
          <w:szCs w:val="22"/>
        </w:rPr>
        <w:t>2</w:t>
      </w:r>
      <w:r>
        <w:rPr>
          <w:rFonts w:ascii="仿宋_GB2312" w:eastAsia="仿宋_GB2312" w:hAnsi="仿宋_GB2312" w:cs="仿宋_GB2312"/>
          <w:sz w:val="22"/>
          <w:szCs w:val="22"/>
        </w:rPr>
        <w:t>）良好的服务质量与客户满意度。</w:t>
      </w:r>
    </w:p>
    <w:p>
      <w:pPr>
        <w:pStyle w:val="BodyText"/>
        <w:numPr>
          <w:ilvl w:val="0"/>
          <w:numId w:val="16"/>
        </w:numPr>
        <w:tabs>
          <w:tab w:val="left" w:pos="889"/>
        </w:tabs>
        <w:spacing w:before="120" w:after="120" w:line="360" w:lineRule="auto"/>
        <w:ind w:left="86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成本控制与效率管理</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合理的成本控制是</w:t>
      </w:r>
      <w:r>
        <w:rPr>
          <w:rFonts w:ascii="Arial Narrow" w:eastAsia="Arial Narrow" w:hAnsi="Arial Narrow" w:cs="Arial Narrow"/>
          <w:sz w:val="22"/>
          <w:szCs w:val="22"/>
        </w:rPr>
        <w:t>远化物流</w:t>
      </w:r>
      <w:r>
        <w:rPr>
          <w:rFonts w:ascii="仿宋_GB2312" w:eastAsia="仿宋_GB2312" w:hAnsi="仿宋_GB2312" w:cs="仿宋_GB2312"/>
          <w:sz w:val="22"/>
          <w:szCs w:val="22"/>
        </w:rPr>
        <w:t>实现利润的关键。从燃油成本、人力成本、车辆维护到保险费用等各个环节，都需要进行精细化的管理和控制。提高运营效率也是增加利润的重要手段。</w:t>
      </w:r>
      <w:r>
        <w:rPr>
          <w:rFonts w:ascii="Arial Narrow" w:eastAsia="Arial Narrow" w:hAnsi="Arial Narrow" w:cs="Arial Narrow"/>
          <w:sz w:val="22"/>
          <w:szCs w:val="22"/>
        </w:rPr>
        <w:t>远化物流</w:t>
      </w:r>
      <w:r>
        <w:rPr>
          <w:rFonts w:ascii="仿宋_GB2312" w:eastAsia="仿宋_GB2312" w:hAnsi="仿宋_GB2312" w:cs="仿宋_GB2312"/>
          <w:sz w:val="22"/>
          <w:szCs w:val="22"/>
        </w:rPr>
        <w:t>通过采用先进的物流管理软件、优化人力资源配置、提高车辆使用效率等措施，可以降低成本，提高运营效率，从而增加利润空间。</w:t>
      </w:r>
    </w:p>
    <w:p>
      <w:pPr>
        <w:pStyle w:val="BodyText"/>
        <w:numPr>
          <w:ilvl w:val="0"/>
          <w:numId w:val="16"/>
        </w:numPr>
        <w:tabs>
          <w:tab w:val="left" w:pos="889"/>
        </w:tabs>
        <w:spacing w:before="120" w:after="120" w:line="360" w:lineRule="auto"/>
        <w:ind w:left="860"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sz w:val="22"/>
          <w:szCs w:val="22"/>
        </w:rPr>
        <w:t>良好的服务质量与客户满意度</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物流公司的服务质量直接关系到客户的满意度和忠诚度。在物流行业中，时间、效率和安全性是客户最为关心的几个方面。通过远东集团广泛的全国网络，能够为客户量身定制完整的货物运输解决方案，服务涵盖货物从生产地点到最终消费地点运输的全程代理服务。同时集团通过提高运输速度、优化路线规划、减少货物损坏和丢失风险等手段来提升服务质量，从而带来了更多的业务机会和客户口碑效应，进而促进利润增长。</w:t>
      </w:r>
    </w:p>
    <w:p>
      <w:pPr>
        <w:pStyle w:val="Heading2"/>
        <w:numPr>
          <w:ilvl w:val="1"/>
          <w:numId w:val="1"/>
        </w:numPr>
      </w:pPr>
      <w:bookmarkStart w:id="248" w:name="_Toc256003253"/>
      <w:r>
        <w:t>集团价值链</w:t>
      </w:r>
      <w:bookmarkEnd w:id="248"/>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远东集团的经营活动涵盖了产品的生产周期，即从采购环节到生产供应环节再至全球范围内的销售、市场营销环节和终端的运输与售后环节。</w:t>
      </w:r>
      <w:r>
        <w:rPr>
          <w:rFonts w:ascii="Arial Narrow" w:eastAsia="Arial Narrow" w:hAnsi="Arial Narrow" w:cs="Arial Narrow"/>
          <w:sz w:val="22"/>
          <w:szCs w:val="22"/>
        </w:rPr>
        <w:t>远化物流</w:t>
      </w:r>
      <w:r>
        <w:rPr>
          <w:rFonts w:ascii="仿宋_GB2312" w:eastAsia="仿宋_GB2312" w:hAnsi="仿宋_GB2312" w:cs="仿宋_GB2312"/>
          <w:sz w:val="22"/>
          <w:szCs w:val="22"/>
        </w:rPr>
        <w:t>所处的运输行业领域竞争激烈，企业的利润水平主要由合理的成本控制与效率管理、良好的服务质量与客户满意度等因素决定。</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报告期间，远东集团的价值链以及</w:t>
      </w:r>
      <w:r>
        <w:rPr>
          <w:rFonts w:ascii="Arial Narrow" w:eastAsia="Arial Narrow" w:hAnsi="Arial Narrow" w:cs="Arial Narrow"/>
          <w:sz w:val="22"/>
          <w:szCs w:val="22"/>
        </w:rPr>
        <w:t>远化物流</w:t>
      </w:r>
      <w:r>
        <w:rPr>
          <w:rFonts w:ascii="仿宋_GB2312" w:eastAsia="仿宋_GB2312" w:hAnsi="仿宋_GB2312" w:cs="仿宋_GB2312"/>
          <w:sz w:val="22"/>
          <w:szCs w:val="22"/>
        </w:rPr>
        <w:t>在其中所处的位置如下图所示：</w:t>
      </w:r>
    </w:p>
    <w:p>
      <w:pPr>
        <w:pStyle w:val="BodyText"/>
        <w:numPr>
          <w:ilvl w:val="0"/>
          <w:numId w:val="0"/>
        </w:numPr>
        <w:spacing w:before="0" w:after="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16</w:t>
      </w:r>
      <w:r>
        <w:rPr>
          <w:rFonts w:ascii="仿宋" w:eastAsia="仿宋" w:hAnsi="仿宋" w:cs="仿宋"/>
          <w:b/>
          <w:bCs/>
          <w:sz w:val="22"/>
          <w:szCs w:val="22"/>
        </w:rPr>
        <w:t>：集团价值链</w:t>
      </w:r>
    </w:p>
    <w:p>
      <w:pPr>
        <w:pStyle w:val="BodyText"/>
        <w:numPr>
          <w:ilvl w:val="0"/>
          <w:numId w:val="0"/>
        </w:numPr>
        <w:spacing w:before="0" w:after="0"/>
        <w:rPr>
          <w:rFonts w:ascii="Times New Roman" w:eastAsia="Times New Roman" w:hAnsi="Times New Roman" w:cs="Times New Roman"/>
          <w:sz w:val="22"/>
          <w:szCs w:val="22"/>
        </w:rPr>
      </w:pPr>
      <w:r>
        <w:rPr>
          <w:rFonts w:ascii="Times New Roman" w:eastAsia="Times New Roman" w:hAnsi="Times New Roman" w:cs="Times New Roman"/>
          <w:sz w:val="22"/>
          <w:szCs w:val="22"/>
        </w:rPr>
        <w:drawing>
          <wp:inline>
            <wp:extent cx="5276850" cy="347662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50" cy="3476625"/>
                    </a:xfrm>
                    <a:prstGeom prst="rect">
                      <a:avLst/>
                    </a:prstGeom>
                  </pic:spPr>
                </pic:pic>
              </a:graphicData>
            </a:graphic>
          </wp:inline>
        </w:drawing>
      </w:r>
    </w:p>
    <w:p>
      <w:pPr>
        <w:pStyle w:val="BodyText"/>
        <w:numPr>
          <w:ilvl w:val="0"/>
          <w:numId w:val="0"/>
        </w:numPr>
        <w:spacing w:before="0" w:after="12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信息来源：由</w:t>
      </w:r>
      <w:r>
        <w:rPr>
          <w:rFonts w:ascii="Arial Narrow" w:eastAsia="Arial Narrow" w:hAnsi="Arial Narrow" w:cs="Arial Narrow"/>
          <w:i/>
          <w:iCs/>
          <w:sz w:val="16"/>
          <w:szCs w:val="16"/>
        </w:rPr>
        <w:t>远化物流</w:t>
      </w:r>
      <w:r>
        <w:rPr>
          <w:rFonts w:ascii="仿宋_GB2312" w:eastAsia="仿宋_GB2312" w:hAnsi="仿宋_GB2312" w:cs="仿宋_GB2312"/>
          <w:i/>
          <w:iCs/>
          <w:sz w:val="16"/>
          <w:szCs w:val="16"/>
        </w:rPr>
        <w:t>提供</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在集团价值链中主要从事公路运输服务业务，是集团整体业务链条整体的相对常规的组成部分，对整体利润做出常规贡献。</w:t>
      </w:r>
    </w:p>
    <w:p>
      <w:pPr>
        <w:pStyle w:val="Heading2"/>
        <w:numPr>
          <w:ilvl w:val="1"/>
          <w:numId w:val="1"/>
        </w:numPr>
      </w:pPr>
      <w:bookmarkStart w:id="249" w:name="_Toc256003254"/>
      <w:r>
        <w:t>交易定价影响要素</w:t>
      </w:r>
      <w:bookmarkEnd w:id="249"/>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250" w:name="_Toc15995730"/>
      <w:bookmarkStart w:id="251" w:name="_Toc48583005"/>
      <w:bookmarkStart w:id="252" w:name="_Toc15995726"/>
      <w:bookmarkStart w:id="253" w:name="_Toc48583003"/>
      <w:bookmarkStart w:id="254" w:name="_Toc15995725"/>
      <w:bookmarkStart w:id="255" w:name="_Toc48317469"/>
      <w:bookmarkStart w:id="256" w:name="_Toc48582590"/>
      <w:bookmarkStart w:id="257" w:name="_Toc48399607"/>
      <w:bookmarkStart w:id="258" w:name="_Toc48317467"/>
      <w:bookmarkStart w:id="259" w:name="_Toc48317282"/>
      <w:bookmarkStart w:id="260" w:name="_Toc48399649"/>
      <w:bookmarkStart w:id="261" w:name="_Toc15995721"/>
      <w:bookmarkStart w:id="262" w:name="_Toc15995723"/>
      <w:bookmarkStart w:id="263" w:name="_Toc48317511"/>
      <w:bookmarkStart w:id="264" w:name="_Toc15995728"/>
      <w:bookmarkStart w:id="265" w:name="_Toc48582591"/>
      <w:bookmarkStart w:id="266" w:name="_Toc48399605"/>
      <w:bookmarkStart w:id="267" w:name="_Toc48582592"/>
      <w:bookmarkStart w:id="268" w:name="_Toc48317283"/>
      <w:bookmarkStart w:id="269" w:name="_Toc15995724"/>
      <w:bookmarkStart w:id="270" w:name="_Toc15995729"/>
      <w:bookmarkStart w:id="271" w:name="_Toc48317468"/>
      <w:bookmarkStart w:id="272" w:name="_Toc15995722"/>
      <w:bookmarkStart w:id="273" w:name="_Toc48582634"/>
      <w:bookmarkStart w:id="274" w:name="_Toc48317284"/>
      <w:bookmarkStart w:id="275" w:name="_Toc15995727"/>
      <w:bookmarkStart w:id="276" w:name="_Toc48317326"/>
      <w:bookmarkStart w:id="277" w:name="_Toc48583004"/>
      <w:bookmarkStart w:id="278" w:name="_Toc48399606"/>
      <w:bookmarkStart w:id="279" w:name="_Toc48583047"/>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Pr>
          <w:rFonts w:ascii="仿宋_GB2312" w:eastAsia="仿宋_GB2312" w:hAnsi="仿宋_GB2312" w:cs="仿宋_GB2312"/>
          <w:sz w:val="22"/>
          <w:szCs w:val="22"/>
        </w:rPr>
        <w:t>中国国家税务总局首次在发布的《联合国转让定价操作手册》（</w:t>
      </w:r>
      <w:r>
        <w:rPr>
          <w:rFonts w:ascii="Arial Narrow" w:eastAsia="Arial Narrow" w:hAnsi="Arial Narrow" w:cs="Arial Narrow"/>
          <w:sz w:val="22"/>
          <w:szCs w:val="22"/>
        </w:rPr>
        <w:t>“</w:t>
      </w:r>
      <w:r>
        <w:rPr>
          <w:rFonts w:ascii="仿宋_GB2312" w:eastAsia="仿宋_GB2312" w:hAnsi="仿宋_GB2312" w:cs="仿宋_GB2312"/>
          <w:sz w:val="22"/>
          <w:szCs w:val="22"/>
        </w:rPr>
        <w:t>《手册》</w:t>
      </w:r>
      <w:r>
        <w:rPr>
          <w:rFonts w:ascii="Arial Narrow" w:eastAsia="Arial Narrow" w:hAnsi="Arial Narrow" w:cs="Arial Narrow"/>
          <w:sz w:val="22"/>
          <w:szCs w:val="22"/>
        </w:rPr>
        <w:t>”</w:t>
      </w:r>
      <w:r>
        <w:rPr>
          <w:rFonts w:ascii="仿宋_GB2312" w:eastAsia="仿宋_GB2312" w:hAnsi="仿宋_GB2312" w:cs="仿宋_GB2312"/>
          <w:sz w:val="22"/>
          <w:szCs w:val="22"/>
        </w:rPr>
        <w:t>）中正式提出地域特殊因素的概念。《手册》指出：</w:t>
      </w:r>
      <w:r>
        <w:rPr>
          <w:rFonts w:ascii="Arial Narrow" w:eastAsia="Arial Narrow" w:hAnsi="Arial Narrow" w:cs="Arial Narrow"/>
          <w:sz w:val="22"/>
          <w:szCs w:val="22"/>
        </w:rPr>
        <w:t>“</w:t>
      </w:r>
      <w:r>
        <w:rPr>
          <w:rFonts w:ascii="仿宋_GB2312" w:eastAsia="仿宋_GB2312" w:hAnsi="仿宋_GB2312" w:cs="仿宋_GB2312"/>
          <w:sz w:val="22"/>
          <w:szCs w:val="22"/>
        </w:rPr>
        <w:t>贸易和经济全球化引发了</w:t>
      </w:r>
      <w:r>
        <w:rPr>
          <w:rFonts w:ascii="Arial Narrow" w:eastAsia="Arial Narrow" w:hAnsi="Arial Narrow" w:cs="Arial Narrow"/>
          <w:sz w:val="22"/>
          <w:szCs w:val="22"/>
        </w:rPr>
        <w:t>‘</w:t>
      </w:r>
      <w:r>
        <w:rPr>
          <w:rFonts w:ascii="仿宋_GB2312" w:eastAsia="仿宋_GB2312" w:hAnsi="仿宋_GB2312" w:cs="仿宋_GB2312"/>
          <w:sz w:val="22"/>
          <w:szCs w:val="22"/>
        </w:rPr>
        <w:t>成本节约</w:t>
      </w:r>
      <w:r>
        <w:rPr>
          <w:rFonts w:ascii="Arial Narrow" w:eastAsia="Arial Narrow" w:hAnsi="Arial Narrow" w:cs="Arial Narrow"/>
          <w:sz w:val="22"/>
          <w:szCs w:val="22"/>
        </w:rPr>
        <w:t>’</w:t>
      </w:r>
      <w:r>
        <w:rPr>
          <w:rFonts w:ascii="仿宋_GB2312" w:eastAsia="仿宋_GB2312" w:hAnsi="仿宋_GB2312" w:cs="仿宋_GB2312"/>
          <w:sz w:val="22"/>
          <w:szCs w:val="22"/>
        </w:rPr>
        <w:t>、</w:t>
      </w:r>
      <w:r>
        <w:rPr>
          <w:rFonts w:ascii="Arial Narrow" w:eastAsia="Arial Narrow" w:hAnsi="Arial Narrow" w:cs="Arial Narrow"/>
          <w:sz w:val="22"/>
          <w:szCs w:val="22"/>
        </w:rPr>
        <w:t>‘</w:t>
      </w:r>
      <w:r>
        <w:rPr>
          <w:rFonts w:ascii="仿宋_GB2312" w:eastAsia="仿宋_GB2312" w:hAnsi="仿宋_GB2312" w:cs="仿宋_GB2312"/>
          <w:sz w:val="22"/>
          <w:szCs w:val="22"/>
        </w:rPr>
        <w:t>市场溢价</w:t>
      </w:r>
      <w:r>
        <w:rPr>
          <w:rFonts w:ascii="Arial Narrow" w:eastAsia="Arial Narrow" w:hAnsi="Arial Narrow" w:cs="Arial Narrow"/>
          <w:sz w:val="22"/>
          <w:szCs w:val="22"/>
        </w:rPr>
        <w:t>’</w:t>
      </w:r>
      <w:r>
        <w:rPr>
          <w:rFonts w:ascii="仿宋_GB2312" w:eastAsia="仿宋_GB2312" w:hAnsi="仿宋_GB2312" w:cs="仿宋_GB2312"/>
          <w:sz w:val="22"/>
          <w:szCs w:val="22"/>
        </w:rPr>
        <w:t>等概念，统称为</w:t>
      </w:r>
      <w:r>
        <w:rPr>
          <w:rFonts w:ascii="Arial Narrow" w:eastAsia="Arial Narrow" w:hAnsi="Arial Narrow" w:cs="Arial Narrow"/>
          <w:sz w:val="22"/>
          <w:szCs w:val="22"/>
        </w:rPr>
        <w:t>‘</w:t>
      </w:r>
      <w:r>
        <w:rPr>
          <w:rFonts w:ascii="仿宋_GB2312" w:eastAsia="仿宋_GB2312" w:hAnsi="仿宋_GB2312" w:cs="仿宋_GB2312"/>
          <w:sz w:val="22"/>
          <w:szCs w:val="22"/>
        </w:rPr>
        <w:t>地域特殊优势</w:t>
      </w:r>
      <w:r>
        <w:rPr>
          <w:rFonts w:ascii="Arial Narrow" w:eastAsia="Arial Narrow" w:hAnsi="Arial Narrow" w:cs="Arial Narrow"/>
          <w:sz w:val="22"/>
          <w:szCs w:val="22"/>
        </w:rPr>
        <w:t>’</w:t>
      </w:r>
      <w:r>
        <w:rPr>
          <w:rFonts w:ascii="仿宋_GB2312" w:eastAsia="仿宋_GB2312" w:hAnsi="仿宋_GB2312" w:cs="仿宋_GB2312"/>
          <w:sz w:val="22"/>
          <w:szCs w:val="22"/>
        </w:rPr>
        <w:t>。</w:t>
      </w:r>
      <w:r>
        <w:rPr>
          <w:rFonts w:ascii="Arial Narrow" w:eastAsia="Arial Narrow" w:hAnsi="Arial Narrow" w:cs="Arial Narrow"/>
          <w:sz w:val="22"/>
          <w:szCs w:val="22"/>
        </w:rPr>
        <w:t xml:space="preserve">” </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《手册》中进一步阐述了选址节约和市场溢价的定义，第</w:t>
      </w:r>
      <w:r>
        <w:rPr>
          <w:rFonts w:ascii="Arial Narrow" w:eastAsia="Arial Narrow" w:hAnsi="Arial Narrow" w:cs="Arial Narrow"/>
          <w:sz w:val="22"/>
          <w:szCs w:val="22"/>
        </w:rPr>
        <w:t>10.3.3.2</w:t>
      </w:r>
      <w:r>
        <w:rPr>
          <w:rFonts w:ascii="仿宋_GB2312" w:eastAsia="仿宋_GB2312" w:hAnsi="仿宋_GB2312" w:cs="仿宋_GB2312"/>
          <w:sz w:val="22"/>
          <w:szCs w:val="22"/>
        </w:rPr>
        <w:t>节和第</w:t>
      </w:r>
      <w:r>
        <w:rPr>
          <w:rFonts w:ascii="Arial Narrow" w:eastAsia="Arial Narrow" w:hAnsi="Arial Narrow" w:cs="Arial Narrow"/>
          <w:sz w:val="22"/>
          <w:szCs w:val="22"/>
        </w:rPr>
        <w:t>10.3.3.3</w:t>
      </w:r>
      <w:r>
        <w:rPr>
          <w:rFonts w:ascii="仿宋_GB2312" w:eastAsia="仿宋_GB2312" w:hAnsi="仿宋_GB2312" w:cs="仿宋_GB2312"/>
          <w:sz w:val="22"/>
          <w:szCs w:val="22"/>
        </w:rPr>
        <w:t>节指出：</w:t>
      </w:r>
      <w:r>
        <w:rPr>
          <w:rFonts w:ascii="Arial Narrow" w:eastAsia="Arial Narrow" w:hAnsi="Arial Narrow" w:cs="Arial Narrow"/>
          <w:sz w:val="22"/>
          <w:szCs w:val="22"/>
        </w:rPr>
        <w:t>“</w:t>
      </w:r>
      <w:r>
        <w:rPr>
          <w:rFonts w:ascii="仿宋_GB2312" w:eastAsia="仿宋_GB2312" w:hAnsi="仿宋_GB2312" w:cs="仿宋_GB2312"/>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Narrow" w:eastAsia="Arial Narrow" w:hAnsi="Arial Narrow" w:cs="Arial Narrow"/>
          <w:sz w:val="22"/>
          <w:szCs w:val="22"/>
        </w:rPr>
        <w:t>”</w:t>
      </w:r>
      <w:r>
        <w:rPr>
          <w:rFonts w:ascii="仿宋_GB2312" w:eastAsia="仿宋_GB2312" w:hAnsi="仿宋_GB2312" w:cs="仿宋_GB2312"/>
          <w:sz w:val="22"/>
          <w:szCs w:val="22"/>
        </w:rPr>
        <w:t>（第</w:t>
      </w:r>
      <w:r>
        <w:rPr>
          <w:rFonts w:ascii="Arial Narrow" w:eastAsia="Arial Narrow" w:hAnsi="Arial Narrow" w:cs="Arial Narrow"/>
          <w:sz w:val="22"/>
          <w:szCs w:val="22"/>
        </w:rPr>
        <w:t>10.3.3.2</w:t>
      </w:r>
      <w:r>
        <w:rPr>
          <w:rFonts w:ascii="仿宋_GB2312" w:eastAsia="仿宋_GB2312" w:hAnsi="仿宋_GB2312" w:cs="仿宋_GB2312"/>
          <w:sz w:val="22"/>
          <w:szCs w:val="22"/>
        </w:rPr>
        <w:t>节）</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市场溢价指跨国企业将经营活动安排在有独特特质的地区而获得的额外利润，这些地区的特质会对一项服务或产品的销售和需求造成影响。</w:t>
      </w:r>
      <w:r>
        <w:rPr>
          <w:rFonts w:ascii="Arial Narrow" w:eastAsia="Arial Narrow" w:hAnsi="Arial Narrow" w:cs="Arial Narrow"/>
          <w:sz w:val="22"/>
          <w:szCs w:val="22"/>
        </w:rPr>
        <w:t>”</w:t>
      </w:r>
      <w:r>
        <w:rPr>
          <w:rFonts w:ascii="仿宋_GB2312" w:eastAsia="仿宋_GB2312" w:hAnsi="仿宋_GB2312" w:cs="仿宋_GB2312"/>
          <w:sz w:val="22"/>
          <w:szCs w:val="22"/>
        </w:rPr>
        <w:t>（第</w:t>
      </w:r>
      <w:r>
        <w:rPr>
          <w:rFonts w:ascii="Arial Narrow" w:eastAsia="Arial Narrow" w:hAnsi="Arial Narrow" w:cs="Arial Narrow"/>
          <w:sz w:val="22"/>
          <w:szCs w:val="22"/>
        </w:rPr>
        <w:t>10.3.3.3</w:t>
      </w:r>
      <w:r>
        <w:rPr>
          <w:rFonts w:ascii="仿宋_GB2312" w:eastAsia="仿宋_GB2312" w:hAnsi="仿宋_GB2312" w:cs="仿宋_GB2312"/>
          <w:sz w:val="22"/>
          <w:szCs w:val="22"/>
        </w:rPr>
        <w:t>节）</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[2016]42</w:t>
      </w:r>
      <w:r>
        <w:rPr>
          <w:rFonts w:ascii="仿宋_GB2312" w:eastAsia="仿宋_GB2312" w:hAnsi="仿宋_GB2312" w:cs="仿宋_GB2312"/>
          <w:sz w:val="22"/>
          <w:szCs w:val="22"/>
        </w:rPr>
        <w:t>号公告进一步指出，地域特殊因素应从劳动力成本、环境成本、市场规模、市场竞争程度、消费者购买力、商品或者劳务的可替代性、政府管制等方面进行分析。</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OECD</w:t>
      </w:r>
      <w:r>
        <w:rPr>
          <w:rFonts w:ascii="仿宋_GB2312" w:eastAsia="仿宋_GB2312" w:hAnsi="仿宋_GB2312" w:cs="仿宋_GB2312"/>
          <w:sz w:val="22"/>
          <w:szCs w:val="22"/>
        </w:rPr>
        <w:t>在税基侵蚀和利润转移第</w:t>
      </w:r>
      <w:r>
        <w:rPr>
          <w:rFonts w:ascii="Arial Narrow" w:eastAsia="Arial Narrow" w:hAnsi="Arial Narrow" w:cs="Arial Narrow"/>
          <w:sz w:val="22"/>
          <w:szCs w:val="22"/>
        </w:rPr>
        <w:t>8-10</w:t>
      </w:r>
      <w:r>
        <w:rPr>
          <w:rFonts w:ascii="仿宋_GB2312" w:eastAsia="仿宋_GB2312" w:hAnsi="仿宋_GB2312" w:cs="仿宋_GB2312"/>
          <w:sz w:val="22"/>
          <w:szCs w:val="22"/>
        </w:rPr>
        <w:t>项行动计划的最终报告中，修订了</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转让定价指南第一章独立交易原则的内容，新增了一节选址节约和其他本地市场特征的内容。</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新的</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转让定价指南指出：</w:t>
      </w:r>
      <w:r>
        <w:rPr>
          <w:rFonts w:ascii="Arial Narrow" w:eastAsia="Arial Narrow" w:hAnsi="Arial Narrow" w:cs="Arial Narrow"/>
          <w:sz w:val="22"/>
          <w:szCs w:val="22"/>
        </w:rPr>
        <w:t>“</w:t>
      </w:r>
      <w:r>
        <w:rPr>
          <w:rFonts w:ascii="仿宋_GB2312" w:eastAsia="仿宋_GB2312" w:hAnsi="仿宋_GB2312" w:cs="仿宋_GB2312"/>
          <w:sz w:val="22"/>
          <w:szCs w:val="22"/>
        </w:rPr>
        <w:t>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w:t>
      </w:r>
      <w:r>
        <w:rPr>
          <w:rFonts w:ascii="Arial Narrow" w:eastAsia="Arial Narrow" w:hAnsi="Arial Narrow" w:cs="Arial Narrow"/>
          <w:sz w:val="22"/>
          <w:szCs w:val="22"/>
        </w:rPr>
        <w:t xml:space="preserve">” </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新的</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转让定价指南指出：</w:t>
      </w:r>
      <w:r>
        <w:rPr>
          <w:rFonts w:ascii="Arial Narrow" w:eastAsia="Arial Narrow" w:hAnsi="Arial Narrow" w:cs="Arial Narrow"/>
          <w:sz w:val="22"/>
          <w:szCs w:val="22"/>
        </w:rPr>
        <w:t>“</w:t>
      </w:r>
      <w:r>
        <w:rPr>
          <w:rFonts w:ascii="仿宋_GB2312" w:eastAsia="仿宋_GB2312" w:hAnsi="仿宋_GB2312" w:cs="仿宋_GB2312"/>
          <w:sz w:val="22"/>
          <w:szCs w:val="22"/>
        </w:rPr>
        <w:t>当无法找到可靠的本地市场可比对象时，对本地市场特征进行可比性调整需要考虑所有相关的实施和情况。与选址节约的分析相同，在无法找到可靠的本地市场可比企业的情况下，需要考虑（</w:t>
      </w:r>
      <w:r>
        <w:rPr>
          <w:rFonts w:ascii="Arial Narrow" w:eastAsia="Arial Narrow" w:hAnsi="Arial Narrow" w:cs="Arial Narrow"/>
          <w:sz w:val="22"/>
          <w:szCs w:val="22"/>
        </w:rPr>
        <w:t>1</w:t>
      </w:r>
      <w:r>
        <w:rPr>
          <w:rFonts w:ascii="仿宋_GB2312" w:eastAsia="仿宋_GB2312" w:hAnsi="仿宋_GB2312" w:cs="仿宋_GB2312"/>
          <w:sz w:val="22"/>
          <w:szCs w:val="22"/>
        </w:rPr>
        <w:t>）是否存在市场优势或劣势；（</w:t>
      </w:r>
      <w:r>
        <w:rPr>
          <w:rFonts w:ascii="Arial Narrow" w:eastAsia="Arial Narrow" w:hAnsi="Arial Narrow" w:cs="Arial Narrow"/>
          <w:sz w:val="22"/>
          <w:szCs w:val="22"/>
        </w:rPr>
        <w:t>2</w:t>
      </w:r>
      <w:r>
        <w:rPr>
          <w:rFonts w:ascii="仿宋_GB2312" w:eastAsia="仿宋_GB2312" w:hAnsi="仿宋_GB2312" w:cs="仿宋_GB2312"/>
          <w:sz w:val="22"/>
          <w:szCs w:val="22"/>
        </w:rPr>
        <w:t>）与其他市场中找到的可比对象相比，本地市场优势或劣势带来的收入、成本或利润的增加或减少的金额；（</w:t>
      </w:r>
      <w:r>
        <w:rPr>
          <w:rFonts w:ascii="Arial Narrow" w:eastAsia="Arial Narrow" w:hAnsi="Arial Narrow" w:cs="Arial Narrow"/>
          <w:sz w:val="22"/>
          <w:szCs w:val="22"/>
        </w:rPr>
        <w:t>3</w:t>
      </w:r>
      <w:r>
        <w:rPr>
          <w:rFonts w:ascii="仿宋_GB2312" w:eastAsia="仿宋_GB2312" w:hAnsi="仿宋_GB2312" w:cs="仿宋_GB2312"/>
          <w:sz w:val="22"/>
          <w:szCs w:val="22"/>
        </w:rPr>
        <w:t>）本地市场特征带来的利益或损失在何种程度上转嫁给独立的客户或供应商；（</w:t>
      </w:r>
      <w:r>
        <w:rPr>
          <w:rFonts w:ascii="Arial Narrow" w:eastAsia="Arial Narrow" w:hAnsi="Arial Narrow" w:cs="Arial Narrow"/>
          <w:sz w:val="22"/>
          <w:szCs w:val="22"/>
        </w:rPr>
        <w:t>4</w:t>
      </w:r>
      <w:r>
        <w:rPr>
          <w:rFonts w:ascii="仿宋_GB2312" w:eastAsia="仿宋_GB2312" w:hAnsi="仿宋_GB2312" w:cs="仿宋_GB2312"/>
          <w:sz w:val="22"/>
          <w:szCs w:val="22"/>
        </w:rPr>
        <w:t>）当存在由本地市场特征带来的利益或损失且未完全转嫁给独立的客户或供应商时，独立企业在相似运营条件下回保留多少净收益或损失。</w:t>
      </w:r>
      <w:r>
        <w:rPr>
          <w:rFonts w:ascii="Arial Narrow" w:eastAsia="Arial Narrow" w:hAnsi="Arial Narrow" w:cs="Arial Narrow"/>
          <w:sz w:val="22"/>
          <w:szCs w:val="22"/>
        </w:rPr>
        <w:t>”</w:t>
      </w:r>
    </w:p>
    <w:p>
      <w:pPr>
        <w:pStyle w:val="Heading3"/>
        <w:numPr>
          <w:ilvl w:val="2"/>
          <w:numId w:val="1"/>
        </w:numPr>
      </w:pPr>
      <w:bookmarkStart w:id="280" w:name="_Toc256003255"/>
      <w:r>
        <w:t>市场溢价</w:t>
      </w:r>
      <w:bookmarkEnd w:id="28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281" w:name="_Toc48317515"/>
      <w:bookmarkStart w:id="282" w:name="_Toc50477851"/>
      <w:bookmarkStart w:id="283" w:name="_Toc48317159"/>
      <w:bookmarkStart w:id="284" w:name="_Toc48317160"/>
      <w:bookmarkStart w:id="285" w:name="_Toc489952578"/>
      <w:bookmarkStart w:id="286" w:name="_Toc48317329"/>
      <w:bookmarkStart w:id="287" w:name="_Toc48399652"/>
      <w:bookmarkStart w:id="288" w:name="_Toc48582637"/>
      <w:bookmarkStart w:id="289" w:name="_Toc48583050"/>
      <w:bookmarkStart w:id="290" w:name="_Toc48317514"/>
      <w:bookmarkStart w:id="291" w:name="_Toc49961822"/>
      <w:bookmarkStart w:id="292" w:name="_Toc50039103"/>
      <w:bookmarkStart w:id="293" w:name="_Toc48583051"/>
      <w:bookmarkStart w:id="294" w:name="_Toc48582638"/>
      <w:bookmarkStart w:id="295" w:name="_Toc48399653"/>
      <w:bookmarkStart w:id="296" w:name="_Toc50477852"/>
      <w:bookmarkStart w:id="297" w:name="_Toc50039104"/>
      <w:bookmarkStart w:id="298" w:name="_Toc48317330"/>
      <w:bookmarkStart w:id="299" w:name="_Toc49961823"/>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r>
        <w:rPr>
          <w:rFonts w:ascii="仿宋_GB2312" w:eastAsia="仿宋_GB2312" w:hAnsi="仿宋_GB2312" w:cs="仿宋_GB2312"/>
          <w:sz w:val="22"/>
          <w:szCs w:val="22"/>
        </w:rPr>
        <w:t>从市场溢价角度而言，我国公路货运行业的进入门槛较低，市场化程度较高，为完全竞争市场。除了大型国有企业和国际知名物流企业外，市场中存在大量中小民营物流企业，这些企业主要集中于地方市场和细分领域，形成了“多、小、散、弱”格局。大型货运企业受传统业务制约开始向地方、细分领域延伸，公路货运市场竞争程度日益激烈。</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因此，我们认为</w:t>
      </w:r>
      <w:r>
        <w:rPr>
          <w:rFonts w:ascii="Arial Narrow" w:eastAsia="Arial Narrow" w:hAnsi="Arial Narrow" w:cs="Arial Narrow"/>
          <w:sz w:val="22"/>
          <w:szCs w:val="22"/>
        </w:rPr>
        <w:t>远化物流</w:t>
      </w:r>
      <w:r>
        <w:rPr>
          <w:rFonts w:ascii="仿宋_GB2312" w:eastAsia="仿宋_GB2312" w:hAnsi="仿宋_GB2312" w:cs="仿宋_GB2312"/>
          <w:sz w:val="22"/>
          <w:szCs w:val="22"/>
        </w:rPr>
        <w:t>未受到市场溢价的影响。</w:t>
      </w:r>
    </w:p>
    <w:p>
      <w:pPr>
        <w:pStyle w:val="Heading2"/>
        <w:numPr>
          <w:ilvl w:val="1"/>
          <w:numId w:val="1"/>
        </w:numPr>
      </w:pPr>
      <w:bookmarkStart w:id="300" w:name="_Toc256003256"/>
      <w:r>
        <w:t>价值链各参与方财务报表</w:t>
      </w:r>
      <w:bookmarkEnd w:id="30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如有要求，可在征求相关价值链参与方管理层同意之后提供对方企业</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Arial Narrow" w:eastAsia="Arial Narrow" w:hAnsi="Arial Narrow" w:cs="Arial Narrow"/>
          <w:sz w:val="22"/>
          <w:szCs w:val="22"/>
        </w:rPr>
        <w:t xml:space="preserve"> </w:t>
      </w:r>
      <w:r>
        <w:rPr>
          <w:rFonts w:ascii="仿宋_GB2312" w:eastAsia="仿宋_GB2312" w:hAnsi="仿宋_GB2312" w:cs="仿宋_GB2312"/>
          <w:sz w:val="22"/>
          <w:szCs w:val="22"/>
        </w:rPr>
        <w:t>财务年度的财务报表。</w:t>
      </w:r>
      <w:r>
        <w:rPr>
          <w:rFonts w:ascii="Times New Roman" w:eastAsia="Times New Roman" w:hAnsi="Times New Roman" w:cs="Times New Roman"/>
          <w:sz w:val="22"/>
          <w:szCs w:val="22"/>
        </w:rPr>
        <w:br w:type="page"/>
      </w:r>
    </w:p>
    <w:p>
      <w:pPr>
        <w:pStyle w:val="BodyText"/>
        <w:numPr>
          <w:ilvl w:val="0"/>
          <w:numId w:val="0"/>
        </w:numPr>
        <w:sectPr>
          <w:pgMar w:header="720" w:footer="720"/>
          <w:cols w:space="720"/>
        </w:sectPr>
      </w:pPr>
    </w:p>
    <w:p>
      <w:pPr>
        <w:pStyle w:val="Heading1"/>
        <w:numPr>
          <w:ilvl w:val="0"/>
          <w:numId w:val="1"/>
        </w:numPr>
      </w:pPr>
      <w:bookmarkStart w:id="301" w:name="_Toc256003257"/>
      <w:r>
        <w:t>可比性分析</w:t>
      </w:r>
      <w:bookmarkEnd w:id="301"/>
    </w:p>
    <w:p>
      <w:pPr>
        <w:pStyle w:val="Heading2"/>
        <w:numPr>
          <w:ilvl w:val="1"/>
          <w:numId w:val="1"/>
        </w:numPr>
      </w:pPr>
      <w:bookmarkStart w:id="302" w:name="_Toc256003258"/>
      <w:r>
        <w:t>简介</w:t>
      </w:r>
      <w:bookmarkEnd w:id="302"/>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303" w:name="_Toc489952584"/>
      <w:bookmarkStart w:id="304" w:name="_Toc522205845"/>
      <w:bookmarkEnd w:id="303"/>
      <w:bookmarkEnd w:id="304"/>
      <w:r>
        <w:rPr>
          <w:rFonts w:ascii="仿宋_GB2312" w:eastAsia="仿宋_GB2312" w:hAnsi="仿宋_GB2312" w:cs="仿宋_GB2312"/>
          <w:sz w:val="22"/>
          <w:szCs w:val="22"/>
        </w:rPr>
        <w:t>《中华人民共和国企业所得税法》第</w:t>
      </w:r>
      <w:r>
        <w:rPr>
          <w:rFonts w:ascii="Arial Narrow" w:eastAsia="Arial Narrow" w:hAnsi="Arial Narrow" w:cs="Arial Narrow"/>
          <w:sz w:val="22"/>
          <w:szCs w:val="22"/>
        </w:rPr>
        <w:t>41</w:t>
      </w:r>
      <w:r>
        <w:rPr>
          <w:rFonts w:ascii="仿宋_GB2312" w:eastAsia="仿宋_GB2312" w:hAnsi="仿宋_GB2312" w:cs="仿宋_GB2312"/>
          <w:sz w:val="22"/>
          <w:szCs w:val="22"/>
        </w:rPr>
        <w:t>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w:t>
      </w:r>
      <w:r>
        <w:rPr>
          <w:rFonts w:ascii="Arial Narrow" w:eastAsia="Arial Narrow" w:hAnsi="Arial Narrow" w:cs="Arial Narrow"/>
          <w:sz w:val="22"/>
          <w:szCs w:val="22"/>
        </w:rPr>
        <w:t>“OECD”</w:t>
      </w:r>
      <w:r>
        <w:rPr>
          <w:rFonts w:ascii="仿宋_GB2312" w:eastAsia="仿宋_GB2312" w:hAnsi="仿宋_GB2312" w:cs="仿宋_GB2312"/>
          <w:sz w:val="22"/>
          <w:szCs w:val="22"/>
        </w:rPr>
        <w:t>）所认可的指导原则。</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为了确定最适宜的转让定价评估方法，我们参考了中国转让定价法规和《</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对以上各种方法的详细描述，请见附件</w:t>
      </w:r>
      <w:r>
        <w:rPr>
          <w:rFonts w:ascii="Arial Narrow" w:eastAsia="Arial Narrow" w:hAnsi="Arial Narrow" w:cs="Arial Narrow"/>
          <w:sz w:val="22"/>
          <w:szCs w:val="22"/>
        </w:rPr>
        <w:t>1</w:t>
      </w:r>
      <w:r>
        <w:rPr>
          <w:rFonts w:ascii="仿宋_GB2312" w:eastAsia="仿宋_GB2312" w:hAnsi="仿宋_GB2312" w:cs="仿宋_GB2312"/>
          <w:sz w:val="22"/>
          <w:szCs w:val="22"/>
        </w:rPr>
        <w:t>。</w:t>
      </w:r>
    </w:p>
    <w:p>
      <w:pPr>
        <w:pStyle w:val="Heading2"/>
        <w:numPr>
          <w:ilvl w:val="1"/>
          <w:numId w:val="1"/>
        </w:numPr>
      </w:pPr>
      <w:bookmarkStart w:id="305" w:name="_Toc256003259"/>
      <w:r>
        <w:t>转让定价方法的选择</w:t>
      </w:r>
      <w:bookmarkEnd w:id="305"/>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306" w:name="_Toc48317170"/>
      <w:bookmarkStart w:id="307" w:name="_Toc48914087"/>
      <w:bookmarkStart w:id="308" w:name="_Toc48583061"/>
      <w:bookmarkStart w:id="309" w:name="_Toc48317169"/>
      <w:bookmarkStart w:id="310" w:name="_Toc48399663"/>
      <w:bookmarkStart w:id="311" w:name="_Toc48583062"/>
      <w:bookmarkStart w:id="312" w:name="_Toc48317168"/>
      <w:bookmarkStart w:id="313" w:name="_Toc48582645"/>
      <w:bookmarkStart w:id="314" w:name="_Toc48317521"/>
      <w:bookmarkStart w:id="315" w:name="_Toc48399662"/>
      <w:bookmarkStart w:id="316" w:name="_Toc48317339"/>
      <w:bookmarkStart w:id="317" w:name="_Toc489952586"/>
      <w:bookmarkStart w:id="318" w:name="_Toc48317526"/>
      <w:bookmarkStart w:id="319" w:name="_Toc48583059"/>
      <w:bookmarkStart w:id="320" w:name="_Toc48317167"/>
      <w:bookmarkStart w:id="321" w:name="_Toc48317338"/>
      <w:bookmarkStart w:id="322" w:name="_Toc48399665"/>
      <w:bookmarkStart w:id="323" w:name="_Toc48317525"/>
      <w:bookmarkStart w:id="324" w:name="_Toc48317341"/>
      <w:bookmarkStart w:id="325" w:name="_Toc48317340"/>
      <w:bookmarkStart w:id="326" w:name="_Toc48317166"/>
      <w:bookmarkStart w:id="327" w:name="_Toc48583058"/>
      <w:bookmarkStart w:id="328" w:name="_Toc48317527"/>
      <w:bookmarkStart w:id="329" w:name="_Toc48582650"/>
      <w:bookmarkStart w:id="330" w:name="_Toc48317337"/>
      <w:bookmarkStart w:id="331" w:name="_Toc48317523"/>
      <w:bookmarkStart w:id="332" w:name="_Toc48582644"/>
      <w:bookmarkStart w:id="333" w:name="_Toc48583060"/>
      <w:bookmarkStart w:id="334" w:name="_Toc48317522"/>
      <w:bookmarkStart w:id="335" w:name="_Toc48582649"/>
      <w:bookmarkStart w:id="336" w:name="_Toc48399659"/>
      <w:bookmarkStart w:id="337" w:name="_Toc48582648"/>
      <w:bookmarkStart w:id="338" w:name="_Toc48582647"/>
      <w:bookmarkStart w:id="339" w:name="_Toc48317524"/>
      <w:bookmarkStart w:id="340" w:name="_Toc48317336"/>
      <w:bookmarkStart w:id="341" w:name="_Toc48583063"/>
      <w:bookmarkStart w:id="342" w:name="_Toc48399660"/>
      <w:bookmarkStart w:id="343" w:name="_Toc48399664"/>
      <w:bookmarkStart w:id="344" w:name="_Toc48582646"/>
      <w:bookmarkStart w:id="345" w:name="_Toc48317171"/>
      <w:bookmarkStart w:id="346" w:name="_Toc48317172"/>
      <w:bookmarkStart w:id="347" w:name="_Toc48583057"/>
      <w:bookmarkStart w:id="348" w:name="_Toc48399661"/>
      <w:bookmarkStart w:id="349" w:name="_Toc48317342"/>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r>
        <w:rPr>
          <w:rFonts w:ascii="Arial Narrow" w:eastAsia="Arial Narrow" w:hAnsi="Arial Narrow" w:cs="Arial Narrow"/>
          <w:sz w:val="22"/>
          <w:szCs w:val="22"/>
        </w:rPr>
        <w:t>[2016]42</w:t>
      </w:r>
      <w:r>
        <w:rPr>
          <w:rFonts w:ascii="仿宋_GB2312" w:eastAsia="仿宋_GB2312" w:hAnsi="仿宋_GB2312" w:cs="仿宋_GB2312"/>
          <w:sz w:val="22"/>
          <w:szCs w:val="22"/>
        </w:rPr>
        <w:t>号公告第</w:t>
      </w:r>
      <w:r>
        <w:rPr>
          <w:rFonts w:ascii="Arial Narrow" w:eastAsia="Arial Narrow" w:hAnsi="Arial Narrow" w:cs="Arial Narrow"/>
          <w:sz w:val="22"/>
          <w:szCs w:val="22"/>
        </w:rPr>
        <w:t>14</w:t>
      </w:r>
      <w:r>
        <w:rPr>
          <w:rFonts w:ascii="仿宋_GB2312" w:eastAsia="仿宋_GB2312" w:hAnsi="仿宋_GB2312" w:cs="仿宋_GB2312"/>
          <w:sz w:val="22"/>
          <w:szCs w:val="22"/>
        </w:rPr>
        <w:t>条规定，可比性分析考虑的因素，包括交易资产或者劳务特性，交易各方功能、风险和资产，合同条款，经济环境，经营策略等。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w:t>
      </w:r>
      <w:r>
        <w:rPr>
          <w:rFonts w:ascii="Arial Narrow" w:eastAsia="Arial Narrow" w:hAnsi="Arial Narrow" w:cs="Arial Narrow"/>
          <w:color w:val="000000"/>
          <w:sz w:val="11"/>
          <w:szCs w:val="11"/>
          <w:u w:val="none"/>
          <w:vertAlign w:val="superscript"/>
        </w:rPr>
        <w:footnoteReference w:id="10"/>
      </w:r>
      <w:r>
        <w:rPr>
          <w:rFonts w:ascii="仿宋_GB2312" w:eastAsia="仿宋_GB2312" w:hAnsi="仿宋_GB2312" w:cs="仿宋_GB2312"/>
          <w:sz w:val="22"/>
          <w:szCs w:val="22"/>
        </w:rPr>
        <w:t>由于最合适的转让定价方法是比较各方法相对优点的结果，因此，不完美的方法仍可能被接受，除非有证据证明其他方法更加可靠或能更加准确估算独立交易的结果。</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以下图表总结了转让定价方法的选择过程。</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18</w:t>
      </w:r>
      <w:r>
        <w:rPr>
          <w:rFonts w:ascii="仿宋" w:eastAsia="仿宋" w:hAnsi="仿宋" w:cs="仿宋"/>
          <w:b/>
          <w:bCs/>
          <w:sz w:val="22"/>
          <w:szCs w:val="22"/>
        </w:rPr>
        <w:t>：合适转让定价方法的选择</w:t>
      </w:r>
    </w:p>
    <w:p>
      <w:pPr>
        <w:pStyle w:val="Heading2"/>
        <w:numPr>
          <w:ilvl w:val="1"/>
          <w:numId w:val="1"/>
        </w:numPr>
      </w:pPr>
      <w:bookmarkStart w:id="350" w:name="_Toc256003260"/>
      <w:r>
        <w:t>验证对象的选择</w:t>
      </w:r>
      <w:bookmarkEnd w:id="350"/>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可比非受控价格法适用于参与受控交易的任何一方，利润分割法通常适用于受控交易的各方，而用其他的转让定价方法时必须首先明确应对哪一方的毛利或营业利润进行分析。</w:t>
      </w:r>
      <w:r>
        <w:rPr>
          <w:rFonts w:ascii="Arial Narrow" w:eastAsia="Arial Narrow" w:hAnsi="Arial Narrow" w:cs="Arial Narrow"/>
          <w:sz w:val="22"/>
          <w:szCs w:val="22"/>
        </w:rPr>
        <w:t>“</w:t>
      </w:r>
      <w:r>
        <w:rPr>
          <w:rFonts w:ascii="仿宋_GB2312" w:eastAsia="仿宋_GB2312" w:hAnsi="仿宋_GB2312" w:cs="仿宋_GB2312"/>
          <w:sz w:val="22"/>
          <w:szCs w:val="22"/>
        </w:rPr>
        <w:t>验证对象</w:t>
      </w:r>
      <w:r>
        <w:rPr>
          <w:rFonts w:ascii="Arial Narrow" w:eastAsia="Arial Narrow" w:hAnsi="Arial Narrow" w:cs="Arial Narrow"/>
          <w:sz w:val="22"/>
          <w:szCs w:val="22"/>
        </w:rPr>
        <w:t>”</w:t>
      </w:r>
      <w:r>
        <w:rPr>
          <w:rFonts w:ascii="仿宋_GB2312" w:eastAsia="仿宋_GB2312" w:hAnsi="仿宋_GB2312" w:cs="仿宋_GB2312"/>
          <w:sz w:val="22"/>
          <w:szCs w:val="22"/>
        </w:rPr>
        <w:t>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远化物流</w:t>
      </w:r>
      <w:r>
        <w:rPr>
          <w:rFonts w:ascii="仿宋_GB2312" w:eastAsia="仿宋_GB2312" w:hAnsi="仿宋_GB2312" w:cs="仿宋_GB2312"/>
          <w:sz w:val="22"/>
          <w:szCs w:val="22"/>
        </w:rPr>
        <w:t>主要承担物流运输及有限的一般行政管理的功能。同时承担间接的市场风险、有限的信用风险、有限的责任风险。此外，</w:t>
      </w:r>
      <w:r>
        <w:rPr>
          <w:rFonts w:ascii="Arial Narrow" w:eastAsia="Arial Narrow" w:hAnsi="Arial Narrow" w:cs="Arial Narrow"/>
          <w:sz w:val="22"/>
          <w:szCs w:val="22"/>
        </w:rPr>
        <w:t>远化物流</w:t>
      </w:r>
      <w:r>
        <w:rPr>
          <w:rFonts w:ascii="仿宋_GB2312" w:eastAsia="仿宋_GB2312" w:hAnsi="仿宋_GB2312" w:cs="仿宋_GB2312"/>
          <w:sz w:val="22"/>
          <w:szCs w:val="22"/>
        </w:rPr>
        <w:t>不拥有非常规营销类无形资产和由其关联方创造的非常规制造类无形资产的所有权。</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由于</w:t>
      </w:r>
      <w:r>
        <w:rPr>
          <w:rFonts w:ascii="Arial Narrow" w:eastAsia="Arial Narrow" w:hAnsi="Arial Narrow" w:cs="Arial Narrow"/>
          <w:sz w:val="22"/>
          <w:szCs w:val="22"/>
        </w:rPr>
        <w:t>远化物流</w:t>
      </w:r>
      <w:r>
        <w:rPr>
          <w:rFonts w:ascii="仿宋_GB2312" w:eastAsia="仿宋_GB2312" w:hAnsi="仿宋_GB2312" w:cs="仿宋_GB2312"/>
          <w:sz w:val="22"/>
          <w:szCs w:val="22"/>
        </w:rPr>
        <w:t>的受测关联交易财务数据可以可靠获得，我们选择</w:t>
      </w:r>
      <w:r>
        <w:rPr>
          <w:rFonts w:ascii="Arial Narrow" w:eastAsia="Arial Narrow" w:hAnsi="Arial Narrow" w:cs="Arial Narrow"/>
          <w:sz w:val="22"/>
          <w:szCs w:val="22"/>
        </w:rPr>
        <w:t>远化物流</w:t>
      </w:r>
      <w:r>
        <w:rPr>
          <w:rFonts w:ascii="仿宋_GB2312" w:eastAsia="仿宋_GB2312" w:hAnsi="仿宋_GB2312" w:cs="仿宋_GB2312"/>
          <w:sz w:val="22"/>
          <w:szCs w:val="22"/>
        </w:rPr>
        <w:t>作为受测关联交易的验证对象。</w:t>
      </w:r>
    </w:p>
    <w:p>
      <w:pPr>
        <w:pStyle w:val="Heading2"/>
        <w:numPr>
          <w:ilvl w:val="1"/>
          <w:numId w:val="1"/>
        </w:numPr>
      </w:pPr>
      <w:bookmarkStart w:id="351" w:name="_Toc256003261"/>
      <w:r>
        <w:t>转让定价方法的应用</w:t>
      </w:r>
      <w:bookmarkEnd w:id="351"/>
    </w:p>
    <w:p>
      <w:pPr>
        <w:pStyle w:val="Heading3"/>
        <w:numPr>
          <w:ilvl w:val="2"/>
          <w:numId w:val="1"/>
        </w:numPr>
      </w:pPr>
      <w:bookmarkStart w:id="352" w:name="_Toc256003262"/>
      <w:r>
        <w:t>概述</w:t>
      </w:r>
      <w:bookmarkEnd w:id="352"/>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353" w:name="_Toc48582671"/>
      <w:bookmarkStart w:id="354" w:name="_Toc48317554"/>
      <w:bookmarkStart w:id="355" w:name="_Toc48317352"/>
      <w:bookmarkStart w:id="356" w:name="_Toc48582654"/>
      <w:bookmarkStart w:id="357" w:name="_Toc48582679"/>
      <w:bookmarkStart w:id="358" w:name="_Toc48583092"/>
      <w:bookmarkStart w:id="359" w:name="_Toc48582675"/>
      <w:bookmarkStart w:id="360" w:name="_Toc48317347"/>
      <w:bookmarkStart w:id="361" w:name="_Toc48583084"/>
      <w:bookmarkStart w:id="362" w:name="_Toc48583073"/>
      <w:bookmarkStart w:id="363" w:name="_Toc48583088"/>
      <w:bookmarkStart w:id="364" w:name="_Toc48583067"/>
      <w:bookmarkStart w:id="365" w:name="_Toc522205849"/>
      <w:bookmarkStart w:id="366" w:name="_Toc48399670"/>
      <w:bookmarkStart w:id="367" w:name="_Toc48317346"/>
      <w:bookmarkStart w:id="368" w:name="_Toc48317532"/>
      <w:bookmarkStart w:id="369" w:name="_Toc522205850"/>
      <w:bookmarkStart w:id="370" w:name="_Toc489952591"/>
      <w:bookmarkStart w:id="371" w:name="_Toc48317537"/>
      <w:bookmarkStart w:id="372" w:name="_Toc48317531"/>
      <w:bookmarkStart w:id="373" w:name="_Toc48583068"/>
      <w:bookmarkStart w:id="374" w:name="_Toc48583071"/>
      <w:bookmarkStart w:id="375" w:name="_Toc48317533"/>
      <w:bookmarkStart w:id="376" w:name="_Toc48582660"/>
      <w:bookmarkStart w:id="377" w:name="_Toc48399673"/>
      <w:bookmarkStart w:id="378" w:name="_Toc48317348"/>
      <w:bookmarkStart w:id="379" w:name="_Toc48399675"/>
      <w:bookmarkStart w:id="380" w:name="_Toc48399671"/>
      <w:bookmarkStart w:id="381" w:name="_Toc48317350"/>
      <w:bookmarkStart w:id="382" w:name="_Toc48582655"/>
      <w:bookmarkStart w:id="383" w:name="_Toc48582658"/>
      <w:bookmarkStart w:id="384" w:name="_Toc48317535"/>
      <w:bookmarkStart w:id="385" w:name="_Toc48399692"/>
      <w:bookmarkStart w:id="386" w:name="_Toc48317369"/>
      <w:bookmarkStart w:id="387" w:name="_Toc522205851"/>
      <w:bookmarkStart w:id="388" w:name="_Toc48583069"/>
      <w:bookmarkStart w:id="389" w:name="_Toc48582656"/>
      <w:bookmarkStart w:id="390" w:name="_Toc48399669"/>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r>
        <w:rPr>
          <w:rFonts w:ascii="Arial Narrow" w:eastAsia="Arial Narrow" w:hAnsi="Arial Narrow" w:cs="Arial Narrow"/>
          <w:sz w:val="22"/>
          <w:szCs w:val="22"/>
        </w:rPr>
        <w:t>[2016]42</w:t>
      </w:r>
      <w:r>
        <w:rPr>
          <w:rFonts w:ascii="仿宋_GB2312" w:eastAsia="仿宋_GB2312" w:hAnsi="仿宋_GB2312" w:cs="仿宋_GB2312"/>
          <w:sz w:val="22"/>
          <w:szCs w:val="22"/>
        </w:rPr>
        <w:t>号公告中列举的各种转让定价方法的分析（详见上文章节</w:t>
      </w:r>
      <w:r>
        <w:rPr>
          <w:rFonts w:ascii="Arial Narrow" w:eastAsia="Arial Narrow" w:hAnsi="Arial Narrow" w:cs="Arial Narrow"/>
          <w:sz w:val="22"/>
          <w:szCs w:val="22"/>
        </w:rPr>
        <w:t>7.2)</w:t>
      </w:r>
      <w:r>
        <w:rPr>
          <w:rFonts w:ascii="仿宋_GB2312" w:eastAsia="仿宋_GB2312" w:hAnsi="仿宋_GB2312" w:cs="仿宋_GB2312"/>
          <w:sz w:val="22"/>
          <w:szCs w:val="22"/>
        </w:rPr>
        <w:t>，交易净利润法被确定为对受测关联交易进行可比性分析最合适的转让定价方法。根据《</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Arial Narrow" w:hAnsi="Arial Narrow" w:cs="Arial Narrow"/>
          <w:color w:val="000000"/>
          <w:sz w:val="11"/>
          <w:szCs w:val="11"/>
          <w:u w:val="none"/>
          <w:vertAlign w:val="superscript"/>
        </w:rPr>
        <w:footnoteReference w:id="11"/>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下面我们将应用交易净利润法进行可比分析。</w:t>
      </w:r>
    </w:p>
    <w:p>
      <w:pPr>
        <w:pStyle w:val="Heading3"/>
        <w:numPr>
          <w:ilvl w:val="2"/>
          <w:numId w:val="1"/>
        </w:numPr>
      </w:pPr>
      <w:bookmarkStart w:id="391" w:name="_Toc256003263"/>
      <w:r>
        <w:t>确定与受测关联交易相关的财务数据</w:t>
      </w:r>
      <w:bookmarkEnd w:id="391"/>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报告期间，</w:t>
      </w:r>
      <w:r>
        <w:rPr>
          <w:rFonts w:ascii="Arial Narrow" w:eastAsia="Arial Narrow" w:hAnsi="Arial Narrow" w:cs="Arial Narrow"/>
          <w:sz w:val="22"/>
          <w:szCs w:val="22"/>
        </w:rPr>
        <w:t>远化物流</w:t>
      </w:r>
      <w:r>
        <w:rPr>
          <w:rFonts w:ascii="仿宋_GB2312" w:eastAsia="仿宋_GB2312" w:hAnsi="仿宋_GB2312" w:cs="仿宋_GB2312"/>
          <w:sz w:val="22"/>
          <w:szCs w:val="22"/>
        </w:rPr>
        <w:t>的整体财务数据均与关联交易相关。</w:t>
      </w:r>
      <w:r>
        <w:rPr>
          <w:rFonts w:ascii="Arial Narrow" w:eastAsia="Arial Narrow" w:hAnsi="Arial Narrow" w:cs="Arial Narrow"/>
          <w:sz w:val="22"/>
          <w:szCs w:val="22"/>
        </w:rPr>
        <w:t>远化物流</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年度的整体财务数据如下表所示</w:t>
      </w:r>
      <w:r>
        <w:rPr>
          <w:rFonts w:ascii="Arial Narrow" w:eastAsia="Arial Narrow" w:hAnsi="Arial Narrow" w:cs="Arial Narrow"/>
          <w:sz w:val="22"/>
          <w:szCs w:val="22"/>
        </w:rPr>
        <w:t>:</w:t>
      </w:r>
      <w:r>
        <w:rPr>
          <w:rFonts w:ascii="仿宋_GB2312" w:eastAsia="仿宋_GB2312" w:hAnsi="仿宋_GB2312" w:cs="仿宋_GB2312"/>
          <w:sz w:val="22"/>
          <w:szCs w:val="22"/>
        </w:rPr>
        <w:t>。</w:t>
      </w:r>
    </w:p>
    <w:p>
      <w:pPr>
        <w:pStyle w:val="BodyText"/>
        <w:numPr>
          <w:ilvl w:val="0"/>
          <w:numId w:val="0"/>
        </w:numPr>
        <w:spacing w:before="12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19</w:t>
      </w:r>
      <w:r>
        <w:rPr>
          <w:rFonts w:ascii="仿宋" w:eastAsia="仿宋" w:hAnsi="仿宋" w:cs="仿宋"/>
          <w:b/>
          <w:bCs/>
          <w:sz w:val="22"/>
          <w:szCs w:val="22"/>
        </w:rPr>
        <w:t>：</w:t>
      </w:r>
      <w:r>
        <w:rPr>
          <w:rFonts w:ascii="仿宋" w:eastAsia="仿宋" w:hAnsi="仿宋" w:cs="仿宋"/>
          <w:b/>
          <w:bCs/>
          <w:sz w:val="22"/>
          <w:szCs w:val="22"/>
        </w:rPr>
        <w:t>远化物流</w:t>
      </w:r>
      <w:r>
        <w:rPr>
          <w:rFonts w:ascii="仿宋" w:eastAsia="仿宋" w:hAnsi="仿宋" w:cs="仿宋"/>
          <w:b/>
          <w:bCs/>
          <w:sz w:val="22"/>
          <w:szCs w:val="22"/>
        </w:rPr>
        <w:t>20</w:t>
      </w:r>
      <w:r>
        <w:rPr>
          <w:rFonts w:ascii="仿宋" w:eastAsia="仿宋" w:hAnsi="仿宋" w:cs="仿宋"/>
          <w:b/>
          <w:bCs/>
          <w:sz w:val="22"/>
          <w:szCs w:val="22"/>
        </w:rPr>
        <w:t>23</w:t>
      </w:r>
      <w:r>
        <w:rPr>
          <w:rFonts w:ascii="仿宋" w:eastAsia="仿宋" w:hAnsi="仿宋" w:cs="仿宋"/>
          <w:b/>
          <w:bCs/>
          <w:sz w:val="22"/>
          <w:szCs w:val="22"/>
        </w:rPr>
        <w:t>年度财务数据</w:t>
      </w:r>
    </w:p>
    <w:p>
      <w:pPr>
        <w:pStyle w:val="BodyText"/>
        <w:numPr>
          <w:ilvl w:val="0"/>
          <w:numId w:val="0"/>
        </w:numPr>
        <w:spacing w:before="0" w:after="0"/>
        <w:ind w:left="480"/>
        <w:jc w:val="both"/>
        <w:rPr>
          <w:rFonts w:ascii="Times New Roman" w:eastAsia="Times New Roman" w:hAnsi="Times New Roman" w:cs="Times New Roman"/>
          <w:sz w:val="16"/>
          <w:szCs w:val="16"/>
        </w:rPr>
      </w:pPr>
      <w:r>
        <w:rPr>
          <w:rFonts w:ascii="仿宋_GB2312" w:eastAsia="仿宋_GB2312" w:hAnsi="仿宋_GB2312" w:cs="仿宋_GB2312"/>
          <w:i/>
          <w:iCs/>
          <w:sz w:val="16"/>
          <w:szCs w:val="16"/>
        </w:rPr>
        <w:t>信息来源：由</w:t>
      </w:r>
      <w:r>
        <w:rPr>
          <w:rFonts w:ascii="Arial Narrow" w:eastAsia="Arial Narrow" w:hAnsi="Arial Narrow" w:cs="Arial Narrow"/>
          <w:i/>
          <w:iCs/>
          <w:sz w:val="16"/>
          <w:szCs w:val="16"/>
        </w:rPr>
        <w:t>远化物流</w:t>
      </w:r>
      <w:r>
        <w:rPr>
          <w:rFonts w:ascii="仿宋_GB2312" w:eastAsia="仿宋_GB2312" w:hAnsi="仿宋_GB2312" w:cs="仿宋_GB2312"/>
          <w:i/>
          <w:iCs/>
          <w:sz w:val="16"/>
          <w:szCs w:val="16"/>
        </w:rPr>
        <w:t>提供</w:t>
      </w:r>
    </w:p>
    <w:p>
      <w:pPr>
        <w:pStyle w:val="Heading3"/>
        <w:numPr>
          <w:ilvl w:val="2"/>
          <w:numId w:val="1"/>
        </w:numPr>
      </w:pPr>
      <w:bookmarkStart w:id="392" w:name="_Toc256003264"/>
      <w:r>
        <w:t>搜寻外部可比公司</w:t>
      </w:r>
      <w:bookmarkEnd w:id="392"/>
    </w:p>
    <w:p>
      <w:pPr>
        <w:pStyle w:val="Heading4"/>
        <w:keepNext/>
        <w:numPr>
          <w:ilvl w:val="3"/>
          <w:numId w:val="17"/>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数据库</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为了对外部可比公司（即所执行的功能与</w:t>
      </w:r>
      <w:r>
        <w:rPr>
          <w:rFonts w:ascii="Arial Narrow" w:eastAsia="Arial Narrow" w:hAnsi="Arial Narrow" w:cs="Arial Narrow"/>
          <w:sz w:val="22"/>
          <w:szCs w:val="22"/>
        </w:rPr>
        <w:t>远化物流</w:t>
      </w:r>
      <w:r>
        <w:rPr>
          <w:rFonts w:ascii="仿宋_GB2312" w:eastAsia="仿宋_GB2312" w:hAnsi="仿宋_GB2312" w:cs="仿宋_GB2312"/>
          <w:sz w:val="22"/>
          <w:szCs w:val="22"/>
        </w:rPr>
        <w:t>的活动宽泛可比的独立企业）进行一次基准搜索，我们使用了由</w:t>
      </w:r>
      <w:r>
        <w:rPr>
          <w:rFonts w:ascii="Arial Narrow" w:eastAsia="Arial Narrow" w:hAnsi="Arial Narrow" w:cs="Arial Narrow"/>
          <w:sz w:val="22"/>
          <w:szCs w:val="22"/>
        </w:rPr>
        <w:t>Bureau van Dijk</w:t>
      </w:r>
      <w:r>
        <w:rPr>
          <w:rFonts w:ascii="Arial Narrow" w:eastAsia="Arial Narrow" w:hAnsi="Arial Narrow" w:cs="Arial Narrow"/>
          <w:color w:val="000000"/>
          <w:sz w:val="11"/>
          <w:szCs w:val="11"/>
          <w:u w:val="none"/>
          <w:vertAlign w:val="superscript"/>
        </w:rPr>
        <w:footnoteReference w:id="12"/>
      </w:r>
      <w:r>
        <w:rPr>
          <w:rFonts w:ascii="仿宋_GB2312" w:eastAsia="仿宋_GB2312" w:hAnsi="仿宋_GB2312" w:cs="仿宋_GB2312"/>
          <w:sz w:val="22"/>
          <w:szCs w:val="22"/>
        </w:rPr>
        <w:t>提供的</w:t>
      </w:r>
      <w:r>
        <w:rPr>
          <w:rFonts w:ascii="Arial Narrow" w:eastAsia="Arial Narrow" w:hAnsi="Arial Narrow" w:cs="Arial Narrow"/>
          <w:sz w:val="22"/>
          <w:szCs w:val="22"/>
        </w:rPr>
        <w:t>TP Catalyst</w:t>
      </w:r>
      <w:r>
        <w:rPr>
          <w:rFonts w:ascii="仿宋_GB2312" w:eastAsia="仿宋_GB2312" w:hAnsi="仿宋_GB2312" w:cs="仿宋_GB2312"/>
          <w:sz w:val="22"/>
          <w:szCs w:val="22"/>
        </w:rPr>
        <w:t>数据库。</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 xml:space="preserve"> </w:t>
      </w:r>
      <w:r>
        <w:rPr>
          <w:rFonts w:ascii="Arial Narrow" w:eastAsia="Arial Narrow" w:hAnsi="Arial Narrow" w:cs="Arial Narrow"/>
          <w:sz w:val="22"/>
          <w:szCs w:val="22"/>
        </w:rPr>
        <w:t>TP Catalyst</w:t>
      </w:r>
      <w:r>
        <w:rPr>
          <w:rFonts w:ascii="仿宋_GB2312" w:eastAsia="仿宋_GB2312" w:hAnsi="仿宋_GB2312" w:cs="仿宋_GB2312"/>
          <w:sz w:val="22"/>
          <w:szCs w:val="22"/>
        </w:rPr>
        <w:t>数据库囊括了全球逾</w:t>
      </w:r>
      <w:r>
        <w:rPr>
          <w:rFonts w:ascii="Arial Narrow" w:eastAsia="Arial Narrow" w:hAnsi="Arial Narrow" w:cs="Arial Narrow"/>
          <w:sz w:val="22"/>
          <w:szCs w:val="22"/>
        </w:rPr>
        <w:t xml:space="preserve">70,000 </w:t>
      </w:r>
      <w:r>
        <w:rPr>
          <w:rFonts w:ascii="仿宋_GB2312" w:eastAsia="仿宋_GB2312" w:hAnsi="仿宋_GB2312" w:cs="仿宋_GB2312"/>
          <w:sz w:val="22"/>
          <w:szCs w:val="22"/>
        </w:rPr>
        <w:t>家上市公司（其中包括远东及中亚地区逾</w:t>
      </w:r>
      <w:r>
        <w:rPr>
          <w:rFonts w:ascii="Arial Narrow" w:eastAsia="Arial Narrow" w:hAnsi="Arial Narrow" w:cs="Arial Narrow"/>
          <w:sz w:val="22"/>
          <w:szCs w:val="22"/>
        </w:rPr>
        <w:t>40,000</w:t>
      </w:r>
      <w:r>
        <w:rPr>
          <w:rFonts w:ascii="仿宋_GB2312" w:eastAsia="仿宋_GB2312" w:hAnsi="仿宋_GB2312" w:cs="仿宋_GB2312"/>
          <w:sz w:val="22"/>
          <w:szCs w:val="22"/>
        </w:rPr>
        <w:t>家上市公司）的财务数据，向专业用户提供深入分析各国上市公司所需的详细财务经营报表、分析比率、股权结构、企业评级数据、历年股价系列与企业行业分析。</w:t>
      </w:r>
      <w:r>
        <w:rPr>
          <w:rFonts w:ascii="Arial Narrow" w:eastAsia="Arial Narrow" w:hAnsi="Arial Narrow" w:cs="Arial Narrow"/>
          <w:sz w:val="22"/>
          <w:szCs w:val="22"/>
        </w:rPr>
        <w:t>TP Catalyst</w:t>
      </w:r>
      <w:r>
        <w:rPr>
          <w:rFonts w:ascii="仿宋_GB2312" w:eastAsia="仿宋_GB2312" w:hAnsi="仿宋_GB2312" w:cs="仿宋_GB2312"/>
          <w:sz w:val="22"/>
          <w:szCs w:val="22"/>
        </w:rPr>
        <w:t>数据库是目前欧美各国广泛使用于全球上市公司证券投资分析、企业战略经营分析、跨国企业转让定价、公司财务分析等领域的著名实证分析数据库。目前，中国税务主管机关在转让定价调查审计中也使用该数据库。</w:t>
      </w:r>
    </w:p>
    <w:p>
      <w:pPr>
        <w:pStyle w:val="Heading4"/>
        <w:keepNext/>
        <w:numPr>
          <w:ilvl w:val="3"/>
          <w:numId w:val="17"/>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b w:val="0"/>
          <w:bCs w:val="0"/>
          <w:color w:val="002060"/>
          <w:sz w:val="22"/>
          <w:szCs w:val="22"/>
        </w:rPr>
        <w:t>SIC</w:t>
      </w:r>
      <w:r>
        <w:rPr>
          <w:rFonts w:ascii="仿宋_GB2312" w:eastAsia="仿宋_GB2312" w:hAnsi="仿宋_GB2312" w:cs="仿宋_GB2312"/>
          <w:b w:val="0"/>
          <w:bCs w:val="0"/>
          <w:color w:val="002060"/>
          <w:sz w:val="22"/>
          <w:szCs w:val="22"/>
        </w:rPr>
        <w:t>编码及地区的选择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根据</w:t>
      </w: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20</w:t>
      </w:r>
      <w:r>
        <w:rPr>
          <w:rFonts w:ascii="仿宋_GB2312" w:eastAsia="仿宋_GB2312" w:hAnsi="仿宋_GB2312" w:cs="仿宋_GB2312"/>
          <w:sz w:val="22"/>
          <w:szCs w:val="22"/>
        </w:rPr>
        <w:t>条规定，应用交易净利润法进行可比性分析应特别考察关联交易与非关联交易之间在例如执行功能、承担风险和使用资产等各方面的可比性因素。由于</w:t>
      </w:r>
      <w:r>
        <w:rPr>
          <w:rFonts w:ascii="Arial Narrow" w:eastAsia="Arial Narrow" w:hAnsi="Arial Narrow" w:cs="Arial Narrow"/>
          <w:sz w:val="22"/>
          <w:szCs w:val="22"/>
        </w:rPr>
        <w:t>SIC</w:t>
      </w:r>
      <w:r>
        <w:rPr>
          <w:rFonts w:ascii="仿宋_GB2312" w:eastAsia="仿宋_GB2312" w:hAnsi="仿宋_GB2312" w:cs="仿宋_GB2312"/>
          <w:sz w:val="22"/>
          <w:szCs w:val="22"/>
        </w:rPr>
        <w:t>的分类方法是基于企业在功能及产品的可比性制定的，因此，</w:t>
      </w:r>
      <w:r>
        <w:rPr>
          <w:rFonts w:ascii="Arial Narrow" w:eastAsia="Arial Narrow" w:hAnsi="Arial Narrow" w:cs="Arial Narrow"/>
          <w:sz w:val="22"/>
          <w:szCs w:val="22"/>
        </w:rPr>
        <w:t>SIC</w:t>
      </w:r>
      <w:r>
        <w:rPr>
          <w:rFonts w:ascii="仿宋_GB2312" w:eastAsia="仿宋_GB2312" w:hAnsi="仿宋_GB2312" w:cs="仿宋_GB2312"/>
          <w:sz w:val="22"/>
          <w:szCs w:val="22"/>
        </w:rPr>
        <w:t>编码是用来初步搜寻潜在可比公司的一个有效的筛选标准。</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我们对美国</w:t>
      </w:r>
      <w:r>
        <w:rPr>
          <w:rFonts w:ascii="Arial Narrow" w:eastAsia="Arial Narrow" w:hAnsi="Arial Narrow" w:cs="Arial Narrow"/>
          <w:sz w:val="22"/>
          <w:szCs w:val="22"/>
        </w:rPr>
        <w:t>SIC</w:t>
      </w:r>
      <w:r>
        <w:rPr>
          <w:rFonts w:ascii="仿宋_GB2312" w:eastAsia="仿宋_GB2312" w:hAnsi="仿宋_GB2312" w:cs="仿宋_GB2312"/>
          <w:sz w:val="22"/>
          <w:szCs w:val="22"/>
        </w:rPr>
        <w:t>编码列表进行了全面查阅，并选择了最合适的</w:t>
      </w:r>
      <w:r>
        <w:rPr>
          <w:rFonts w:ascii="Arial Narrow" w:eastAsia="Arial Narrow" w:hAnsi="Arial Narrow" w:cs="Arial Narrow"/>
          <w:sz w:val="22"/>
          <w:szCs w:val="22"/>
        </w:rPr>
        <w:t>SIC</w:t>
      </w:r>
      <w:r>
        <w:rPr>
          <w:rFonts w:ascii="仿宋_GB2312" w:eastAsia="仿宋_GB2312" w:hAnsi="仿宋_GB2312" w:cs="仿宋_GB2312"/>
          <w:sz w:val="22"/>
          <w:szCs w:val="22"/>
        </w:rPr>
        <w:t>编码（见下图表）来搜寻与</w:t>
      </w:r>
      <w:r>
        <w:rPr>
          <w:rFonts w:ascii="Arial Narrow" w:eastAsia="Arial Narrow" w:hAnsi="Arial Narrow" w:cs="Arial Narrow"/>
          <w:sz w:val="22"/>
          <w:szCs w:val="22"/>
        </w:rPr>
        <w:t>远化物流</w:t>
      </w:r>
      <w:r>
        <w:rPr>
          <w:rFonts w:ascii="仿宋_GB2312" w:eastAsia="仿宋_GB2312" w:hAnsi="仿宋_GB2312" w:cs="仿宋_GB2312"/>
          <w:sz w:val="22"/>
          <w:szCs w:val="22"/>
        </w:rPr>
        <w:t>的关联企业在制造活动中承担的职能宽泛可比的潜在可比公司。</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20</w:t>
      </w:r>
      <w:r>
        <w:rPr>
          <w:rFonts w:ascii="仿宋" w:eastAsia="仿宋" w:hAnsi="仿宋" w:cs="仿宋"/>
          <w:b/>
          <w:bCs/>
          <w:sz w:val="22"/>
          <w:szCs w:val="22"/>
        </w:rPr>
        <w:t>：SIC编码的选择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通过以上图表中所选定的</w:t>
      </w:r>
      <w:r>
        <w:rPr>
          <w:rFonts w:ascii="Arial Narrow" w:eastAsia="Arial Narrow" w:hAnsi="Arial Narrow" w:cs="Arial Narrow"/>
          <w:sz w:val="22"/>
          <w:szCs w:val="22"/>
        </w:rPr>
        <w:t>SIC</w:t>
      </w:r>
      <w:r>
        <w:rPr>
          <w:rFonts w:ascii="仿宋_GB2312" w:eastAsia="仿宋_GB2312" w:hAnsi="仿宋_GB2312" w:cs="仿宋_GB2312"/>
          <w:sz w:val="22"/>
          <w:szCs w:val="22"/>
        </w:rPr>
        <w:t>编码，我们在</w:t>
      </w:r>
      <w:r>
        <w:rPr>
          <w:rFonts w:ascii="Arial Narrow" w:eastAsia="Arial Narrow" w:hAnsi="Arial Narrow" w:cs="Arial Narrow"/>
          <w:sz w:val="22"/>
          <w:szCs w:val="22"/>
        </w:rPr>
        <w:t>TP Catalyst</w:t>
      </w:r>
      <w:r>
        <w:rPr>
          <w:rFonts w:ascii="仿宋_GB2312" w:eastAsia="仿宋_GB2312" w:hAnsi="仿宋_GB2312" w:cs="仿宋_GB2312"/>
          <w:sz w:val="22"/>
          <w:szCs w:val="22"/>
        </w:rPr>
        <w:t>数据库中进行了初步搜索，通过这种</w:t>
      </w:r>
      <w:r>
        <w:rPr>
          <w:rFonts w:ascii="Arial Narrow" w:eastAsia="Arial Narrow" w:hAnsi="Arial Narrow" w:cs="Arial Narrow"/>
          <w:sz w:val="22"/>
          <w:szCs w:val="22"/>
        </w:rPr>
        <w:t>SIC</w:t>
      </w:r>
      <w:r>
        <w:rPr>
          <w:rFonts w:ascii="仿宋_GB2312" w:eastAsia="仿宋_GB2312" w:hAnsi="仿宋_GB2312" w:cs="仿宋_GB2312"/>
          <w:sz w:val="22"/>
          <w:szCs w:val="22"/>
        </w:rPr>
        <w:t>编码的筛选，我们得到了一部分潜在的可比公司。</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通过对</w:t>
      </w:r>
      <w:r>
        <w:rPr>
          <w:rFonts w:ascii="Arial Narrow" w:eastAsia="Arial Narrow" w:hAnsi="Arial Narrow" w:cs="Arial Narrow"/>
          <w:sz w:val="22"/>
          <w:szCs w:val="22"/>
        </w:rPr>
        <w:t>远化物流</w:t>
      </w:r>
      <w:r>
        <w:rPr>
          <w:rFonts w:ascii="仿宋_GB2312" w:eastAsia="仿宋_GB2312" w:hAnsi="仿宋_GB2312" w:cs="仿宋_GB2312"/>
          <w:sz w:val="22"/>
          <w:szCs w:val="22"/>
        </w:rPr>
        <w:t>地理位置及商业描述的分析，我们将搜索范围确定在远东和中亚地区，包括：</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通过这种地理位置筛选，我们得到了</w:t>
      </w:r>
      <w:r>
        <w:rPr>
          <w:rFonts w:ascii="Arial Narrow" w:eastAsia="Arial Narrow" w:hAnsi="Arial Narrow" w:cs="Arial Narrow"/>
          <w:sz w:val="22"/>
          <w:szCs w:val="22"/>
        </w:rPr>
        <w:t>432</w:t>
      </w:r>
      <w:r>
        <w:rPr>
          <w:rFonts w:ascii="仿宋_GB2312" w:eastAsia="仿宋_GB2312" w:hAnsi="仿宋_GB2312" w:cs="仿宋_GB2312"/>
          <w:sz w:val="22"/>
          <w:szCs w:val="22"/>
        </w:rPr>
        <w:t>家可比公司。</w:t>
      </w:r>
    </w:p>
    <w:p>
      <w:pPr>
        <w:pStyle w:val="Heading4"/>
        <w:keepNext/>
        <w:numPr>
          <w:ilvl w:val="3"/>
          <w:numId w:val="17"/>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独立性和上市公司筛选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受控企业或者非独立企业的交易价格或利润水平可能会受到其与关联公司之间进行的可能违反独立交易原则的交易的影响而发生扭曲。因此，我们采用了</w:t>
      </w:r>
      <w:r>
        <w:rPr>
          <w:rFonts w:ascii="Arial Narrow" w:eastAsia="Arial Narrow" w:hAnsi="Arial Narrow" w:cs="Arial Narrow"/>
          <w:sz w:val="22"/>
          <w:szCs w:val="22"/>
        </w:rPr>
        <w:t>Bureau van Dijk</w:t>
      </w:r>
      <w:r>
        <w:rPr>
          <w:rFonts w:ascii="仿宋_GB2312" w:eastAsia="仿宋_GB2312" w:hAnsi="仿宋_GB2312" w:cs="仿宋_GB2312"/>
          <w:sz w:val="22"/>
          <w:szCs w:val="22"/>
        </w:rPr>
        <w:t>的独立性指标，来排除那些可能被认定为非独立性的公司。</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我们保留了</w:t>
      </w:r>
      <w:r>
        <w:rPr>
          <w:rFonts w:ascii="Arial Narrow" w:eastAsia="Arial Narrow" w:hAnsi="Arial Narrow" w:cs="Arial Narrow"/>
          <w:sz w:val="22"/>
          <w:szCs w:val="22"/>
        </w:rPr>
        <w:t>131</w:t>
      </w:r>
      <w:r>
        <w:rPr>
          <w:rFonts w:ascii="仿宋_GB2312" w:eastAsia="仿宋_GB2312" w:hAnsi="仿宋_GB2312" w:cs="仿宋_GB2312"/>
          <w:sz w:val="22"/>
          <w:szCs w:val="22"/>
        </w:rPr>
        <w:t>家被标注为如下股权关系的上市公司：</w:t>
      </w:r>
    </w:p>
    <w:p>
      <w:pPr>
        <w:pStyle w:val="BodyText"/>
        <w:numPr>
          <w:ilvl w:val="0"/>
          <w:numId w:val="18"/>
        </w:numPr>
        <w:tabs>
          <w:tab w:val="left" w:pos="1031"/>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sz w:val="22"/>
          <w:szCs w:val="22"/>
        </w:rPr>
        <w:t>A+</w:t>
      </w:r>
      <w:r>
        <w:rPr>
          <w:rFonts w:ascii="仿宋_GB2312" w:eastAsia="仿宋_GB2312" w:hAnsi="仿宋_GB2312" w:cs="仿宋_GB2312"/>
          <w:sz w:val="22"/>
          <w:szCs w:val="22"/>
        </w:rPr>
        <w:t>，</w:t>
      </w:r>
      <w:r>
        <w:rPr>
          <w:rFonts w:ascii="Arial Narrow" w:eastAsia="Arial Narrow" w:hAnsi="Arial Narrow" w:cs="Arial Narrow"/>
          <w:sz w:val="22"/>
          <w:szCs w:val="22"/>
        </w:rPr>
        <w:t>A</w:t>
      </w:r>
      <w:r>
        <w:rPr>
          <w:rFonts w:ascii="仿宋_GB2312" w:eastAsia="仿宋_GB2312" w:hAnsi="仿宋_GB2312" w:cs="仿宋_GB2312"/>
          <w:sz w:val="22"/>
          <w:szCs w:val="22"/>
        </w:rPr>
        <w:t>，</w:t>
      </w:r>
      <w:r>
        <w:rPr>
          <w:rFonts w:ascii="Arial Narrow" w:eastAsia="Arial Narrow" w:hAnsi="Arial Narrow" w:cs="Arial Narrow"/>
          <w:sz w:val="22"/>
          <w:szCs w:val="22"/>
        </w:rPr>
        <w:t>A-</w:t>
      </w:r>
      <w:r>
        <w:rPr>
          <w:rFonts w:ascii="仿宋_GB2312" w:eastAsia="仿宋_GB2312" w:hAnsi="仿宋_GB2312" w:cs="仿宋_GB2312"/>
          <w:sz w:val="22"/>
          <w:szCs w:val="22"/>
        </w:rPr>
        <w:t>：表明没有任何单个股东控制该公司的股份超过</w:t>
      </w:r>
      <w:r>
        <w:rPr>
          <w:rFonts w:ascii="Arial Narrow" w:eastAsia="Arial Narrow" w:hAnsi="Arial Narrow" w:cs="Arial Narrow"/>
          <w:sz w:val="22"/>
          <w:szCs w:val="22"/>
        </w:rPr>
        <w:t>25%</w:t>
      </w:r>
      <w:r>
        <w:rPr>
          <w:rFonts w:ascii="仿宋_GB2312" w:eastAsia="仿宋_GB2312" w:hAnsi="仿宋_GB2312" w:cs="仿宋_GB2312"/>
          <w:sz w:val="22"/>
          <w:szCs w:val="22"/>
        </w:rPr>
        <w:t>；</w:t>
      </w:r>
    </w:p>
    <w:p>
      <w:pPr>
        <w:pStyle w:val="BodyText"/>
        <w:numPr>
          <w:ilvl w:val="0"/>
          <w:numId w:val="18"/>
        </w:numPr>
        <w:tabs>
          <w:tab w:val="left" w:pos="1031"/>
        </w:tabs>
        <w:spacing w:before="120" w:after="120" w:line="360" w:lineRule="auto"/>
        <w:ind w:left="979" w:right="113" w:hanging="420"/>
        <w:jc w:val="both"/>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Arial Narrow" w:eastAsia="Arial Narrow" w:hAnsi="Arial Narrow" w:cs="Arial Narrow"/>
          <w:sz w:val="22"/>
          <w:szCs w:val="22"/>
        </w:rPr>
        <w:t>U</w:t>
      </w:r>
      <w:r>
        <w:rPr>
          <w:rFonts w:ascii="仿宋_GB2312" w:eastAsia="仿宋_GB2312" w:hAnsi="仿宋_GB2312" w:cs="仿宋_GB2312"/>
          <w:sz w:val="22"/>
          <w:szCs w:val="22"/>
        </w:rPr>
        <w:t>：表明持股不详。</w:t>
      </w:r>
    </w:p>
    <w:p>
      <w:pPr>
        <w:pStyle w:val="Heading4"/>
        <w:keepNext/>
        <w:numPr>
          <w:ilvl w:val="3"/>
          <w:numId w:val="17"/>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定量筛选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我们将</w:t>
      </w:r>
      <w:r>
        <w:rPr>
          <w:rFonts w:ascii="Arial Narrow" w:eastAsia="Arial Narrow" w:hAnsi="Arial Narrow" w:cs="Arial Narrow"/>
          <w:sz w:val="22"/>
          <w:szCs w:val="22"/>
        </w:rPr>
        <w:t>131</w:t>
      </w:r>
      <w:r>
        <w:rPr>
          <w:rFonts w:ascii="仿宋_GB2312" w:eastAsia="仿宋_GB2312" w:hAnsi="仿宋_GB2312" w:cs="仿宋_GB2312"/>
          <w:sz w:val="22"/>
          <w:szCs w:val="22"/>
        </w:rPr>
        <w:t>家样本公司中在</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财年内满足以下一项或多项特征的样本公司予以排除，从而提高潜在可比</w:t>
      </w:r>
      <w:r>
        <w:rPr>
          <w:rFonts w:ascii="Arial Narrow" w:eastAsia="Arial Narrow" w:hAnsi="Arial Narrow" w:cs="Arial Narrow"/>
          <w:sz w:val="22"/>
          <w:szCs w:val="22"/>
        </w:rPr>
        <w:t>=</w:t>
      </w:r>
      <w:r>
        <w:rPr>
          <w:rFonts w:ascii="仿宋_GB2312" w:eastAsia="仿宋_GB2312" w:hAnsi="仿宋_GB2312" w:cs="仿宋_GB2312"/>
          <w:sz w:val="22"/>
          <w:szCs w:val="22"/>
        </w:rPr>
        <w:t>公司样本的可比性：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b/>
          <w:bCs/>
          <w:sz w:val="22"/>
          <w:szCs w:val="22"/>
        </w:rPr>
        <w:t>数据完整性：</w:t>
      </w:r>
      <w:r>
        <w:rPr>
          <w:rFonts w:ascii="仿宋_GB2312" w:eastAsia="仿宋_GB2312" w:hAnsi="仿宋_GB2312" w:cs="仿宋_GB2312"/>
          <w:sz w:val="22"/>
          <w:szCs w:val="22"/>
        </w:rPr>
        <w:t>正如我们将在以下章节</w:t>
      </w:r>
      <w:r>
        <w:rPr>
          <w:rFonts w:ascii="Arial Narrow" w:eastAsia="Arial Narrow" w:hAnsi="Arial Narrow" w:cs="Arial Narrow"/>
          <w:sz w:val="22"/>
          <w:szCs w:val="22"/>
        </w:rPr>
        <w:t>7.4.4.2</w:t>
      </w:r>
      <w:r>
        <w:rPr>
          <w:rFonts w:ascii="仿宋_GB2312" w:eastAsia="仿宋_GB2312" w:hAnsi="仿宋_GB2312" w:cs="仿宋_GB2312"/>
          <w:sz w:val="22"/>
          <w:szCs w:val="22"/>
        </w:rPr>
        <w:t>中所讨论的，使用多年度数据可以降低短期市场波动对转让定价分析的影响。因此，我们排除了那些在</w:t>
      </w:r>
      <w:r>
        <w:rPr>
          <w:rFonts w:ascii="Arial Narrow" w:eastAsia="Arial Narrow" w:hAnsi="Arial Narrow" w:cs="Arial Narrow"/>
          <w:sz w:val="22"/>
          <w:szCs w:val="22"/>
        </w:rPr>
        <w:t>2020</w:t>
      </w:r>
      <w:r>
        <w:rPr>
          <w:rFonts w:ascii="仿宋_GB2312" w:eastAsia="仿宋_GB2312" w:hAnsi="仿宋_GB2312" w:cs="仿宋_GB2312"/>
          <w:sz w:val="22"/>
          <w:szCs w:val="22"/>
        </w:rPr>
        <w:t>年至</w:t>
      </w:r>
      <w:r>
        <w:rPr>
          <w:rFonts w:ascii="Arial Narrow" w:eastAsia="Arial Narrow" w:hAnsi="Arial Narrow" w:cs="Arial Narrow"/>
          <w:sz w:val="22"/>
          <w:szCs w:val="22"/>
        </w:rPr>
        <w:t>2022</w:t>
      </w:r>
      <w:r>
        <w:rPr>
          <w:rFonts w:ascii="仿宋_GB2312" w:eastAsia="仿宋_GB2312" w:hAnsi="仿宋_GB2312" w:cs="仿宋_GB2312"/>
          <w:sz w:val="22"/>
          <w:szCs w:val="22"/>
        </w:rPr>
        <w:t>财年期间，缺少</w:t>
      </w:r>
      <w:r>
        <w:rPr>
          <w:rFonts w:ascii="Arial Narrow" w:eastAsia="Arial Narrow" w:hAnsi="Arial Narrow" w:cs="Arial Narrow"/>
          <w:sz w:val="22"/>
          <w:szCs w:val="22"/>
        </w:rPr>
        <w:t>2</w:t>
      </w:r>
      <w:r>
        <w:rPr>
          <w:rFonts w:ascii="仿宋_GB2312" w:eastAsia="仿宋_GB2312" w:hAnsi="仿宋_GB2312" w:cs="仿宋_GB2312"/>
          <w:sz w:val="22"/>
          <w:szCs w:val="22"/>
        </w:rPr>
        <w:t>年有效财务数据的公司。</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b/>
          <w:bCs/>
          <w:sz w:val="22"/>
          <w:szCs w:val="22"/>
        </w:rPr>
        <w:t>连续亏损：</w:t>
      </w:r>
      <w:r>
        <w:rPr>
          <w:rFonts w:ascii="仿宋_GB2312" w:eastAsia="仿宋_GB2312" w:hAnsi="仿宋_GB2312" w:cs="仿宋_GB2312"/>
          <w:sz w:val="22"/>
          <w:szCs w:val="22"/>
        </w:rPr>
        <w:t>有连续亏损的独立公司对于</w:t>
      </w:r>
      <w:r>
        <w:rPr>
          <w:rFonts w:ascii="Arial Narrow" w:eastAsia="Arial Narrow" w:hAnsi="Arial Narrow" w:cs="Arial Narrow"/>
          <w:sz w:val="22"/>
          <w:szCs w:val="22"/>
        </w:rPr>
        <w:t>远化物流</w:t>
      </w:r>
      <w:r>
        <w:rPr>
          <w:rFonts w:ascii="仿宋_GB2312" w:eastAsia="仿宋_GB2312" w:hAnsi="仿宋_GB2312" w:cs="仿宋_GB2312"/>
          <w:sz w:val="22"/>
          <w:szCs w:val="22"/>
        </w:rPr>
        <w:t>这样持续经营的公司而言，不具备足够的可比性。因此，我们将</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财年期间三年连续经营亏损。</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通过定量筛选，我们排除了总计</w:t>
      </w:r>
      <w:r>
        <w:rPr>
          <w:rFonts w:ascii="Arial Narrow" w:eastAsia="Arial Narrow" w:hAnsi="Arial Narrow" w:cs="Arial Narrow"/>
          <w:sz w:val="22"/>
          <w:szCs w:val="22"/>
        </w:rPr>
        <w:t>29</w:t>
      </w:r>
      <w:r>
        <w:rPr>
          <w:rFonts w:ascii="仿宋_GB2312" w:eastAsia="仿宋_GB2312" w:hAnsi="仿宋_GB2312" w:cs="仿宋_GB2312"/>
          <w:sz w:val="22"/>
          <w:szCs w:val="22"/>
        </w:rPr>
        <w:t>家公司，剩下</w:t>
      </w:r>
      <w:r>
        <w:rPr>
          <w:rFonts w:ascii="Arial Narrow" w:eastAsia="Arial Narrow" w:hAnsi="Arial Narrow" w:cs="Arial Narrow"/>
          <w:sz w:val="22"/>
          <w:szCs w:val="22"/>
        </w:rPr>
        <w:t>102</w:t>
      </w:r>
      <w:r>
        <w:rPr>
          <w:rFonts w:ascii="仿宋_GB2312" w:eastAsia="仿宋_GB2312" w:hAnsi="仿宋_GB2312" w:cs="仿宋_GB2312"/>
          <w:sz w:val="22"/>
          <w:szCs w:val="22"/>
        </w:rPr>
        <w:t>家样本公司。</w:t>
      </w:r>
    </w:p>
    <w:p>
      <w:pPr>
        <w:pStyle w:val="Heading4"/>
        <w:keepNext/>
        <w:numPr>
          <w:ilvl w:val="3"/>
          <w:numId w:val="17"/>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定性筛选</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我们接着审阅了剩下的每一家公司在</w:t>
      </w:r>
      <w:r>
        <w:rPr>
          <w:rFonts w:ascii="Arial Narrow" w:eastAsia="Arial Narrow" w:hAnsi="Arial Narrow" w:cs="Arial Narrow"/>
          <w:sz w:val="22"/>
          <w:szCs w:val="22"/>
        </w:rPr>
        <w:t>TP Catalyst</w:t>
      </w:r>
      <w:r>
        <w:rPr>
          <w:rFonts w:ascii="仿宋_GB2312" w:eastAsia="仿宋_GB2312" w:hAnsi="仿宋_GB2312" w:cs="仿宋_GB2312"/>
          <w:sz w:val="22"/>
          <w:szCs w:val="22"/>
        </w:rPr>
        <w:t>数据库中的业务描述，以此来排除执行的功能（例如，研发，分销，服务等）与</w:t>
      </w:r>
      <w:r>
        <w:rPr>
          <w:rFonts w:ascii="Arial Narrow" w:eastAsia="Arial Narrow" w:hAnsi="Arial Narrow" w:cs="Arial Narrow"/>
          <w:sz w:val="22"/>
          <w:szCs w:val="22"/>
        </w:rPr>
        <w:t>远化物流</w:t>
      </w:r>
      <w:r>
        <w:rPr>
          <w:rFonts w:ascii="仿宋_GB2312" w:eastAsia="仿宋_GB2312" w:hAnsi="仿宋_GB2312" w:cs="仿宋_GB2312"/>
          <w:sz w:val="22"/>
          <w:szCs w:val="22"/>
        </w:rPr>
        <w:t>的在受测关联交易中执行的职能不具有宽泛可比性的公司。</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通过定性筛选，我们排除了总计</w:t>
      </w:r>
      <w:r>
        <w:rPr>
          <w:rFonts w:ascii="Arial Narrow" w:eastAsia="Arial Narrow" w:hAnsi="Arial Narrow" w:cs="Arial Narrow"/>
          <w:sz w:val="22"/>
          <w:szCs w:val="22"/>
        </w:rPr>
        <w:t>91</w:t>
      </w:r>
      <w:r>
        <w:rPr>
          <w:rFonts w:ascii="仿宋_GB2312" w:eastAsia="仿宋_GB2312" w:hAnsi="仿宋_GB2312" w:cs="仿宋_GB2312"/>
          <w:sz w:val="22"/>
          <w:szCs w:val="22"/>
        </w:rPr>
        <w:t>家公司，它们因满足以下一项或多项条件使得它们与</w:t>
      </w:r>
      <w:r>
        <w:rPr>
          <w:rFonts w:ascii="Arial Narrow" w:eastAsia="Arial Narrow" w:hAnsi="Arial Narrow" w:cs="Arial Narrow"/>
          <w:sz w:val="22"/>
          <w:szCs w:val="22"/>
        </w:rPr>
        <w:t>远化物流</w:t>
      </w:r>
      <w:r>
        <w:rPr>
          <w:rFonts w:ascii="仿宋_GB2312" w:eastAsia="仿宋_GB2312" w:hAnsi="仿宋_GB2312" w:cs="仿宋_GB2312"/>
          <w:sz w:val="22"/>
          <w:szCs w:val="22"/>
        </w:rPr>
        <w:t>的关联企业的受测关联交易不具备充足的可比性：</w:t>
      </w:r>
    </w:p>
    <w:p>
      <w:pPr>
        <w:pStyle w:val="BodyText"/>
        <w:numPr>
          <w:ilvl w:val="0"/>
          <w:numId w:val="19"/>
        </w:numPr>
        <w:pBdr>
          <w:left w:val="none" w:sz="0" w:space="10" w:color="auto"/>
        </w:pBdr>
        <w:spacing w:before="120" w:after="120" w:line="360" w:lineRule="auto"/>
        <w:ind w:left="919" w:right="113" w:hanging="565"/>
        <w:jc w:val="both"/>
        <w:rPr>
          <w:rFonts w:ascii="Times New Roman" w:eastAsia="Times New Roman" w:hAnsi="Times New Roman" w:cs="Times New Roman"/>
          <w:sz w:val="22"/>
          <w:szCs w:val="22"/>
        </w:rPr>
      </w:pPr>
      <w:r>
        <w:rPr>
          <w:rFonts w:ascii="仿宋_GB2312" w:eastAsia="仿宋_GB2312" w:hAnsi="仿宋_GB2312" w:cs="仿宋_GB2312"/>
          <w:sz w:val="22"/>
          <w:szCs w:val="22"/>
        </w:rPr>
        <w:t>企业执行的功能与</w:t>
      </w:r>
      <w:r>
        <w:rPr>
          <w:rFonts w:ascii="Arial Narrow" w:eastAsia="Arial Narrow" w:hAnsi="Arial Narrow" w:cs="Arial Narrow"/>
          <w:sz w:val="22"/>
          <w:szCs w:val="22"/>
        </w:rPr>
        <w:t>远化物流</w:t>
      </w:r>
      <w:r>
        <w:rPr>
          <w:rFonts w:ascii="仿宋_GB2312" w:eastAsia="仿宋_GB2312" w:hAnsi="仿宋_GB2312" w:cs="仿宋_GB2312"/>
          <w:sz w:val="22"/>
          <w:szCs w:val="22"/>
        </w:rPr>
        <w:t>存在显著差异；</w:t>
      </w:r>
    </w:p>
    <w:p>
      <w:pPr>
        <w:pStyle w:val="BodyText"/>
        <w:numPr>
          <w:ilvl w:val="0"/>
          <w:numId w:val="19"/>
        </w:numPr>
        <w:pBdr>
          <w:left w:val="none" w:sz="0" w:space="10" w:color="auto"/>
        </w:pBdr>
        <w:spacing w:after="120" w:line="360" w:lineRule="auto"/>
        <w:ind w:left="919" w:right="113" w:hanging="565"/>
        <w:jc w:val="both"/>
        <w:rPr>
          <w:rFonts w:ascii="Times New Roman" w:eastAsia="Times New Roman" w:hAnsi="Times New Roman" w:cs="Times New Roman"/>
          <w:sz w:val="22"/>
          <w:szCs w:val="22"/>
        </w:rPr>
      </w:pPr>
      <w:r>
        <w:rPr>
          <w:rFonts w:ascii="仿宋_GB2312" w:eastAsia="仿宋_GB2312" w:hAnsi="仿宋_GB2312" w:cs="仿宋_GB2312"/>
          <w:sz w:val="22"/>
          <w:szCs w:val="22"/>
        </w:rPr>
        <w:t>企业生产的产品与</w:t>
      </w:r>
      <w:r>
        <w:rPr>
          <w:rFonts w:ascii="Arial Narrow" w:eastAsia="Arial Narrow" w:hAnsi="Arial Narrow" w:cs="Arial Narrow"/>
          <w:sz w:val="22"/>
          <w:szCs w:val="22"/>
        </w:rPr>
        <w:t>远化物流</w:t>
      </w:r>
      <w:r>
        <w:rPr>
          <w:rFonts w:ascii="仿宋_GB2312" w:eastAsia="仿宋_GB2312" w:hAnsi="仿宋_GB2312" w:cs="仿宋_GB2312"/>
          <w:sz w:val="22"/>
          <w:szCs w:val="22"/>
        </w:rPr>
        <w:t>存在显著差异。</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我们最终选定</w:t>
      </w:r>
      <w:r>
        <w:rPr>
          <w:rFonts w:ascii="Arial Narrow" w:eastAsia="Arial Narrow" w:hAnsi="Arial Narrow" w:cs="Arial Narrow"/>
          <w:sz w:val="22"/>
          <w:szCs w:val="22"/>
        </w:rPr>
        <w:t>11</w:t>
      </w:r>
      <w:r>
        <w:rPr>
          <w:rFonts w:ascii="仿宋_GB2312" w:eastAsia="仿宋_GB2312" w:hAnsi="仿宋_GB2312" w:cs="仿宋_GB2312"/>
          <w:sz w:val="22"/>
          <w:szCs w:val="22"/>
        </w:rPr>
        <w:t>家营业地位于远东及中亚地区的公司作为</w:t>
      </w:r>
      <w:r>
        <w:rPr>
          <w:rFonts w:ascii="Arial Narrow" w:eastAsia="Arial Narrow" w:hAnsi="Arial Narrow" w:cs="Arial Narrow"/>
          <w:sz w:val="22"/>
          <w:szCs w:val="22"/>
        </w:rPr>
        <w:t>远化物流</w:t>
      </w:r>
      <w:r>
        <w:rPr>
          <w:rFonts w:ascii="仿宋_GB2312" w:eastAsia="仿宋_GB2312" w:hAnsi="仿宋_GB2312" w:cs="仿宋_GB2312"/>
          <w:sz w:val="22"/>
          <w:szCs w:val="22"/>
        </w:rPr>
        <w:t>的可比公司。</w:t>
      </w:r>
    </w:p>
    <w:p>
      <w:pPr>
        <w:pStyle w:val="Heading4"/>
        <w:keepNext/>
        <w:numPr>
          <w:ilvl w:val="3"/>
          <w:numId w:val="20"/>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外部可比公司搜寻过程</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393" w:name="_Toc48582807"/>
      <w:bookmarkStart w:id="394" w:name="_Toc48399708"/>
      <w:bookmarkStart w:id="395" w:name="_Toc48583195"/>
      <w:bookmarkStart w:id="396" w:name="_Toc48582724"/>
      <w:bookmarkStart w:id="397" w:name="_Toc48399738"/>
      <w:bookmarkStart w:id="398" w:name="_Toc48582806"/>
      <w:bookmarkStart w:id="399" w:name="_Toc48582701"/>
      <w:bookmarkStart w:id="400" w:name="_Toc48582810"/>
      <w:bookmarkStart w:id="401" w:name="_Toc48582687"/>
      <w:bookmarkStart w:id="402" w:name="_Toc48583139"/>
      <w:bookmarkStart w:id="403" w:name="_Toc48582685"/>
      <w:bookmarkStart w:id="404" w:name="_Toc48583100"/>
      <w:bookmarkStart w:id="405" w:name="_Toc48582723"/>
      <w:bookmarkStart w:id="406" w:name="_Toc48582809"/>
      <w:bookmarkStart w:id="407" w:name="_Toc48583103"/>
      <w:bookmarkStart w:id="408" w:name="_Toc48582782"/>
      <w:bookmarkStart w:id="409" w:name="_Toc48399731"/>
      <w:bookmarkStart w:id="410" w:name="_Toc48399739"/>
      <w:bookmarkStart w:id="411" w:name="_Toc48582895"/>
      <w:bookmarkStart w:id="412" w:name="_Toc48582718"/>
      <w:bookmarkStart w:id="413" w:name="_Toc48399721"/>
      <w:bookmarkStart w:id="414" w:name="_Toc48583136"/>
      <w:bookmarkStart w:id="415" w:name="_Toc48399713"/>
      <w:bookmarkStart w:id="416" w:name="_Toc48583189"/>
      <w:bookmarkStart w:id="417" w:name="_Toc48399734"/>
      <w:bookmarkStart w:id="418" w:name="_Toc48399723"/>
      <w:bookmarkStart w:id="419" w:name="_Toc48583132"/>
      <w:bookmarkStart w:id="420" w:name="_Toc48583220"/>
      <w:bookmarkStart w:id="421" w:name="_Toc48582682"/>
      <w:bookmarkStart w:id="422" w:name="_Toc48583098"/>
      <w:bookmarkStart w:id="423" w:name="_Toc48583215"/>
      <w:bookmarkStart w:id="424" w:name="_Toc48399789"/>
      <w:bookmarkStart w:id="425" w:name="_Toc48399736"/>
      <w:bookmarkStart w:id="426" w:name="_Toc48583113"/>
      <w:bookmarkStart w:id="427" w:name="_Toc48583123"/>
      <w:bookmarkStart w:id="428" w:name="_Toc48399695"/>
      <w:bookmarkStart w:id="429" w:name="_Toc48582690"/>
      <w:bookmarkStart w:id="430" w:name="_Toc48399712"/>
      <w:bookmarkStart w:id="431" w:name="_Toc48582808"/>
      <w:bookmarkStart w:id="432" w:name="_Toc48583104"/>
      <w:bookmarkStart w:id="433" w:name="_Toc48583222"/>
      <w:bookmarkStart w:id="434" w:name="_Toc48399704"/>
      <w:bookmarkStart w:id="435" w:name="_Toc48582726"/>
      <w:bookmarkStart w:id="436" w:name="_Toc48583121"/>
      <w:bookmarkStart w:id="437" w:name="_Toc48583221"/>
      <w:bookmarkStart w:id="438" w:name="_Toc48583137"/>
      <w:bookmarkStart w:id="439" w:name="_Toc48399703"/>
      <w:bookmarkStart w:id="440" w:name="_Toc48583095"/>
      <w:bookmarkStart w:id="441" w:name="_Toc48582776"/>
      <w:bookmarkStart w:id="442" w:name="_Toc48399821"/>
      <w:bookmarkStart w:id="443" w:name="_Toc48399822"/>
      <w:bookmarkStart w:id="444" w:name="_Toc48399823"/>
      <w:bookmarkStart w:id="445" w:name="_Toc48399820"/>
      <w:bookmarkStart w:id="446" w:name="_Toc48399795"/>
      <w:bookmarkStart w:id="447" w:name="_Toc48399815"/>
      <w:bookmarkStart w:id="448" w:name="_Toc48583308"/>
      <w:bookmarkStart w:id="449" w:name="_Toc48399714"/>
      <w:bookmarkStart w:id="450" w:name="_Toc48583223"/>
      <w:bookmarkStart w:id="451" w:name="_Toc48582802"/>
      <w:bookmarkStart w:id="452" w:name="_Toc48583134"/>
      <w:bookmarkStart w:id="453" w:name="_Toc48582695"/>
      <w:bookmarkStart w:id="454" w:name="_Toc48583112"/>
      <w:bookmarkStart w:id="455" w:name="_Toc48582699"/>
      <w:bookmarkStart w:id="456" w:name="_Toc48399698"/>
      <w:bookmarkStart w:id="457" w:name="_Toc48583114"/>
      <w:bookmarkStart w:id="458" w:name="_Toc48399737"/>
      <w:bookmarkStart w:id="459" w:name="_Toc48582708"/>
      <w:bookmarkStart w:id="460" w:name="_Toc48399701"/>
      <w:bookmarkStart w:id="461" w:name="_Toc48582691"/>
      <w:bookmarkStart w:id="462" w:name="_Toc48399732"/>
      <w:bookmarkStart w:id="463" w:name="_Toc48582719"/>
      <w:bookmarkStart w:id="464" w:name="_Toc48582721"/>
      <w:bookmarkStart w:id="465" w:name="_Toc48399700"/>
      <w:bookmarkStart w:id="466" w:name="_Toc48583108"/>
      <w:bookmarkStart w:id="467" w:name="_Toc48583131"/>
      <w:bookmarkStart w:id="468" w:name="_Toc48582725"/>
      <w:bookmarkStart w:id="469" w:name="_Toc48583138"/>
      <w:bookmarkStart w:id="470" w:name="_Toc48582688"/>
      <w:bookmarkStart w:id="471" w:name="_Toc48583101"/>
      <w:bookmarkStart w:id="472" w:name="_Toc48582710"/>
      <w:bookmarkStart w:id="473" w:name="_Toc48399819"/>
      <w:bookmarkStart w:id="474" w:name="_Toc48582700"/>
      <w:bookmarkStart w:id="475" w:name="_Toc48399908"/>
      <w:bookmarkStart w:id="476" w:name="_Toc48583219"/>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r>
        <w:rPr>
          <w:rFonts w:ascii="仿宋_GB2312" w:eastAsia="仿宋_GB2312" w:hAnsi="仿宋_GB2312" w:cs="仿宋_GB2312"/>
          <w:sz w:val="22"/>
          <w:szCs w:val="22"/>
        </w:rPr>
        <w:t>搜索策略和结果如下：</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21</w:t>
      </w:r>
      <w:r>
        <w:rPr>
          <w:rFonts w:ascii="仿宋" w:eastAsia="仿宋" w:hAnsi="仿宋" w:cs="仿宋"/>
          <w:b/>
          <w:bCs/>
          <w:sz w:val="22"/>
          <w:szCs w:val="22"/>
        </w:rPr>
        <w:t>：可比公司搜索表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选定的</w:t>
      </w:r>
      <w:r>
        <w:rPr>
          <w:rFonts w:ascii="Arial Narrow" w:eastAsia="Arial Narrow" w:hAnsi="Arial Narrow" w:cs="Arial Narrow"/>
          <w:sz w:val="22"/>
          <w:szCs w:val="22"/>
        </w:rPr>
        <w:t>11</w:t>
      </w:r>
      <w:r>
        <w:rPr>
          <w:rFonts w:ascii="仿宋_GB2312" w:eastAsia="仿宋_GB2312" w:hAnsi="仿宋_GB2312" w:cs="仿宋_GB2312"/>
          <w:sz w:val="22"/>
          <w:szCs w:val="22"/>
        </w:rPr>
        <w:t>家公司的简要业务描述，请见附件</w:t>
      </w:r>
      <w:r>
        <w:rPr>
          <w:rFonts w:ascii="Arial Narrow" w:eastAsia="Arial Narrow" w:hAnsi="Arial Narrow" w:cs="Arial Narrow"/>
          <w:sz w:val="22"/>
          <w:szCs w:val="22"/>
        </w:rPr>
        <w:t>3</w:t>
      </w:r>
      <w:r>
        <w:rPr>
          <w:rFonts w:ascii="仿宋_GB2312" w:eastAsia="仿宋_GB2312" w:hAnsi="仿宋_GB2312" w:cs="仿宋_GB2312"/>
          <w:sz w:val="22"/>
          <w:szCs w:val="22"/>
        </w:rPr>
        <w:t>。</w:t>
      </w:r>
    </w:p>
    <w:p>
      <w:pPr>
        <w:pStyle w:val="Heading3"/>
        <w:numPr>
          <w:ilvl w:val="2"/>
          <w:numId w:val="1"/>
        </w:numPr>
      </w:pPr>
      <w:bookmarkStart w:id="477" w:name="_Toc256003265"/>
      <w:r>
        <w:t>可比公司利润水平</w:t>
      </w:r>
      <w:bookmarkEnd w:id="477"/>
    </w:p>
    <w:p>
      <w:pPr>
        <w:pStyle w:val="Heading4"/>
        <w:keepNext/>
        <w:numPr>
          <w:ilvl w:val="3"/>
          <w:numId w:val="2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利润水平指标的选择</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利润水平指标是衡量利润与产品销售额、发生的成本或所运用的资产之间关系的财务比率。利润水平指标的选择是否恰当取决于被测试方经营活动的性质以及可比企业数据的可靠性。</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根据</w:t>
      </w: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20</w:t>
      </w:r>
      <w:r>
        <w:rPr>
          <w:rFonts w:ascii="仿宋_GB2312" w:eastAsia="仿宋_GB2312" w:hAnsi="仿宋_GB2312" w:cs="仿宋_GB2312"/>
          <w:sz w:val="22"/>
          <w:szCs w:val="22"/>
        </w:rPr>
        <w:t>条的规定，交易净利润法以可比非关联交易的利润指标确定关联交易的利润。利润指标包括息税前利润率、完全成本加成率、资产收益率、贝里比率等。具体计算公式如下：</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478" w:name="No100_T20K1X1"/>
      <w:bookmarkEnd w:id="478"/>
      <w:r>
        <w:rPr>
          <w:rFonts w:ascii="仿宋_GB2312" w:eastAsia="仿宋_GB2312" w:hAnsi="仿宋_GB2312" w:cs="仿宋_GB2312"/>
          <w:sz w:val="22"/>
          <w:szCs w:val="22"/>
        </w:rPr>
        <w:t>（一）息税前利润率</w:t>
      </w:r>
      <w:r>
        <w:rPr>
          <w:rFonts w:ascii="Arial Narrow" w:eastAsia="Arial Narrow" w:hAnsi="Arial Narrow" w:cs="Arial Narrow"/>
          <w:sz w:val="22"/>
          <w:szCs w:val="22"/>
        </w:rPr>
        <w:t>=</w:t>
      </w:r>
      <w:r>
        <w:rPr>
          <w:rFonts w:ascii="仿宋_GB2312" w:eastAsia="仿宋_GB2312" w:hAnsi="仿宋_GB2312" w:cs="仿宋_GB2312"/>
          <w:sz w:val="22"/>
          <w:szCs w:val="22"/>
        </w:rPr>
        <w:t>息税前利润</w:t>
      </w:r>
      <w:r>
        <w:rPr>
          <w:rFonts w:ascii="Arial Narrow" w:eastAsia="Arial Narrow" w:hAnsi="Arial Narrow" w:cs="Arial Narrow"/>
          <w:sz w:val="22"/>
          <w:szCs w:val="22"/>
        </w:rPr>
        <w:t>/</w:t>
      </w:r>
      <w:r>
        <w:rPr>
          <w:rFonts w:ascii="仿宋_GB2312" w:eastAsia="仿宋_GB2312" w:hAnsi="仿宋_GB2312" w:cs="仿宋_GB2312"/>
          <w:sz w:val="22"/>
          <w:szCs w:val="22"/>
        </w:rPr>
        <w:t>营业收入</w:t>
      </w:r>
      <w:r>
        <w:rPr>
          <w:rFonts w:ascii="Arial Narrow" w:eastAsia="Arial Narrow" w:hAnsi="Arial Narrow" w:cs="Arial Narrow"/>
          <w:sz w:val="22"/>
          <w:szCs w:val="22"/>
        </w:rPr>
        <w:t>×100%</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479" w:name="No101_T20K1X2"/>
      <w:bookmarkEnd w:id="479"/>
      <w:r>
        <w:rPr>
          <w:rFonts w:ascii="仿宋_GB2312" w:eastAsia="仿宋_GB2312" w:hAnsi="仿宋_GB2312" w:cs="仿宋_GB2312"/>
          <w:sz w:val="22"/>
          <w:szCs w:val="22"/>
        </w:rPr>
        <w:t>（二）完全成本加成率</w:t>
      </w:r>
      <w:r>
        <w:rPr>
          <w:rFonts w:ascii="Arial Narrow" w:eastAsia="Arial Narrow" w:hAnsi="Arial Narrow" w:cs="Arial Narrow"/>
          <w:sz w:val="22"/>
          <w:szCs w:val="22"/>
        </w:rPr>
        <w:t>=</w:t>
      </w:r>
      <w:r>
        <w:rPr>
          <w:rFonts w:ascii="仿宋_GB2312" w:eastAsia="仿宋_GB2312" w:hAnsi="仿宋_GB2312" w:cs="仿宋_GB2312"/>
          <w:sz w:val="22"/>
          <w:szCs w:val="22"/>
        </w:rPr>
        <w:t>息税前利润</w:t>
      </w:r>
      <w:r>
        <w:rPr>
          <w:rFonts w:ascii="Arial Narrow" w:eastAsia="Arial Narrow" w:hAnsi="Arial Narrow" w:cs="Arial Narrow"/>
          <w:sz w:val="22"/>
          <w:szCs w:val="22"/>
        </w:rPr>
        <w:t>/</w:t>
      </w:r>
      <w:r>
        <w:rPr>
          <w:rFonts w:ascii="仿宋_GB2312" w:eastAsia="仿宋_GB2312" w:hAnsi="仿宋_GB2312" w:cs="仿宋_GB2312"/>
          <w:sz w:val="22"/>
          <w:szCs w:val="22"/>
        </w:rPr>
        <w:t>完全成本</w:t>
      </w:r>
      <w:r>
        <w:rPr>
          <w:rFonts w:ascii="Arial Narrow" w:eastAsia="Arial Narrow" w:hAnsi="Arial Narrow" w:cs="Arial Narrow"/>
          <w:sz w:val="22"/>
          <w:szCs w:val="22"/>
        </w:rPr>
        <w:t>×100%</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480" w:name="No102_T20K1X3"/>
      <w:bookmarkEnd w:id="480"/>
      <w:r>
        <w:rPr>
          <w:rFonts w:ascii="仿宋_GB2312" w:eastAsia="仿宋_GB2312" w:hAnsi="仿宋_GB2312" w:cs="仿宋_GB2312"/>
          <w:sz w:val="22"/>
          <w:szCs w:val="22"/>
        </w:rPr>
        <w:t>（三）资产收益率</w:t>
      </w:r>
      <w:r>
        <w:rPr>
          <w:rFonts w:ascii="Arial Narrow" w:eastAsia="Arial Narrow" w:hAnsi="Arial Narrow" w:cs="Arial Narrow"/>
          <w:sz w:val="22"/>
          <w:szCs w:val="22"/>
        </w:rPr>
        <w:t>=</w:t>
      </w:r>
      <w:r>
        <w:rPr>
          <w:rFonts w:ascii="仿宋_GB2312" w:eastAsia="仿宋_GB2312" w:hAnsi="仿宋_GB2312" w:cs="仿宋_GB2312"/>
          <w:sz w:val="22"/>
          <w:szCs w:val="22"/>
        </w:rPr>
        <w:t>息税前利润</w:t>
      </w:r>
      <w:r>
        <w:rPr>
          <w:rFonts w:ascii="Arial Narrow" w:eastAsia="Arial Narrow" w:hAnsi="Arial Narrow" w:cs="Arial Narrow"/>
          <w:sz w:val="22"/>
          <w:szCs w:val="22"/>
        </w:rPr>
        <w:t>/[</w:t>
      </w:r>
      <w:r>
        <w:rPr>
          <w:rFonts w:ascii="仿宋_GB2312" w:eastAsia="仿宋_GB2312" w:hAnsi="仿宋_GB2312" w:cs="仿宋_GB2312"/>
          <w:sz w:val="22"/>
          <w:szCs w:val="22"/>
        </w:rPr>
        <w:t>（年初资产总额</w:t>
      </w:r>
      <w:r>
        <w:rPr>
          <w:rFonts w:ascii="Arial Narrow" w:eastAsia="Arial Narrow" w:hAnsi="Arial Narrow" w:cs="Arial Narrow"/>
          <w:sz w:val="22"/>
          <w:szCs w:val="22"/>
        </w:rPr>
        <w:t>+</w:t>
      </w:r>
      <w:r>
        <w:rPr>
          <w:rFonts w:ascii="仿宋_GB2312" w:eastAsia="仿宋_GB2312" w:hAnsi="仿宋_GB2312" w:cs="仿宋_GB2312"/>
          <w:sz w:val="22"/>
          <w:szCs w:val="22"/>
        </w:rPr>
        <w:t>年末资产总额）</w:t>
      </w:r>
      <w:r>
        <w:rPr>
          <w:rFonts w:ascii="Arial Narrow" w:eastAsia="Arial Narrow" w:hAnsi="Arial Narrow" w:cs="Arial Narrow"/>
          <w:sz w:val="22"/>
          <w:szCs w:val="22"/>
        </w:rPr>
        <w:t>/2]×100%</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481" w:name="No103_T20K1X4"/>
      <w:bookmarkEnd w:id="481"/>
      <w:r>
        <w:rPr>
          <w:rFonts w:ascii="仿宋_GB2312" w:eastAsia="仿宋_GB2312" w:hAnsi="仿宋_GB2312" w:cs="仿宋_GB2312"/>
          <w:sz w:val="22"/>
          <w:szCs w:val="22"/>
        </w:rPr>
        <w:t>（四）贝里比率</w:t>
      </w:r>
      <w:r>
        <w:rPr>
          <w:rFonts w:ascii="Arial Narrow" w:eastAsia="Arial Narrow" w:hAnsi="Arial Narrow" w:cs="Arial Narrow"/>
          <w:sz w:val="22"/>
          <w:szCs w:val="22"/>
        </w:rPr>
        <w:t>=</w:t>
      </w:r>
      <w:r>
        <w:rPr>
          <w:rFonts w:ascii="仿宋_GB2312" w:eastAsia="仿宋_GB2312" w:hAnsi="仿宋_GB2312" w:cs="仿宋_GB2312"/>
          <w:sz w:val="22"/>
          <w:szCs w:val="22"/>
        </w:rPr>
        <w:t>毛利</w:t>
      </w:r>
      <w:r>
        <w:rPr>
          <w:rFonts w:ascii="Arial Narrow" w:eastAsia="Arial Narrow" w:hAnsi="Arial Narrow" w:cs="Arial Narrow"/>
          <w:sz w:val="22"/>
          <w:szCs w:val="22"/>
        </w:rPr>
        <w:t>/</w:t>
      </w:r>
      <w:r>
        <w:rPr>
          <w:rFonts w:ascii="仿宋_GB2312" w:eastAsia="仿宋_GB2312" w:hAnsi="仿宋_GB2312" w:cs="仿宋_GB2312"/>
          <w:sz w:val="22"/>
          <w:szCs w:val="22"/>
        </w:rPr>
        <w:t>（营业费用</w:t>
      </w:r>
      <w:r>
        <w:rPr>
          <w:rFonts w:ascii="Arial Narrow" w:eastAsia="Arial Narrow" w:hAnsi="Arial Narrow" w:cs="Arial Narrow"/>
          <w:sz w:val="22"/>
          <w:szCs w:val="22"/>
        </w:rPr>
        <w:t>+</w:t>
      </w:r>
      <w:r>
        <w:rPr>
          <w:rFonts w:ascii="仿宋_GB2312" w:eastAsia="仿宋_GB2312" w:hAnsi="仿宋_GB2312" w:cs="仿宋_GB2312"/>
          <w:sz w:val="22"/>
          <w:szCs w:val="22"/>
        </w:rPr>
        <w:t>管理费用）</w:t>
      </w:r>
      <w:r>
        <w:rPr>
          <w:rFonts w:ascii="Arial Narrow" w:eastAsia="Arial Narrow" w:hAnsi="Arial Narrow" w:cs="Arial Narrow"/>
          <w:sz w:val="22"/>
          <w:szCs w:val="22"/>
        </w:rPr>
        <w:t>×100%</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完全成本加成率在测试服务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综上所述，我们选择了完全成本加成率作为评估</w:t>
      </w:r>
      <w:r>
        <w:rPr>
          <w:rFonts w:ascii="Arial Narrow" w:eastAsia="Arial Narrow" w:hAnsi="Arial Narrow" w:cs="Arial Narrow"/>
          <w:sz w:val="22"/>
          <w:szCs w:val="22"/>
        </w:rPr>
        <w:t>远化物流</w:t>
      </w:r>
      <w:r>
        <w:rPr>
          <w:rFonts w:ascii="仿宋_GB2312" w:eastAsia="仿宋_GB2312" w:hAnsi="仿宋_GB2312" w:cs="仿宋_GB2312"/>
          <w:sz w:val="22"/>
          <w:szCs w:val="22"/>
        </w:rPr>
        <w:t>受测关联交易是否符合独立交易原则最合理的利润水平指标。</w:t>
      </w:r>
    </w:p>
    <w:p>
      <w:pPr>
        <w:pStyle w:val="Heading4"/>
        <w:keepNext/>
        <w:numPr>
          <w:ilvl w:val="3"/>
          <w:numId w:val="2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多年度数据的使用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转让定价指南》关于使用多个年度的数据给出了如下准则：</w:t>
      </w:r>
      <w:r>
        <w:rPr>
          <w:rFonts w:ascii="Arial Narrow" w:eastAsia="Arial Narrow" w:hAnsi="Arial Narrow" w:cs="Arial Narrow"/>
          <w:sz w:val="22"/>
          <w:szCs w:val="22"/>
        </w:rPr>
        <w:t>“</w:t>
      </w:r>
      <w:r>
        <w:rPr>
          <w:rFonts w:ascii="仿宋_GB2312" w:eastAsia="仿宋_GB2312" w:hAnsi="仿宋_GB2312" w:cs="仿宋_GB2312"/>
          <w:sz w:val="22"/>
          <w:szCs w:val="22"/>
        </w:rPr>
        <w:t>通常，分析受测年度及之前年度的数据可以有助于全面了解受控交易的事实及情况</w:t>
      </w:r>
      <w:r>
        <w:rPr>
          <w:rFonts w:ascii="Arial Narrow" w:eastAsia="Arial Narrow" w:hAnsi="Arial Narrow" w:cs="Arial Narrow"/>
          <w:sz w:val="22"/>
          <w:szCs w:val="22"/>
        </w:rPr>
        <w:t>......</w:t>
      </w:r>
      <w:r>
        <w:rPr>
          <w:rFonts w:ascii="仿宋_GB2312" w:eastAsia="仿宋_GB2312" w:hAnsi="仿宋_GB2312" w:cs="仿宋_GB2312"/>
          <w:sz w:val="22"/>
          <w:szCs w:val="22"/>
        </w:rPr>
        <w:t>这种多年度数据分析在应用交易利润法时可能特别适用</w:t>
      </w:r>
      <w:r>
        <w:rPr>
          <w:rFonts w:ascii="Arial Narrow" w:eastAsia="Arial Narrow" w:hAnsi="Arial Narrow" w:cs="Arial Narrow"/>
          <w:sz w:val="22"/>
          <w:szCs w:val="22"/>
        </w:rPr>
        <w:t>......</w:t>
      </w:r>
      <w:r>
        <w:rPr>
          <w:rFonts w:ascii="仿宋_GB2312" w:eastAsia="仿宋_GB2312" w:hAnsi="仿宋_GB2312" w:cs="仿宋_GB2312"/>
          <w:sz w:val="22"/>
          <w:szCs w:val="22"/>
        </w:rPr>
        <w:t>多年度财务数据还可以有助于了解长期合约。</w:t>
      </w:r>
      <w:r>
        <w:rPr>
          <w:rFonts w:ascii="Arial Narrow" w:eastAsia="Arial Narrow" w:hAnsi="Arial Narrow" w:cs="Arial Narrow"/>
          <w:sz w:val="22"/>
          <w:szCs w:val="22"/>
        </w:rPr>
        <w:t>”</w:t>
      </w:r>
      <w:r>
        <w:rPr>
          <w:rFonts w:ascii="Arial Narrow" w:eastAsia="Arial Narrow" w:hAnsi="Arial Narrow" w:cs="Arial Narrow"/>
          <w:color w:val="000000"/>
          <w:sz w:val="11"/>
          <w:szCs w:val="11"/>
          <w:u w:val="none"/>
          <w:vertAlign w:val="superscript"/>
        </w:rPr>
        <w:footnoteReference w:id="13"/>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[2017]6</w:t>
      </w:r>
      <w:r>
        <w:rPr>
          <w:rFonts w:ascii="仿宋_GB2312" w:eastAsia="仿宋_GB2312" w:hAnsi="仿宋_GB2312" w:cs="仿宋_GB2312"/>
          <w:sz w:val="22"/>
          <w:szCs w:val="22"/>
        </w:rPr>
        <w:t>号公告第</w:t>
      </w:r>
      <w:r>
        <w:rPr>
          <w:rFonts w:ascii="Arial Narrow" w:eastAsia="Arial Narrow" w:hAnsi="Arial Narrow" w:cs="Arial Narrow"/>
          <w:sz w:val="22"/>
          <w:szCs w:val="22"/>
        </w:rPr>
        <w:t>20</w:t>
      </w:r>
      <w:r>
        <w:rPr>
          <w:rFonts w:ascii="仿宋_GB2312" w:eastAsia="仿宋_GB2312" w:hAnsi="仿宋_GB2312" w:cs="仿宋_GB2312"/>
          <w:sz w:val="22"/>
          <w:szCs w:val="22"/>
        </w:rPr>
        <w:t>条特别指出，在使用交易净利润法进行可比性分析时，应特别考察经济周期和产品生命周期。《</w:t>
      </w:r>
      <w:r>
        <w:rPr>
          <w:rFonts w:ascii="Arial Narrow" w:eastAsia="Arial Narrow" w:hAnsi="Arial Narrow" w:cs="Arial Narrow"/>
          <w:sz w:val="22"/>
          <w:szCs w:val="22"/>
        </w:rPr>
        <w:t>OECD</w:t>
      </w:r>
      <w:r>
        <w:rPr>
          <w:rFonts w:ascii="仿宋_GB2312" w:eastAsia="仿宋_GB2312" w:hAnsi="仿宋_GB2312" w:cs="仿宋_GB2312"/>
          <w:sz w:val="22"/>
          <w:szCs w:val="22"/>
        </w:rPr>
        <w:t>转让定价指南》中也就行业和产品生命周期提出了如下准则：</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Arial Narrow" w:eastAsia="Arial Narrow" w:hAnsi="Arial Narrow" w:cs="Arial Narrow"/>
          <w:sz w:val="22"/>
          <w:szCs w:val="22"/>
        </w:rPr>
        <w:t>“</w:t>
      </w:r>
      <w:r>
        <w:rPr>
          <w:rFonts w:ascii="仿宋_GB2312" w:eastAsia="仿宋_GB2312" w:hAnsi="仿宋_GB2312" w:cs="仿宋_GB2312"/>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Arial Narrow" w:hAnsi="Arial Narrow" w:cs="Arial Narrow"/>
          <w:sz w:val="22"/>
          <w:szCs w:val="22"/>
        </w:rPr>
        <w:t>”</w:t>
      </w:r>
      <w:r>
        <w:rPr>
          <w:rFonts w:ascii="Arial Narrow" w:eastAsia="Arial Narrow" w:hAnsi="Arial Narrow" w:cs="Arial Narrow"/>
          <w:color w:val="000000"/>
          <w:sz w:val="11"/>
          <w:szCs w:val="11"/>
          <w:u w:val="none"/>
          <w:vertAlign w:val="superscript"/>
        </w:rPr>
        <w:footnoteReference w:id="14"/>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为了在交易净利润分析中运用多年度数据，我们通过比较</w:t>
      </w:r>
      <w:r>
        <w:rPr>
          <w:rFonts w:ascii="Arial Narrow" w:eastAsia="Arial Narrow" w:hAnsi="Arial Narrow" w:cs="Arial Narrow"/>
          <w:sz w:val="22"/>
          <w:szCs w:val="22"/>
        </w:rPr>
        <w:t>远化物流</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年度受测关联交易的利润水平和可比公司</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财年的加权平均利润水平，来评估</w:t>
      </w:r>
      <w:r>
        <w:rPr>
          <w:rFonts w:ascii="Arial Narrow" w:eastAsia="Arial Narrow" w:hAnsi="Arial Narrow" w:cs="Arial Narrow"/>
          <w:sz w:val="22"/>
          <w:szCs w:val="22"/>
        </w:rPr>
        <w:t>远化物流</w:t>
      </w:r>
      <w:r>
        <w:rPr>
          <w:rFonts w:ascii="仿宋_GB2312" w:eastAsia="仿宋_GB2312" w:hAnsi="仿宋_GB2312" w:cs="仿宋_GB2312"/>
          <w:sz w:val="22"/>
          <w:szCs w:val="22"/>
        </w:rPr>
        <w:t>的受测关联交易是否符合独立交易原则。</w:t>
      </w:r>
    </w:p>
    <w:p>
      <w:pPr>
        <w:pStyle w:val="Heading4"/>
        <w:keepNext/>
        <w:numPr>
          <w:ilvl w:val="3"/>
          <w:numId w:val="21"/>
        </w:numPr>
        <w:tabs>
          <w:tab w:val="left" w:pos="800"/>
        </w:tabs>
        <w:spacing w:before="240" w:after="240"/>
        <w:ind w:left="1080" w:hanging="1080"/>
        <w:jc w:val="both"/>
        <w:outlineLvl w:val="3"/>
        <w:rPr>
          <w:rFonts w:ascii="Times New Roman" w:eastAsia="Times New Roman" w:hAnsi="Times New Roman" w:cs="Times New Roman"/>
          <w:sz w:val="22"/>
          <w:szCs w:val="22"/>
        </w:rPr>
      </w:pPr>
      <w:r>
        <w:rPr>
          <w:rFonts w:ascii="Times New Roman" w:eastAsia="Times New Roman" w:hAnsi="Times New Roman" w:cs="Times New Roman"/>
          <w:b w:val="0"/>
          <w:bCs w:val="0"/>
          <w:i w:val="0"/>
          <w:iCs w:val="0"/>
          <w:smallCaps w:val="0"/>
          <w:sz w:val="14"/>
          <w:szCs w:val="14"/>
        </w:rPr>
        <w:t xml:space="preserve">           </w:t>
      </w:r>
      <w:r>
        <w:rPr>
          <w:rFonts w:ascii="仿宋_GB2312" w:eastAsia="仿宋_GB2312" w:hAnsi="仿宋_GB2312" w:cs="仿宋_GB2312"/>
          <w:b w:val="0"/>
          <w:bCs w:val="0"/>
          <w:color w:val="002060"/>
          <w:sz w:val="22"/>
          <w:szCs w:val="22"/>
        </w:rPr>
        <w:t>独立交易区间</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bookmarkStart w:id="482" w:name="_Toc48317175"/>
      <w:bookmarkStart w:id="483" w:name="_Toc48317558"/>
      <w:r>
        <w:rPr>
          <w:rFonts w:ascii="仿宋_GB2312" w:eastAsia="仿宋_GB2312" w:hAnsi="仿宋_GB2312" w:cs="仿宋_GB2312"/>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Arial Narrow" w:hAnsi="Arial Narrow" w:cs="Arial Narrow"/>
          <w:color w:val="000000"/>
          <w:sz w:val="11"/>
          <w:szCs w:val="11"/>
          <w:u w:val="none"/>
          <w:vertAlign w:val="superscript"/>
        </w:rPr>
        <w:footnoteReference w:id="15"/>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章节</w:t>
      </w:r>
      <w:r>
        <w:rPr>
          <w:rFonts w:ascii="Arial Narrow" w:eastAsia="Arial Narrow" w:hAnsi="Arial Narrow" w:cs="Arial Narrow"/>
          <w:sz w:val="22"/>
          <w:szCs w:val="22"/>
        </w:rPr>
        <w:t>7.4.3.5</w:t>
      </w:r>
      <w:r>
        <w:rPr>
          <w:rFonts w:ascii="仿宋_GB2312" w:eastAsia="仿宋_GB2312" w:hAnsi="仿宋_GB2312" w:cs="仿宋_GB2312"/>
          <w:sz w:val="22"/>
          <w:szCs w:val="22"/>
        </w:rPr>
        <w:t>中所使用的筛选标准旨在寻找和消除对</w:t>
      </w:r>
      <w:r>
        <w:rPr>
          <w:rFonts w:ascii="Arial Narrow" w:eastAsia="Arial Narrow" w:hAnsi="Arial Narrow" w:cs="Arial Narrow"/>
          <w:sz w:val="22"/>
          <w:szCs w:val="22"/>
        </w:rPr>
        <w:t>远化物流</w:t>
      </w:r>
      <w:r>
        <w:rPr>
          <w:rFonts w:ascii="仿宋_GB2312" w:eastAsia="仿宋_GB2312" w:hAnsi="仿宋_GB2312" w:cs="仿宋_GB2312"/>
          <w:sz w:val="22"/>
          <w:szCs w:val="22"/>
        </w:rPr>
        <w:t>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然而应该承认，尽管选定的可比公司已经是可获得的最可比的样本了，在他们与</w:t>
      </w:r>
      <w:r>
        <w:rPr>
          <w:rFonts w:ascii="Arial Narrow" w:eastAsia="Arial Narrow" w:hAnsi="Arial Narrow" w:cs="Arial Narrow"/>
          <w:sz w:val="22"/>
          <w:szCs w:val="22"/>
        </w:rPr>
        <w:t>远化物流</w:t>
      </w:r>
      <w:r>
        <w:rPr>
          <w:rFonts w:ascii="仿宋_GB2312" w:eastAsia="仿宋_GB2312" w:hAnsi="仿宋_GB2312" w:cs="仿宋_GB2312"/>
          <w:sz w:val="22"/>
          <w:szCs w:val="22"/>
        </w:rPr>
        <w:t>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财年期间加权平均完全成本加成率的四分位区间。</w:t>
      </w:r>
      <w:r>
        <w:rPr>
          <w:rFonts w:ascii="Arial Narrow" w:eastAsia="Arial Narrow" w:hAnsi="Arial Narrow" w:cs="Arial Narrow"/>
          <w:color w:val="000000"/>
          <w:sz w:val="11"/>
          <w:szCs w:val="11"/>
          <w:u w:val="none"/>
          <w:vertAlign w:val="superscript"/>
        </w:rPr>
        <w:footnoteReference w:id="16"/>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我们从</w:t>
      </w:r>
      <w:r>
        <w:rPr>
          <w:rFonts w:ascii="Arial Narrow" w:eastAsia="Arial Narrow" w:hAnsi="Arial Narrow" w:cs="Arial Narrow"/>
          <w:sz w:val="22"/>
          <w:szCs w:val="22"/>
        </w:rPr>
        <w:t>TP Catalyst</w:t>
      </w:r>
      <w:r>
        <w:rPr>
          <w:rFonts w:ascii="仿宋_GB2312" w:eastAsia="仿宋_GB2312" w:hAnsi="仿宋_GB2312" w:cs="仿宋_GB2312"/>
          <w:sz w:val="22"/>
          <w:szCs w:val="22"/>
        </w:rPr>
        <w:t>数据库提取了</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财年每家可比公司的损益表中的信息。被选可比公司完全成本加成率计算详见附件</w:t>
      </w:r>
      <w:r>
        <w:rPr>
          <w:rFonts w:ascii="Arial Narrow" w:eastAsia="Arial Narrow" w:hAnsi="Arial Narrow" w:cs="Arial Narrow"/>
          <w:sz w:val="22"/>
          <w:szCs w:val="22"/>
        </w:rPr>
        <w:t>4</w:t>
      </w:r>
      <w:r>
        <w:rPr>
          <w:rFonts w:ascii="仿宋_GB2312" w:eastAsia="仿宋_GB2312" w:hAnsi="仿宋_GB2312" w:cs="仿宋_GB2312"/>
          <w:sz w:val="22"/>
          <w:szCs w:val="22"/>
        </w:rPr>
        <w:t>。</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我们计算了选中的</w:t>
      </w:r>
      <w:r>
        <w:rPr>
          <w:rFonts w:ascii="Arial Narrow" w:eastAsia="Arial Narrow" w:hAnsi="Arial Narrow" w:cs="Arial Narrow"/>
          <w:sz w:val="22"/>
          <w:szCs w:val="22"/>
        </w:rPr>
        <w:t>11</w:t>
      </w:r>
      <w:r>
        <w:rPr>
          <w:rFonts w:ascii="仿宋_GB2312" w:eastAsia="仿宋_GB2312" w:hAnsi="仿宋_GB2312" w:cs="仿宋_GB2312"/>
          <w:sz w:val="22"/>
          <w:szCs w:val="22"/>
        </w:rPr>
        <w:t>家可比公司</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财年加权平均完全成本加成率。如下图所示：</w:t>
      </w:r>
    </w:p>
    <w:p>
      <w:pPr>
        <w:pStyle w:val="BodyText"/>
        <w:numPr>
          <w:ilvl w:val="0"/>
          <w:numId w:val="0"/>
        </w:numPr>
        <w:spacing w:before="0" w:after="0"/>
        <w:ind w:left="420" w:hanging="420"/>
        <w:jc w:val="center"/>
        <w:rPr>
          <w:rFonts w:ascii="Times New Roman" w:eastAsia="Times New Roman" w:hAnsi="Times New Roman" w:cs="Times New Roman"/>
          <w:sz w:val="22"/>
          <w:szCs w:val="22"/>
        </w:rPr>
      </w:pPr>
      <w:r>
        <w:rPr>
          <w:rFonts w:ascii="仿宋" w:eastAsia="仿宋" w:hAnsi="仿宋" w:cs="仿宋"/>
          <w:b/>
          <w:bCs/>
          <w:sz w:val="22"/>
          <w:szCs w:val="22"/>
        </w:rPr>
        <w:t>图表</w:t>
      </w:r>
      <w:r>
        <w:rPr>
          <w:rFonts w:ascii="Arial Narrow" w:eastAsia="Arial Narrow" w:hAnsi="Arial Narrow" w:cs="Arial Narrow"/>
          <w:b/>
          <w:bCs/>
          <w:sz w:val="22"/>
          <w:szCs w:val="22"/>
        </w:rPr>
        <w:t>22</w:t>
      </w:r>
      <w:r>
        <w:rPr>
          <w:rFonts w:ascii="仿宋" w:eastAsia="仿宋" w:hAnsi="仿宋" w:cs="仿宋"/>
          <w:b/>
          <w:bCs/>
          <w:sz w:val="22"/>
          <w:szCs w:val="22"/>
        </w:rPr>
        <w:t>：可比企业完全成本加成率四分位区间表</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通过上述交易净利润法分析，</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财年加权平均完全成本加成率独立交易四分位区间为</w:t>
      </w:r>
      <w:r>
        <w:rPr>
          <w:rFonts w:ascii="Arial Narrow" w:eastAsia="Arial Narrow" w:hAnsi="Arial Narrow" w:cs="Arial Narrow"/>
          <w:sz w:val="22"/>
          <w:szCs w:val="22"/>
        </w:rPr>
        <w:t>2.36%</w:t>
      </w:r>
      <w:r>
        <w:rPr>
          <w:rFonts w:ascii="仿宋_GB2312" w:eastAsia="仿宋_GB2312" w:hAnsi="仿宋_GB2312" w:cs="仿宋_GB2312"/>
          <w:sz w:val="22"/>
          <w:szCs w:val="22"/>
        </w:rPr>
        <w:t>到</w:t>
      </w:r>
      <w:r>
        <w:rPr>
          <w:rFonts w:ascii="Arial Narrow" w:eastAsia="Arial Narrow" w:hAnsi="Arial Narrow" w:cs="Arial Narrow"/>
          <w:sz w:val="22"/>
          <w:szCs w:val="22"/>
        </w:rPr>
        <w:t>6.64%</w:t>
      </w:r>
      <w:r>
        <w:rPr>
          <w:rFonts w:ascii="仿宋_GB2312" w:eastAsia="仿宋_GB2312" w:hAnsi="仿宋_GB2312" w:cs="仿宋_GB2312"/>
          <w:sz w:val="22"/>
          <w:szCs w:val="22"/>
        </w:rPr>
        <w:t>，中位值为</w:t>
      </w:r>
      <w:r>
        <w:rPr>
          <w:rFonts w:ascii="Arial Narrow" w:eastAsia="Arial Narrow" w:hAnsi="Arial Narrow" w:cs="Arial Narrow"/>
          <w:sz w:val="22"/>
          <w:szCs w:val="22"/>
        </w:rPr>
        <w:t>3.20%</w:t>
      </w:r>
      <w:r>
        <w:rPr>
          <w:rFonts w:ascii="仿宋_GB2312" w:eastAsia="仿宋_GB2312" w:hAnsi="仿宋_GB2312" w:cs="仿宋_GB2312"/>
          <w:sz w:val="22"/>
          <w:szCs w:val="22"/>
        </w:rPr>
        <w:t>。</w:t>
      </w:r>
      <w:r>
        <w:rPr>
          <w:rFonts w:ascii="Arial Narrow" w:eastAsia="Arial Narrow" w:hAnsi="Arial Narrow" w:cs="Arial Narrow"/>
          <w:sz w:val="22"/>
          <w:szCs w:val="22"/>
        </w:rPr>
        <w:t>远化物流</w:t>
      </w:r>
      <w:r>
        <w:rPr>
          <w:rFonts w:ascii="Arial Narrow" w:eastAsia="Arial Narrow" w:hAnsi="Arial Narrow" w:cs="Arial Narrow"/>
          <w:sz w:val="22"/>
          <w:szCs w:val="22"/>
        </w:rPr>
        <w:t>20</w:t>
      </w:r>
      <w:r>
        <w:rPr>
          <w:rFonts w:ascii="Arial Narrow" w:eastAsia="Arial Narrow" w:hAnsi="Arial Narrow" w:cs="Arial Narrow"/>
          <w:sz w:val="22"/>
          <w:szCs w:val="22"/>
        </w:rPr>
        <w:t>23</w:t>
      </w:r>
      <w:r>
        <w:rPr>
          <w:rFonts w:ascii="仿宋_GB2312" w:eastAsia="仿宋_GB2312" w:hAnsi="仿宋_GB2312" w:cs="仿宋_GB2312"/>
          <w:sz w:val="22"/>
          <w:szCs w:val="22"/>
        </w:rPr>
        <w:t>年取得的受测关联交易的完全成本加成率为</w:t>
      </w:r>
      <w:r>
        <w:rPr>
          <w:rFonts w:ascii="Arial Narrow" w:eastAsia="Arial Narrow" w:hAnsi="Arial Narrow" w:cs="Arial Narrow"/>
          <w:sz w:val="22"/>
          <w:szCs w:val="22"/>
        </w:rPr>
        <w:t>3.60%</w:t>
      </w:r>
      <w:r>
        <w:rPr>
          <w:rFonts w:ascii="仿宋_GB2312" w:eastAsia="仿宋_GB2312" w:hAnsi="仿宋_GB2312" w:cs="仿宋_GB2312"/>
          <w:sz w:val="22"/>
          <w:szCs w:val="22"/>
        </w:rPr>
        <w:t>，位于可比公司</w:t>
      </w:r>
      <w:r>
        <w:rPr>
          <w:rFonts w:ascii="Arial Narrow" w:eastAsia="Arial Narrow" w:hAnsi="Arial Narrow" w:cs="Arial Narrow"/>
          <w:sz w:val="22"/>
          <w:szCs w:val="22"/>
        </w:rPr>
        <w:t>2020</w:t>
      </w:r>
      <w:r>
        <w:rPr>
          <w:rFonts w:ascii="仿宋_GB2312" w:eastAsia="仿宋_GB2312" w:hAnsi="仿宋_GB2312" w:cs="仿宋_GB2312"/>
          <w:sz w:val="22"/>
          <w:szCs w:val="22"/>
        </w:rPr>
        <w:t>到</w:t>
      </w:r>
      <w:r>
        <w:rPr>
          <w:rFonts w:ascii="Arial Narrow" w:eastAsia="Arial Narrow" w:hAnsi="Arial Narrow" w:cs="Arial Narrow"/>
          <w:sz w:val="22"/>
          <w:szCs w:val="22"/>
        </w:rPr>
        <w:t>2022</w:t>
      </w:r>
      <w:r>
        <w:rPr>
          <w:rFonts w:ascii="仿宋_GB2312" w:eastAsia="仿宋_GB2312" w:hAnsi="仿宋_GB2312" w:cs="仿宋_GB2312"/>
          <w:sz w:val="22"/>
          <w:szCs w:val="22"/>
        </w:rPr>
        <w:t>三年加权平均完全成本加成率的四分位区间之内，且高于中位值。</w:t>
      </w:r>
    </w:p>
    <w:p>
      <w:pPr>
        <w:pStyle w:val="BodyText"/>
        <w:numPr>
          <w:ilvl w:val="0"/>
          <w:numId w:val="0"/>
        </w:numPr>
        <w:spacing w:before="120" w:after="120" w:line="360" w:lineRule="auto"/>
        <w:ind w:firstLine="440"/>
        <w:jc w:val="both"/>
        <w:rPr>
          <w:rFonts w:ascii="Times New Roman" w:eastAsia="Times New Roman" w:hAnsi="Times New Roman" w:cs="Times New Roman"/>
          <w:sz w:val="22"/>
          <w:szCs w:val="22"/>
        </w:rPr>
      </w:pPr>
      <w:r>
        <w:rPr>
          <w:rFonts w:ascii="仿宋_GB2312" w:eastAsia="仿宋_GB2312" w:hAnsi="仿宋_GB2312" w:cs="仿宋_GB2312"/>
          <w:sz w:val="22"/>
          <w:szCs w:val="22"/>
        </w:rPr>
        <w:t>因此，</w:t>
      </w:r>
      <w:r>
        <w:rPr>
          <w:rFonts w:ascii="Arial Narrow" w:eastAsia="Arial Narrow" w:hAnsi="Arial Narrow" w:cs="Arial Narrow"/>
          <w:sz w:val="22"/>
          <w:szCs w:val="22"/>
        </w:rPr>
        <w:t>远化物流</w:t>
      </w:r>
      <w:r>
        <w:rPr>
          <w:rFonts w:ascii="仿宋_GB2312" w:eastAsia="仿宋_GB2312" w:hAnsi="仿宋_GB2312" w:cs="仿宋_GB2312"/>
          <w:sz w:val="22"/>
          <w:szCs w:val="22"/>
        </w:rPr>
        <w:t>的关联交易定价不违背独立交易原则。</w:t>
      </w:r>
      <w:bookmarkEnd w:id="482"/>
      <w:bookmarkEnd w:id="483"/>
      <w:r>
        <w:rPr>
          <w:rFonts w:ascii="Times New Roman" w:eastAsia="Times New Roman" w:hAnsi="Times New Roman" w:cs="Times New Roman"/>
          <w:sz w:val="22"/>
          <w:szCs w:val="22"/>
        </w:rPr>
        <w:br w:type="page"/>
      </w:r>
    </w:p>
    <w:p>
      <w:pPr>
        <w:pStyle w:val="BodyText"/>
        <w:numPr>
          <w:ilvl w:val="0"/>
          <w:numId w:val="0"/>
        </w:numPr>
      </w:pPr>
    </w:p>
    <w:sectPr>
      <w:pgMar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BodyText"/>
        <w:widowControl w:val="0"/>
        <w:numPr>
          <w:ilvl w:val="0"/>
          <w:numId w:val="0"/>
        </w:numPr>
        <w:spacing w:before="0" w:after="0"/>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 xml:space="preserve"> 资料来源：公司官网：</w:t>
      </w:r>
      <w:r>
        <w:rPr>
          <w:rFonts w:ascii="Arial Narrow" w:eastAsia="Arial Narrow" w:hAnsi="Arial Narrow" w:cs="Arial Narrow"/>
          <w:sz w:val="16"/>
          <w:szCs w:val="16"/>
        </w:rPr>
        <w:t>https://www.bmts-technology.com/en/company/overview/</w:t>
      </w:r>
    </w:p>
  </w:footnote>
  <w:footnote w:id="3">
    <w:p>
      <w:pPr>
        <w:pStyle w:val="BodyText"/>
        <w:widowControl w:val="0"/>
        <w:numPr>
          <w:ilvl w:val="0"/>
          <w:numId w:val="0"/>
        </w:numPr>
        <w:spacing w:before="0" w:after="0"/>
        <w:rPr>
          <w:rFonts w:ascii="Century" w:eastAsia="Century" w:hAnsi="Century" w:cs="Century"/>
          <w:color w:val="000000"/>
          <w:sz w:val="14"/>
          <w:szCs w:val="14"/>
          <w:vertAlign w:val="superscript"/>
        </w:rPr>
      </w:pPr>
      <w:r>
        <w:rPr>
          <w:rStyle w:val="FootnoteReference"/>
          <w:rFonts w:ascii="Century" w:eastAsia="Century" w:hAnsi="Century" w:cs="Century"/>
          <w:color w:val="000000"/>
          <w:sz w:val="14"/>
          <w:szCs w:val="14"/>
          <w:u w:val="none"/>
          <w:vertAlign w:val="superscript"/>
        </w:rPr>
        <w:footnoteRef/>
      </w:r>
      <w:r>
        <w:rPr>
          <w:rFonts w:ascii="MS Mincho" w:eastAsia="MS Mincho" w:hAnsi="MS Mincho" w:cs="MS Mincho"/>
          <w:sz w:val="21"/>
          <w:szCs w:val="21"/>
        </w:rPr>
        <w:t xml:space="preserve"> </w:t>
      </w:r>
      <w:r>
        <w:rPr>
          <w:rFonts w:ascii="仿宋_GB2312" w:eastAsia="仿宋_GB2312" w:hAnsi="仿宋_GB2312" w:cs="仿宋_GB2312"/>
          <w:sz w:val="16"/>
          <w:szCs w:val="16"/>
        </w:rPr>
        <w:t>资料来源：中华人民共和国交通运输部，https://zs.mot.gov.cn/mot/s?siteCode=bm19000004&amp;tab=all&amp;qt=%E5%85%AC%E8%B7%AF%E6%B0%B4%E8%B7%AF%E8%BF%90%E8%BE%93%E9%87%8F</w:t>
      </w:r>
    </w:p>
  </w:footnote>
  <w:footnote w:id="4">
    <w:p>
      <w:pPr>
        <w:pStyle w:val="BodyText"/>
        <w:widowControl w:val="0"/>
        <w:numPr>
          <w:ilvl w:val="0"/>
          <w:numId w:val="0"/>
        </w:numPr>
        <w:spacing w:before="0" w:after="0"/>
        <w:rPr>
          <w:rFonts w:ascii="Century" w:eastAsia="Century" w:hAnsi="Century" w:cs="Century"/>
          <w:color w:val="000000"/>
          <w:sz w:val="14"/>
          <w:szCs w:val="14"/>
          <w:vertAlign w:val="superscript"/>
        </w:rPr>
      </w:pPr>
      <w:r>
        <w:rPr>
          <w:rStyle w:val="FootnoteReference"/>
          <w:rFonts w:ascii="Century" w:eastAsia="Century" w:hAnsi="Century" w:cs="Century"/>
          <w:color w:val="000000"/>
          <w:sz w:val="14"/>
          <w:szCs w:val="14"/>
          <w:u w:val="none"/>
          <w:vertAlign w:val="superscript"/>
        </w:rPr>
        <w:footnoteRef/>
      </w:r>
      <w:r>
        <w:rPr>
          <w:rFonts w:ascii="Century" w:eastAsia="Century" w:hAnsi="Century" w:cs="Century"/>
          <w:sz w:val="21"/>
          <w:szCs w:val="21"/>
        </w:rPr>
        <w:t xml:space="preserve"> </w:t>
      </w:r>
      <w:r>
        <w:rPr>
          <w:rFonts w:ascii="仿宋_GB2312" w:eastAsia="仿宋_GB2312" w:hAnsi="仿宋_GB2312" w:cs="仿宋_GB2312"/>
          <w:sz w:val="16"/>
          <w:szCs w:val="16"/>
        </w:rPr>
        <w:t>资料来源：智研瞻产业研究院，https://www.zhiyanzhan.cn/report/41498.html</w:t>
      </w:r>
    </w:p>
  </w:footnote>
  <w:footnote w:id="5">
    <w:p>
      <w:pPr>
        <w:pStyle w:val="BodyText"/>
        <w:widowControl w:val="0"/>
        <w:numPr>
          <w:ilvl w:val="0"/>
          <w:numId w:val="0"/>
        </w:numPr>
        <w:spacing w:before="0" w:after="0"/>
        <w:rPr>
          <w:rFonts w:ascii="Century" w:eastAsia="Century" w:hAnsi="Century" w:cs="Century"/>
          <w:color w:val="000000"/>
          <w:sz w:val="14"/>
          <w:szCs w:val="14"/>
          <w:vertAlign w:val="superscript"/>
        </w:rPr>
      </w:pPr>
      <w:r>
        <w:rPr>
          <w:rStyle w:val="FootnoteReference"/>
          <w:rFonts w:ascii="Century" w:eastAsia="Century" w:hAnsi="Century" w:cs="Century"/>
          <w:color w:val="000000"/>
          <w:sz w:val="14"/>
          <w:szCs w:val="14"/>
          <w:u w:val="none"/>
          <w:vertAlign w:val="superscript"/>
        </w:rPr>
        <w:footnoteRef/>
      </w:r>
      <w:r>
        <w:rPr>
          <w:rFonts w:ascii="Century" w:eastAsia="Century" w:hAnsi="Century" w:cs="Century"/>
          <w:sz w:val="21"/>
          <w:szCs w:val="21"/>
        </w:rPr>
        <w:t xml:space="preserve"> </w:t>
      </w:r>
      <w:r>
        <w:rPr>
          <w:rFonts w:ascii="仿宋_GB2312" w:eastAsia="仿宋_GB2312" w:hAnsi="仿宋_GB2312" w:cs="仿宋_GB2312"/>
          <w:sz w:val="16"/>
          <w:szCs w:val="16"/>
        </w:rPr>
        <w:t>资料来源：前沿产业研究院，https://x.qianzhan.com/xcharts/detail/dc3949f1f3012b47.html</w:t>
      </w:r>
    </w:p>
  </w:footnote>
  <w:footnote w:id="6">
    <w:p>
      <w:pPr>
        <w:pStyle w:val="BodyText"/>
        <w:widowControl w:val="0"/>
        <w:numPr>
          <w:ilvl w:val="0"/>
          <w:numId w:val="0"/>
        </w:numPr>
        <w:spacing w:before="0" w:after="0"/>
        <w:rPr>
          <w:rFonts w:ascii="Century" w:eastAsia="Century" w:hAnsi="Century" w:cs="Century"/>
          <w:color w:val="000000"/>
          <w:sz w:val="14"/>
          <w:szCs w:val="14"/>
          <w:vertAlign w:val="superscript"/>
        </w:rPr>
      </w:pPr>
      <w:r>
        <w:rPr>
          <w:rStyle w:val="FootnoteReference"/>
          <w:rFonts w:ascii="Century" w:eastAsia="Century" w:hAnsi="Century" w:cs="Century"/>
          <w:color w:val="000000"/>
          <w:sz w:val="14"/>
          <w:szCs w:val="14"/>
          <w:u w:val="none"/>
          <w:vertAlign w:val="superscript"/>
        </w:rPr>
        <w:footnoteRef/>
      </w:r>
      <w:r>
        <w:rPr>
          <w:rFonts w:ascii="Century" w:eastAsia="Century" w:hAnsi="Century" w:cs="Century"/>
          <w:sz w:val="21"/>
          <w:szCs w:val="21"/>
        </w:rPr>
        <w:t xml:space="preserve"> </w:t>
      </w:r>
      <w:r>
        <w:rPr>
          <w:rFonts w:ascii="仿宋_GB2312" w:eastAsia="仿宋_GB2312" w:hAnsi="仿宋_GB2312" w:cs="仿宋_GB2312"/>
          <w:sz w:val="16"/>
          <w:szCs w:val="16"/>
        </w:rPr>
        <w:t>资料来源：智研瞻产业研究院，https://www.zhiyanzhan.cn/report/41498.html</w:t>
      </w:r>
    </w:p>
  </w:footnote>
  <w:footnote w:id="7">
    <w:p>
      <w:pPr>
        <w:pStyle w:val="BodyText"/>
        <w:widowControl w:val="0"/>
        <w:numPr>
          <w:ilvl w:val="0"/>
          <w:numId w:val="0"/>
        </w:numPr>
        <w:spacing w:before="0" w:after="0"/>
        <w:rPr>
          <w:rFonts w:ascii="Century" w:eastAsia="Century" w:hAnsi="Century" w:cs="Century"/>
          <w:color w:val="000000"/>
          <w:sz w:val="14"/>
          <w:szCs w:val="14"/>
          <w:vertAlign w:val="superscript"/>
        </w:rPr>
      </w:pPr>
      <w:r>
        <w:rPr>
          <w:rStyle w:val="FootnoteReference"/>
          <w:rFonts w:ascii="Century" w:eastAsia="Century" w:hAnsi="Century" w:cs="Century"/>
          <w:color w:val="000000"/>
          <w:sz w:val="14"/>
          <w:szCs w:val="14"/>
          <w:u w:val="none"/>
          <w:vertAlign w:val="superscript"/>
        </w:rPr>
        <w:footnoteRef/>
      </w:r>
      <w:r>
        <w:rPr>
          <w:rFonts w:ascii="Century" w:eastAsia="Century" w:hAnsi="Century" w:cs="Century"/>
          <w:sz w:val="21"/>
          <w:szCs w:val="21"/>
        </w:rPr>
        <w:t xml:space="preserve"> </w:t>
      </w:r>
      <w:r>
        <w:rPr>
          <w:rFonts w:ascii="仿宋_GB2312" w:eastAsia="仿宋_GB2312" w:hAnsi="仿宋_GB2312" w:cs="仿宋_GB2312"/>
          <w:sz w:val="16"/>
          <w:szCs w:val="16"/>
        </w:rPr>
        <w:t>资料来源：中华人民共和国交通运输部， https://xxgk.mot.gov.cn/2020/jigou/zhghs/202406/t20240614_4142419.html</w:t>
      </w:r>
    </w:p>
  </w:footnote>
  <w:footnote w:id="8">
    <w:p>
      <w:pPr>
        <w:pStyle w:val="BodyText"/>
        <w:widowControl w:val="0"/>
        <w:numPr>
          <w:ilvl w:val="0"/>
          <w:numId w:val="0"/>
        </w:numPr>
        <w:spacing w:before="0" w:after="0"/>
        <w:rPr>
          <w:rFonts w:ascii="Century" w:eastAsia="Century" w:hAnsi="Century" w:cs="Century"/>
          <w:color w:val="000000"/>
          <w:sz w:val="14"/>
          <w:szCs w:val="14"/>
          <w:vertAlign w:val="superscript"/>
        </w:rPr>
      </w:pPr>
      <w:r>
        <w:rPr>
          <w:rStyle w:val="FootnoteReference"/>
          <w:rFonts w:ascii="Century" w:eastAsia="Century" w:hAnsi="Century" w:cs="Century"/>
          <w:color w:val="000000"/>
          <w:sz w:val="14"/>
          <w:szCs w:val="14"/>
          <w:u w:val="none"/>
          <w:vertAlign w:val="superscript"/>
        </w:rPr>
        <w:footnoteRef/>
      </w:r>
      <w:r>
        <w:rPr>
          <w:rFonts w:ascii="MS Mincho" w:eastAsia="MS Mincho" w:hAnsi="MS Mincho" w:cs="MS Mincho"/>
          <w:sz w:val="21"/>
          <w:szCs w:val="21"/>
        </w:rPr>
        <w:t xml:space="preserve"> </w:t>
      </w:r>
      <w:r>
        <w:rPr>
          <w:rFonts w:ascii="仿宋_GB2312" w:eastAsia="仿宋_GB2312" w:hAnsi="仿宋_GB2312" w:cs="仿宋_GB2312"/>
          <w:sz w:val="16"/>
          <w:szCs w:val="16"/>
        </w:rPr>
        <w:t>资料来源：前瞻产业研究院，https://bg.qianzhan.com/trends/detail/506/240425-0dad954f.html</w:t>
      </w:r>
    </w:p>
  </w:footnote>
  <w:footnote w:id="9">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w:t>
      </w:r>
      <w:r>
        <w:rPr>
          <w:rFonts w:ascii="Arial Narrow" w:eastAsia="Arial Narrow" w:hAnsi="Arial Narrow" w:cs="Arial Narrow"/>
          <w:sz w:val="16"/>
          <w:szCs w:val="16"/>
        </w:rPr>
        <w:t xml:space="preserve">OECD </w:t>
      </w:r>
      <w:r>
        <w:rPr>
          <w:rFonts w:ascii="仿宋_GB2312" w:eastAsia="仿宋_GB2312" w:hAnsi="仿宋_GB2312" w:cs="仿宋_GB2312"/>
          <w:sz w:val="16"/>
          <w:szCs w:val="16"/>
        </w:rPr>
        <w:t xml:space="preserve">跨国企业与税务机关转让定价指南》，第 </w:t>
      </w:r>
      <w:r>
        <w:rPr>
          <w:rFonts w:ascii="Arial Narrow" w:eastAsia="Arial Narrow" w:hAnsi="Arial Narrow" w:cs="Arial Narrow"/>
          <w:sz w:val="16"/>
          <w:szCs w:val="16"/>
        </w:rPr>
        <w:t xml:space="preserve">III </w:t>
      </w:r>
      <w:r>
        <w:rPr>
          <w:rFonts w:ascii="仿宋_GB2312" w:eastAsia="仿宋_GB2312" w:hAnsi="仿宋_GB2312" w:cs="仿宋_GB2312"/>
          <w:sz w:val="16"/>
          <w:szCs w:val="16"/>
        </w:rPr>
        <w:t>章，</w:t>
      </w:r>
      <w:r>
        <w:rPr>
          <w:rFonts w:ascii="Arial Narrow" w:eastAsia="Arial Narrow" w:hAnsi="Arial Narrow" w:cs="Arial Narrow"/>
          <w:sz w:val="16"/>
          <w:szCs w:val="16"/>
        </w:rPr>
        <w:t xml:space="preserve">A </w:t>
      </w:r>
      <w:r>
        <w:rPr>
          <w:rFonts w:ascii="仿宋_GB2312" w:eastAsia="仿宋_GB2312" w:hAnsi="仿宋_GB2312" w:cs="仿宋_GB2312"/>
          <w:sz w:val="16"/>
          <w:szCs w:val="16"/>
        </w:rPr>
        <w:t xml:space="preserve">部分，第 </w:t>
      </w:r>
      <w:r>
        <w:rPr>
          <w:rFonts w:ascii="Arial Narrow" w:eastAsia="Arial Narrow" w:hAnsi="Arial Narrow" w:cs="Arial Narrow"/>
          <w:sz w:val="16"/>
          <w:szCs w:val="16"/>
        </w:rPr>
        <w:t xml:space="preserve">3.9 </w:t>
      </w:r>
      <w:r>
        <w:rPr>
          <w:rFonts w:ascii="仿宋_GB2312" w:eastAsia="仿宋_GB2312" w:hAnsi="仿宋_GB2312" w:cs="仿宋_GB2312"/>
          <w:sz w:val="16"/>
          <w:szCs w:val="16"/>
        </w:rPr>
        <w:t>段落</w:t>
      </w:r>
    </w:p>
  </w:footnote>
  <w:footnote w:id="10">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w:t>
      </w:r>
      <w:r>
        <w:rPr>
          <w:rFonts w:ascii="Arial Narrow" w:eastAsia="Arial Narrow" w:hAnsi="Arial Narrow" w:cs="Arial Narrow"/>
          <w:sz w:val="16"/>
          <w:szCs w:val="16"/>
        </w:rPr>
        <w:t>OECD</w:t>
      </w:r>
      <w:r>
        <w:rPr>
          <w:rFonts w:ascii="仿宋_GB2312" w:eastAsia="仿宋_GB2312" w:hAnsi="仿宋_GB2312" w:cs="仿宋_GB2312"/>
          <w:sz w:val="16"/>
          <w:szCs w:val="16"/>
        </w:rPr>
        <w:t>转让定价指南》</w:t>
      </w:r>
      <w:r>
        <w:rPr>
          <w:rFonts w:ascii="Arial Narrow" w:eastAsia="Arial Narrow" w:hAnsi="Arial Narrow" w:cs="Arial Narrow"/>
          <w:sz w:val="16"/>
          <w:szCs w:val="16"/>
        </w:rPr>
        <w:t>2.11</w:t>
      </w:r>
      <w:r>
        <w:rPr>
          <w:rFonts w:ascii="仿宋_GB2312" w:eastAsia="仿宋_GB2312" w:hAnsi="仿宋_GB2312" w:cs="仿宋_GB2312"/>
          <w:sz w:val="16"/>
          <w:szCs w:val="16"/>
        </w:rPr>
        <w:t>章</w:t>
      </w:r>
    </w:p>
  </w:footnote>
  <w:footnote w:id="11">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w:t>
      </w:r>
      <w:r>
        <w:rPr>
          <w:rFonts w:ascii="Arial Narrow" w:eastAsia="Arial Narrow" w:hAnsi="Arial Narrow" w:cs="Arial Narrow"/>
          <w:sz w:val="16"/>
          <w:szCs w:val="16"/>
        </w:rPr>
        <w:t>OECD</w:t>
      </w:r>
      <w:r>
        <w:rPr>
          <w:rFonts w:ascii="仿宋_GB2312" w:eastAsia="仿宋_GB2312" w:hAnsi="仿宋_GB2312" w:cs="仿宋_GB2312"/>
          <w:sz w:val="16"/>
          <w:szCs w:val="16"/>
        </w:rPr>
        <w:t>转让定价指南》</w:t>
      </w:r>
      <w:r>
        <w:rPr>
          <w:rFonts w:ascii="Arial Narrow" w:eastAsia="Arial Narrow" w:hAnsi="Arial Narrow" w:cs="Arial Narrow"/>
          <w:sz w:val="16"/>
          <w:szCs w:val="16"/>
        </w:rPr>
        <w:t>2.58</w:t>
      </w:r>
      <w:r>
        <w:rPr>
          <w:rFonts w:ascii="仿宋_GB2312" w:eastAsia="仿宋_GB2312" w:hAnsi="仿宋_GB2312" w:cs="仿宋_GB2312"/>
          <w:sz w:val="16"/>
          <w:szCs w:val="16"/>
        </w:rPr>
        <w:t>章</w:t>
      </w:r>
    </w:p>
  </w:footnote>
  <w:footnote w:id="12">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近年来，中国国家税务总局开始订购</w:t>
      </w:r>
      <w:r>
        <w:rPr>
          <w:rFonts w:ascii="Arial Narrow" w:eastAsia="Arial Narrow" w:hAnsi="Arial Narrow" w:cs="Arial Narrow"/>
          <w:sz w:val="16"/>
          <w:szCs w:val="16"/>
        </w:rPr>
        <w:t>OSIRIS</w:t>
      </w:r>
      <w:r>
        <w:rPr>
          <w:rFonts w:ascii="仿宋_GB2312" w:eastAsia="仿宋_GB2312" w:hAnsi="仿宋_GB2312" w:cs="仿宋_GB2312"/>
          <w:sz w:val="16"/>
          <w:szCs w:val="16"/>
        </w:rPr>
        <w:t>数据库。事实上，在</w:t>
      </w:r>
      <w:r>
        <w:rPr>
          <w:rFonts w:ascii="Arial Narrow" w:eastAsia="Arial Narrow" w:hAnsi="Arial Narrow" w:cs="Arial Narrow"/>
          <w:sz w:val="16"/>
          <w:szCs w:val="16"/>
        </w:rPr>
        <w:t>2005</w:t>
      </w:r>
      <w:r>
        <w:rPr>
          <w:rFonts w:ascii="仿宋_GB2312" w:eastAsia="仿宋_GB2312" w:hAnsi="仿宋_GB2312" w:cs="仿宋_GB2312"/>
          <w:sz w:val="16"/>
          <w:szCs w:val="16"/>
        </w:rPr>
        <w:t>年</w:t>
      </w:r>
      <w:r>
        <w:rPr>
          <w:rFonts w:ascii="Arial Narrow" w:eastAsia="Arial Narrow" w:hAnsi="Arial Narrow" w:cs="Arial Narrow"/>
          <w:sz w:val="16"/>
          <w:szCs w:val="16"/>
        </w:rPr>
        <w:t>3</w:t>
      </w:r>
      <w:r>
        <w:rPr>
          <w:rFonts w:ascii="仿宋_GB2312" w:eastAsia="仿宋_GB2312" w:hAnsi="仿宋_GB2312" w:cs="仿宋_GB2312"/>
          <w:sz w:val="16"/>
          <w:szCs w:val="16"/>
        </w:rPr>
        <w:t>月</w:t>
      </w:r>
      <w:r>
        <w:rPr>
          <w:rFonts w:ascii="Arial Narrow" w:eastAsia="Arial Narrow" w:hAnsi="Arial Narrow" w:cs="Arial Narrow"/>
          <w:sz w:val="16"/>
          <w:szCs w:val="16"/>
        </w:rPr>
        <w:t>25</w:t>
      </w:r>
      <w:r>
        <w:rPr>
          <w:rFonts w:ascii="仿宋_GB2312" w:eastAsia="仿宋_GB2312" w:hAnsi="仿宋_GB2312" w:cs="仿宋_GB2312"/>
          <w:sz w:val="16"/>
          <w:szCs w:val="16"/>
        </w:rPr>
        <w:t>日由国税总局发布的国税函</w:t>
      </w:r>
      <w:r>
        <w:rPr>
          <w:rFonts w:ascii="Arial Narrow" w:eastAsia="Arial Narrow" w:hAnsi="Arial Narrow" w:cs="Arial Narrow"/>
          <w:sz w:val="16"/>
          <w:szCs w:val="16"/>
        </w:rPr>
        <w:t>[2005]</w:t>
      </w:r>
      <w:r>
        <w:rPr>
          <w:rFonts w:ascii="Arial Narrow" w:eastAsia="Arial Narrow" w:hAnsi="Arial Narrow" w:cs="Arial Narrow"/>
          <w:sz w:val="16"/>
          <w:szCs w:val="16"/>
        </w:rPr>
        <w:t>23</w:t>
      </w:r>
      <w:r>
        <w:rPr>
          <w:rFonts w:ascii="Arial Narrow" w:eastAsia="Arial Narrow" w:hAnsi="Arial Narrow" w:cs="Arial Narrow"/>
          <w:sz w:val="16"/>
          <w:szCs w:val="16"/>
        </w:rPr>
        <w:t>9</w:t>
      </w:r>
      <w:r>
        <w:rPr>
          <w:rFonts w:ascii="仿宋_GB2312" w:eastAsia="仿宋_GB2312" w:hAnsi="仿宋_GB2312" w:cs="仿宋_GB2312"/>
          <w:sz w:val="16"/>
          <w:szCs w:val="16"/>
        </w:rPr>
        <w:t>号文（</w:t>
      </w:r>
      <w:r>
        <w:rPr>
          <w:rFonts w:ascii="Arial Narrow" w:eastAsia="Arial Narrow" w:hAnsi="Arial Narrow" w:cs="Arial Narrow"/>
          <w:sz w:val="16"/>
          <w:szCs w:val="16"/>
        </w:rPr>
        <w:t>“</w:t>
      </w:r>
      <w:r>
        <w:rPr>
          <w:rFonts w:ascii="仿宋_GB2312" w:eastAsia="仿宋_GB2312" w:hAnsi="仿宋_GB2312" w:cs="仿宋_GB2312"/>
          <w:sz w:val="16"/>
          <w:szCs w:val="16"/>
        </w:rPr>
        <w:t>国家税务总局关于</w:t>
      </w:r>
      <w:r>
        <w:rPr>
          <w:rFonts w:ascii="Arial Narrow" w:eastAsia="Arial Narrow" w:hAnsi="Arial Narrow" w:cs="Arial Narrow"/>
          <w:sz w:val="16"/>
          <w:szCs w:val="16"/>
        </w:rPr>
        <w:t>2005</w:t>
      </w:r>
      <w:r>
        <w:rPr>
          <w:rFonts w:ascii="仿宋_GB2312" w:eastAsia="仿宋_GB2312" w:hAnsi="仿宋_GB2312" w:cs="仿宋_GB2312"/>
          <w:sz w:val="16"/>
          <w:szCs w:val="16"/>
        </w:rPr>
        <w:t>年度反避税工作的通知</w:t>
      </w:r>
      <w:r>
        <w:rPr>
          <w:rFonts w:ascii="Arial Narrow" w:eastAsia="Arial Narrow" w:hAnsi="Arial Narrow" w:cs="Arial Narrow"/>
          <w:sz w:val="16"/>
          <w:szCs w:val="16"/>
        </w:rPr>
        <w:t>”</w:t>
      </w:r>
      <w:r>
        <w:rPr>
          <w:rFonts w:ascii="仿宋_GB2312" w:eastAsia="仿宋_GB2312" w:hAnsi="仿宋_GB2312" w:cs="仿宋_GB2312"/>
          <w:sz w:val="16"/>
          <w:szCs w:val="16"/>
        </w:rPr>
        <w:t>）中，国税总局要求在进行反避税调查和纳税调整中，要积极利用</w:t>
      </w:r>
      <w:r>
        <w:rPr>
          <w:rFonts w:ascii="Arial Narrow" w:eastAsia="Arial Narrow" w:hAnsi="Arial Narrow" w:cs="Arial Narrow"/>
          <w:sz w:val="16"/>
          <w:szCs w:val="16"/>
        </w:rPr>
        <w:t>Bureau van Dijk</w:t>
      </w:r>
      <w:r>
        <w:rPr>
          <w:rFonts w:ascii="仿宋_GB2312" w:eastAsia="仿宋_GB2312" w:hAnsi="仿宋_GB2312" w:cs="仿宋_GB2312"/>
          <w:sz w:val="16"/>
          <w:szCs w:val="16"/>
        </w:rPr>
        <w:t>公司的数据库。</w:t>
      </w:r>
    </w:p>
  </w:footnote>
  <w:footnote w:id="13">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w:t>
      </w:r>
      <w:r>
        <w:rPr>
          <w:rFonts w:ascii="Arial Narrow" w:eastAsia="Arial Narrow" w:hAnsi="Arial Narrow" w:cs="Arial Narrow"/>
          <w:sz w:val="16"/>
          <w:szCs w:val="16"/>
        </w:rPr>
        <w:t>OECD</w:t>
      </w:r>
      <w:r>
        <w:rPr>
          <w:rFonts w:ascii="仿宋_GB2312" w:eastAsia="仿宋_GB2312" w:hAnsi="仿宋_GB2312" w:cs="仿宋_GB2312"/>
          <w:sz w:val="16"/>
          <w:szCs w:val="16"/>
        </w:rPr>
        <w:t>转让定价指南》</w:t>
      </w:r>
      <w:r>
        <w:rPr>
          <w:rFonts w:ascii="Arial Narrow" w:eastAsia="Arial Narrow" w:hAnsi="Arial Narrow" w:cs="Arial Narrow"/>
          <w:sz w:val="16"/>
          <w:szCs w:val="16"/>
        </w:rPr>
        <w:t>3.76</w:t>
      </w:r>
      <w:r>
        <w:rPr>
          <w:rFonts w:ascii="仿宋_GB2312" w:eastAsia="仿宋_GB2312" w:hAnsi="仿宋_GB2312" w:cs="仿宋_GB2312"/>
          <w:sz w:val="16"/>
          <w:szCs w:val="16"/>
        </w:rPr>
        <w:t>章</w:t>
      </w:r>
    </w:p>
  </w:footnote>
  <w:footnote w:id="14">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w:t>
      </w:r>
      <w:r>
        <w:rPr>
          <w:rFonts w:ascii="Arial Narrow" w:eastAsia="Arial Narrow" w:hAnsi="Arial Narrow" w:cs="Arial Narrow"/>
          <w:sz w:val="16"/>
          <w:szCs w:val="16"/>
        </w:rPr>
        <w:t>OECD</w:t>
      </w:r>
      <w:r>
        <w:rPr>
          <w:rFonts w:ascii="仿宋_GB2312" w:eastAsia="仿宋_GB2312" w:hAnsi="仿宋_GB2312" w:cs="仿宋_GB2312"/>
          <w:sz w:val="16"/>
          <w:szCs w:val="16"/>
        </w:rPr>
        <w:t>转让定价指南》</w:t>
      </w:r>
      <w:r>
        <w:rPr>
          <w:rFonts w:ascii="Arial Narrow" w:eastAsia="Arial Narrow" w:hAnsi="Arial Narrow" w:cs="Arial Narrow"/>
          <w:sz w:val="16"/>
          <w:szCs w:val="16"/>
        </w:rPr>
        <w:t>3.77</w:t>
      </w:r>
      <w:r>
        <w:rPr>
          <w:rFonts w:ascii="仿宋_GB2312" w:eastAsia="仿宋_GB2312" w:hAnsi="仿宋_GB2312" w:cs="仿宋_GB2312"/>
          <w:sz w:val="16"/>
          <w:szCs w:val="16"/>
        </w:rPr>
        <w:t>章</w:t>
      </w:r>
    </w:p>
  </w:footnote>
  <w:footnote w:id="15">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w:t>
      </w:r>
      <w:r>
        <w:rPr>
          <w:rFonts w:ascii="Arial Narrow" w:eastAsia="Arial Narrow" w:hAnsi="Arial Narrow" w:cs="Arial Narrow"/>
          <w:sz w:val="16"/>
          <w:szCs w:val="16"/>
        </w:rPr>
        <w:t>OECD</w:t>
      </w:r>
      <w:r>
        <w:rPr>
          <w:rFonts w:ascii="仿宋_GB2312" w:eastAsia="仿宋_GB2312" w:hAnsi="仿宋_GB2312" w:cs="仿宋_GB2312"/>
          <w:sz w:val="16"/>
          <w:szCs w:val="16"/>
        </w:rPr>
        <w:t>转让定价指南》</w:t>
      </w:r>
      <w:r>
        <w:rPr>
          <w:rFonts w:ascii="Arial Narrow" w:eastAsia="Arial Narrow" w:hAnsi="Arial Narrow" w:cs="Arial Narrow"/>
          <w:sz w:val="16"/>
          <w:szCs w:val="16"/>
        </w:rPr>
        <w:t>3.55</w:t>
      </w:r>
      <w:r>
        <w:rPr>
          <w:rFonts w:ascii="仿宋_GB2312" w:eastAsia="仿宋_GB2312" w:hAnsi="仿宋_GB2312" w:cs="仿宋_GB2312"/>
          <w:sz w:val="16"/>
          <w:szCs w:val="16"/>
        </w:rPr>
        <w:t>章</w:t>
      </w:r>
    </w:p>
  </w:footnote>
  <w:footnote w:id="16">
    <w:p>
      <w:pPr>
        <w:pStyle w:val="BodyText"/>
        <w:widowControl w:val="0"/>
        <w:numPr>
          <w:ilvl w:val="0"/>
          <w:numId w:val="0"/>
        </w:numPr>
        <w:spacing w:before="0" w:after="0" w:line="240" w:lineRule="atLeast"/>
        <w:rPr>
          <w:rFonts w:ascii="Arial Narrow" w:eastAsia="Arial Narrow" w:hAnsi="Arial Narrow" w:cs="Arial Narrow"/>
          <w:color w:val="000000"/>
          <w:sz w:val="11"/>
          <w:szCs w:val="11"/>
          <w:vertAlign w:val="superscript"/>
        </w:rPr>
      </w:pPr>
      <w:r>
        <w:rPr>
          <w:rStyle w:val="FootnoteReference"/>
          <w:rFonts w:ascii="Arial Narrow" w:eastAsia="Arial Narrow" w:hAnsi="Arial Narrow" w:cs="Arial Narrow"/>
          <w:color w:val="000000"/>
          <w:sz w:val="11"/>
          <w:szCs w:val="11"/>
          <w:u w:val="none"/>
          <w:vertAlign w:val="superscript"/>
        </w:rPr>
        <w:footnoteRef/>
      </w:r>
      <w:r>
        <w:rPr>
          <w:rFonts w:ascii="仿宋_GB2312" w:eastAsia="仿宋_GB2312" w:hAnsi="仿宋_GB2312" w:cs="仿宋_GB2312"/>
          <w:sz w:val="16"/>
          <w:szCs w:val="16"/>
        </w:rPr>
        <w:t>国家税务总局公告</w:t>
      </w:r>
      <w:r>
        <w:rPr>
          <w:rFonts w:ascii="Arial Narrow" w:eastAsia="Arial Narrow" w:hAnsi="Arial Narrow" w:cs="Arial Narrow"/>
          <w:sz w:val="16"/>
          <w:szCs w:val="16"/>
        </w:rPr>
        <w:t>2017</w:t>
      </w:r>
      <w:r>
        <w:rPr>
          <w:rFonts w:ascii="仿宋_GB2312" w:eastAsia="仿宋_GB2312" w:hAnsi="仿宋_GB2312" w:cs="仿宋_GB2312"/>
          <w:sz w:val="16"/>
          <w:szCs w:val="16"/>
        </w:rPr>
        <w:t>年第</w:t>
      </w:r>
      <w:r>
        <w:rPr>
          <w:rFonts w:ascii="Arial Narrow" w:eastAsia="Arial Narrow" w:hAnsi="Arial Narrow" w:cs="Arial Narrow"/>
          <w:sz w:val="16"/>
          <w:szCs w:val="16"/>
        </w:rPr>
        <w:t>6</w:t>
      </w:r>
      <w:r>
        <w:rPr>
          <w:rFonts w:ascii="仿宋_GB2312" w:eastAsia="仿宋_GB2312" w:hAnsi="仿宋_GB2312" w:cs="仿宋_GB2312"/>
          <w:sz w:val="16"/>
          <w:szCs w:val="16"/>
        </w:rPr>
        <w:t>号第</w:t>
      </w:r>
      <w:r>
        <w:rPr>
          <w:rFonts w:ascii="Arial Narrow" w:eastAsia="Arial Narrow" w:hAnsi="Arial Narrow" w:cs="Arial Narrow"/>
          <w:sz w:val="16"/>
          <w:szCs w:val="16"/>
        </w:rPr>
        <w:t>25</w:t>
      </w:r>
      <w:r>
        <w:rPr>
          <w:rFonts w:ascii="仿宋_GB2312" w:eastAsia="仿宋_GB2312" w:hAnsi="仿宋_GB2312" w:cs="仿宋_GB2312"/>
          <w:sz w:val="16"/>
          <w:szCs w:val="16"/>
        </w:rPr>
        <w:t>条提及</w:t>
      </w:r>
      <w:r>
        <w:rPr>
          <w:rFonts w:ascii="Arial Narrow" w:eastAsia="Arial Narrow" w:hAnsi="Arial Narrow" w:cs="Arial Narrow"/>
          <w:sz w:val="16"/>
          <w:szCs w:val="16"/>
        </w:rPr>
        <w:t>“</w:t>
      </w:r>
      <w:r>
        <w:rPr>
          <w:rFonts w:ascii="仿宋_GB2312" w:eastAsia="仿宋_GB2312" w:hAnsi="仿宋_GB2312" w:cs="仿宋_GB2312"/>
          <w:sz w:val="16"/>
          <w:szCs w:val="16"/>
        </w:rPr>
        <w:t>四分位法</w:t>
      </w:r>
      <w:r>
        <w:rPr>
          <w:rFonts w:ascii="Arial Narrow" w:eastAsia="Arial Narrow" w:hAnsi="Arial Narrow" w:cs="Arial Narrow"/>
          <w:sz w:val="16"/>
          <w:szCs w:val="16"/>
        </w:rPr>
        <w:t>”</w:t>
      </w:r>
      <w:r>
        <w:rPr>
          <w:rFonts w:ascii="仿宋_GB2312" w:eastAsia="仿宋_GB2312" w:hAnsi="仿宋_GB2312" w:cs="仿宋_GB2312"/>
          <w:sz w:val="16"/>
          <w:szCs w:val="16"/>
        </w:rPr>
        <w:t>的使用。四分位区间是指下四分位数至上四分位数之间的区间。</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00000002"/>
    <w:multiLevelType w:val="hybridMultilevel"/>
    <w:tmpl w:val="00000002"/>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multilevel"/>
    <w:tmpl w:val="00000003"/>
    <w:lvl w:ilvl="0">
      <w:start w:val="1"/>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hybridMultilevel"/>
    <w:tmpl w:val="00000004"/>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decimal"/>
      <w:lvlText w:val=""/>
      <w:lvlJc w:val="left"/>
      <w:pPr>
        <w:tabs>
          <w:tab w:val="num" w:pos="720"/>
        </w:tabs>
        <w:ind w:left="720" w:hanging="360"/>
      </w:pPr>
      <w:rPr>
        <w:rFonts w:ascii="Symbol" w:hAnsi="Symbol"/>
      </w:rPr>
    </w:lvl>
    <w:lvl w:ilvl="1">
      <w:start w:val="1"/>
      <w:numFmt w:val="decimal"/>
      <w:lvlText w:val="%1.%2"/>
      <w:lvlJc w:val="left"/>
      <w:pPr>
        <w:ind w:left="0" w:firstLine="0"/>
      </w:pPr>
      <w:rPr>
        <w:rFonts w:ascii="Times New Roman" w:eastAsia="Times New Roman" w:hAnsi="Times New Roman" w:cs="Times New Roman"/>
        <w:b w:val="0"/>
        <w:bCs w:val="0"/>
        <w:i w:val="0"/>
        <w:iCs w:val="0"/>
        <w:smallCaps w:val="0"/>
        <w:sz w:val="14"/>
        <w:szCs w:val="14"/>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decimal"/>
      <w:lvlText w:val="%1."/>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
      <w:lvlJc w:val="left"/>
      <w:pPr>
        <w:tabs>
          <w:tab w:val="num" w:pos="2160"/>
        </w:tabs>
        <w:ind w:left="2160" w:hanging="360"/>
      </w:pPr>
      <w:rPr>
        <w:rFonts w:ascii="Wingdings" w:hAnsi="Wingdings"/>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z w:val="14"/>
        <w:szCs w:val="14"/>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
      <w:lvlJc w:val="left"/>
      <w:pPr>
        <w:tabs>
          <w:tab w:val="num" w:pos="2160"/>
        </w:tabs>
        <w:ind w:left="2160" w:hanging="360"/>
      </w:pPr>
      <w:rPr>
        <w:rFonts w:ascii="Wingdings" w:hAnsi="Wingdings"/>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z w:val="14"/>
        <w:szCs w:val="14"/>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
      <w:lvlJc w:val="left"/>
      <w:pPr>
        <w:tabs>
          <w:tab w:val="num" w:pos="2160"/>
        </w:tabs>
        <w:ind w:left="2160" w:hanging="360"/>
      </w:pPr>
      <w:rPr>
        <w:rFonts w:ascii="Wingdings" w:hAnsi="Wingdings"/>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z w:val="14"/>
        <w:szCs w:val="14"/>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
      <w:lvlJc w:val="left"/>
      <w:pPr>
        <w:tabs>
          <w:tab w:val="num" w:pos="2160"/>
        </w:tabs>
        <w:ind w:left="2160" w:hanging="360"/>
      </w:pPr>
      <w:rPr>
        <w:rFonts w:ascii="Wingdings" w:hAnsi="Wingdings"/>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z w:val="14"/>
        <w:szCs w:val="14"/>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0" w:firstLine="0"/>
      </w:pPr>
      <w:rPr>
        <w:rFonts w:ascii="Times New Roman" w:eastAsia="Times New Roman" w:hAnsi="Times New Roman" w:cs="Times New Roman"/>
        <w:b w:val="0"/>
        <w:bCs w:val="0"/>
        <w:i w:val="0"/>
        <w:iCs w:val="0"/>
        <w:smallCaps w:val="0"/>
        <w:sz w:val="14"/>
        <w:szCs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
      <w:lvlJc w:val="left"/>
      <w:pPr>
        <w:tabs>
          <w:tab w:val="num" w:pos="2160"/>
        </w:tabs>
        <w:ind w:left="2160" w:hanging="360"/>
      </w:pPr>
      <w:rPr>
        <w:rFonts w:ascii="Wingdings" w:hAnsi="Wingdings"/>
      </w:rPr>
    </w:lvl>
    <w:lvl w:ilvl="3">
      <w:start w:val="6"/>
      <w:numFmt w:val="decimal"/>
      <w:lvlText w:val="%1.%2.%3.%4"/>
      <w:lvlJc w:val="left"/>
      <w:pPr>
        <w:ind w:left="0" w:firstLine="0"/>
      </w:pPr>
      <w:rPr>
        <w:rFonts w:ascii="Times New Roman" w:eastAsia="Times New Roman" w:hAnsi="Times New Roman" w:cs="Times New Roman"/>
        <w:b w:val="0"/>
        <w:bCs w:val="0"/>
        <w:i w:val="0"/>
        <w:iCs w:val="0"/>
        <w:smallCaps w:val="0"/>
        <w:sz w:val="14"/>
        <w:szCs w:val="14"/>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
      <w:lvlJc w:val="left"/>
      <w:pPr>
        <w:tabs>
          <w:tab w:val="num" w:pos="2160"/>
        </w:tabs>
        <w:ind w:left="2160" w:hanging="360"/>
      </w:pPr>
      <w:rPr>
        <w:rFonts w:ascii="Wingdings" w:hAnsi="Wingdings"/>
      </w:rPr>
    </w:lvl>
    <w:lvl w:ilvl="3">
      <w:start w:val="1"/>
      <w:numFmt w:val="decimal"/>
      <w:lvlText w:val="%1.%2.%3.%4"/>
      <w:lvlJc w:val="left"/>
      <w:pPr>
        <w:ind w:left="0" w:firstLine="0"/>
      </w:pPr>
      <w:rPr>
        <w:rFonts w:ascii="Times New Roman" w:eastAsia="Times New Roman" w:hAnsi="Times New Roman" w:cs="Times New Roman"/>
        <w:b w:val="0"/>
        <w:bCs w:val="0"/>
        <w:i w:val="0"/>
        <w:iCs w:val="0"/>
        <w:smallCaps w:val="0"/>
        <w:sz w:val="14"/>
        <w:szCs w:val="14"/>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805BCE"/>
    <w:pPr>
      <w:spacing w:after="120"/>
    </w:pPr>
  </w:style>
  <w:style w:type="paragraph" w:styleId="TOC1">
    <w:name w:val="toc 1"/>
    <w:basedOn w:val="Normal"/>
    <w:next w:val="Normal"/>
    <w:autoRedefine/>
    <w:rsid w:val="00805BCE"/>
  </w:style>
  <w:style w:type="character" w:styleId="Hyperlink">
    <w:name w:val="Hyperlink"/>
    <w:basedOn w:val="DefaultParagraphFont"/>
    <w:rsid w:val="00EF7B96"/>
    <w:rPr>
      <w:color w:val="0000FF"/>
      <w:u w:val="single"/>
    </w:rPr>
  </w:style>
  <w:style w:type="paragraph" w:styleId="TOC2">
    <w:name w:val="toc 2"/>
    <w:basedOn w:val="Normal"/>
    <w:next w:val="Normal"/>
    <w:autoRedefine/>
    <w:rsid w:val="00805BCE"/>
    <w:pPr>
      <w:ind w:left="240"/>
    </w:pPr>
  </w:style>
  <w:style w:type="character" w:styleId="FootnoteReference">
    <w:name w:val="footnote reference"/>
    <w:basedOn w:val="DefaultParagraphFont"/>
    <w:rsid w:val="00805BCE"/>
    <w:rPr>
      <w:vertAlign w:val="superscript"/>
    </w:rPr>
  </w:style>
  <w:style w:type="paragraph" w:styleId="FootnoteText">
    <w:name w:val="footnote text"/>
    <w:basedOn w:val="Normal"/>
    <w:rsid w:val="00805BCE"/>
    <w:rPr>
      <w:sz w:val="20"/>
      <w:szCs w:val="20"/>
    </w:r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34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