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斯必克（上海）流体技术有限公司</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2024</w:t>
      </w:r>
      <w:r>
        <w:rPr>
          <w:rFonts w:ascii="Arial" w:hAnsi="Arial" w:eastAsia="微软雅黑" w:cs="Arial"/>
          <w:b/>
          <w:bCs/>
          <w:color w:val="000000"/>
          <w:kern w:val="2"/>
          <w:sz w:val="32"/>
          <w:szCs w:val="32"/>
        </w:rPr>
        <w:t>财务年度（截至</w:t>
      </w:r>
      <w:r>
        <w:rPr>
          <w:rFonts w:hint="eastAsia" w:ascii="Arial" w:hAnsi="Arial" w:eastAsia="微软雅黑" w:cs="Arial"/>
          <w:b/>
          <w:bCs/>
          <w:color w:val="000000"/>
          <w:kern w:val="2"/>
          <w:sz w:val="32"/>
          <w:szCs w:val="32"/>
        </w:rPr>
        <w:t>2024</w:t>
      </w:r>
      <w:r>
        <w:rPr>
          <w:rFonts w:ascii="Arial" w:hAnsi="Arial" w:eastAsia="微软雅黑" w:cs="Arial"/>
          <w:b/>
          <w:bCs/>
          <w:color w:val="000000"/>
          <w:kern w:val="2"/>
          <w:sz w:val="32"/>
          <w:szCs w:val="32"/>
        </w:rPr>
        <w:t>年12月31日）</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10;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9gqjaAAAADgEAAA8AAAAA&#10;AAAAAQAgAAAAIgAAAGRycy9kb3ducmV2LnhtbFBLAQIUABQAAAAIAIdO4kAKXUkfEgIAACoEAAAO&#10;AAAAAAAAAAEAIAAAACkBAABkcnMvZTJvRG9jLnhtbFBLBQYAAAAABgAGAFkBAACtBQAAAAA=&#10;">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斯必克（上海）流体技术有限公司声明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w:t>
      </w:r>
      <w:r>
        <w:rPr>
          <w:rFonts w:hint="eastAsia" w:ascii="Arial" w:hAnsi="Arial" w:eastAsia="微软雅黑" w:cs="Arial"/>
          <w:sz w:val="22"/>
          <w:szCs w:val="22"/>
        </w:rPr>
        <w:t>2024</w:t>
      </w:r>
      <w:r>
        <w:rPr>
          <w:rFonts w:ascii="Arial" w:hAnsi="Arial" w:eastAsia="微软雅黑" w:cs="Arial"/>
          <w:sz w:val="22"/>
          <w:szCs w:val="22"/>
        </w:rPr>
        <w:t>年度同期资料的本地文档（以下简称“本报告”）：</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w:t>
      </w:r>
      <w:r>
        <w:rPr>
          <w:rFonts w:hint="eastAsia" w:ascii="Arial" w:hAnsi="Arial" w:eastAsia="微软雅黑" w:cs="Arial"/>
          <w:sz w:val="22"/>
          <w:szCs w:val="22"/>
        </w:rPr>
        <w:t>2024</w:t>
      </w:r>
      <w:r>
        <w:rPr>
          <w:rFonts w:ascii="Arial" w:hAnsi="Arial" w:eastAsia="微软雅黑" w:cs="Arial"/>
          <w:sz w:val="22"/>
          <w:szCs w:val="22"/>
        </w:rPr>
        <w:t>年度与关联方之间关联交易定价的合理性。为此，本公司按以下规定以及程序准备本报告：</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w:t>
      </w:r>
      <w:r>
        <w:rPr>
          <w:rFonts w:ascii="Arial" w:hAnsi="Arial" w:eastAsia="微软雅黑" w:cs="Arial"/>
          <w:sz w:val="22"/>
          <w:szCs w:val="22"/>
        </w:rPr>
        <w:tab/>
      </w:r>
      <w:r>
        <w:rPr>
          <w:rFonts w:ascii="Arial" w:hAnsi="Arial" w:eastAsia="微软雅黑" w:cs="Arial"/>
          <w:sz w:val="22"/>
          <w:szCs w:val="22"/>
        </w:rPr>
        <w:t xml:space="preserve">                                 邮编：</w:t>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w:t>
      </w:r>
      <w:r>
        <w:rPr>
          <w:rFonts w:ascii="Arial" w:hAnsi="Arial" w:eastAsia="微软雅黑" w:cs="Arial"/>
          <w:sz w:val="22"/>
          <w:szCs w:val="22"/>
        </w:rPr>
        <w:tab/>
      </w:r>
      <w:r>
        <w:rPr>
          <w:rFonts w:ascii="Arial" w:hAnsi="Arial" w:eastAsia="微软雅黑" w:cs="Arial"/>
          <w:sz w:val="22"/>
          <w:szCs w:val="22"/>
        </w:rPr>
        <w:t>传真：</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w:t>
      </w:r>
      <w:r>
        <w:rPr>
          <w:rFonts w:ascii="Arial" w:hAnsi="Arial" w:eastAsia="微软雅黑" w:cs="Arial"/>
          <w:sz w:val="22"/>
          <w:szCs w:val="22"/>
        </w:rPr>
        <w:tab/>
      </w:r>
      <w:r>
        <w:rPr>
          <w:rFonts w:ascii="Arial" w:hAnsi="Arial" w:eastAsia="微软雅黑" w:cs="Arial"/>
          <w:sz w:val="22"/>
          <w:szCs w:val="22"/>
        </w:rPr>
        <w:t>法定代表人（签字）：</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r>
      <w:r>
        <w:rPr>
          <w:rFonts w:ascii="Arial" w:hAnsi="Arial" w:eastAsia="微软雅黑" w:cs="Arial"/>
          <w:sz w:val="22"/>
          <w:szCs w:val="22"/>
        </w:rPr>
        <w:t xml:space="preserve">          日期：    年</w:t>
      </w:r>
      <w:r>
        <w:rPr>
          <w:rFonts w:ascii="Arial" w:hAnsi="Arial" w:eastAsia="微软雅黑" w:cs="Arial"/>
          <w:sz w:val="22"/>
          <w:szCs w:val="22"/>
        </w:rPr>
        <w:tab/>
      </w:r>
      <w:r>
        <w:rPr>
          <w:rFonts w:ascii="Arial" w:hAnsi="Arial" w:eastAsia="微软雅黑" w:cs="Arial"/>
          <w:sz w:val="22"/>
          <w:szCs w:val="22"/>
        </w:rPr>
        <w:t xml:space="preserve">   月   日</w:t>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以下是斯必克（上海）流体技术有限公司</w:t>
      </w:r>
      <w:r>
        <w:rPr>
          <w:rFonts w:hint="eastAsia" w:ascii="Arial" w:hAnsi="Arial" w:eastAsia="微软雅黑" w:cs="Arial"/>
          <w:sz w:val="22"/>
          <w:szCs w:val="22"/>
        </w:rPr>
        <w:t>2024</w:t>
      </w:r>
      <w:r>
        <w:rPr>
          <w:rFonts w:ascii="Arial" w:hAnsi="Arial" w:eastAsia="微软雅黑" w:cs="Arial"/>
          <w:sz w:val="22"/>
          <w:szCs w:val="22"/>
        </w:rPr>
        <w:t>年度关联交易同期资料本地文档报告内容与[2016]42号公告第十四条规定的本地文档内容对照表。</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r>
              <w:rPr>
                <w:rFonts w:hint="eastAsia" w:ascii="Arial" w:hAnsi="Arial" w:eastAsia="微软雅黑" w:cs="Arial"/>
                <w:sz w:val="18"/>
                <w:szCs w:val="18"/>
                <w:lang w:eastAsia="zh-CN"/>
              </w:rPr>
              <w:t>.3</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立信税务师事务所有限公司</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斯必克（上海）流体技术有限公司</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评估期间或202</w:t>
            </w:r>
            <w:r>
              <w:rPr>
                <w:rFonts w:hint="eastAsia" w:ascii="Arial" w:hAnsi="Arial" w:eastAsia="微软雅黑" w:cs="Arial"/>
                <w:sz w:val="18"/>
                <w:szCs w:val="18"/>
              </w:rPr>
              <w:t>4</w:t>
            </w:r>
            <w:r>
              <w:rPr>
                <w:rFonts w:ascii="Arial" w:hAnsi="Arial" w:eastAsia="微软雅黑" w:cs="Arial"/>
                <w:sz w:val="18"/>
                <w:szCs w:val="18"/>
              </w:rPr>
              <w:t>年度</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2024</w:t>
            </w:r>
            <w:r>
              <w:rPr>
                <w:rFonts w:ascii="Arial" w:hAnsi="Arial" w:eastAsia="微软雅黑" w:cs="Arial"/>
                <w:sz w:val="18"/>
                <w:szCs w:val="18"/>
              </w:rPr>
              <w:t>年1月1日至</w:t>
            </w:r>
            <w:r>
              <w:rPr>
                <w:rFonts w:hint="eastAsia" w:ascii="Arial" w:hAnsi="Arial" w:eastAsia="微软雅黑" w:cs="Arial"/>
                <w:sz w:val="18"/>
                <w:szCs w:val="18"/>
              </w:rPr>
              <w:t>2024</w:t>
            </w:r>
            <w:r>
              <w:rPr>
                <w:rFonts w:ascii="Arial" w:hAnsi="Arial" w:eastAsia="微软雅黑" w:cs="Arial"/>
                <w:sz w:val="18"/>
                <w:szCs w:val="18"/>
              </w:rPr>
              <w:t>年12月31日</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w:t>
            </w:r>
            <w:r>
              <w:rPr>
                <w:rFonts w:ascii="Arial" w:hAnsi="Arial" w:eastAsia="微软雅黑" w:cs="Arial"/>
                <w:sz w:val="18"/>
                <w:szCs w:val="18"/>
              </w:rPr>
              <w:t>022</w:t>
            </w:r>
            <w:r>
              <w:rPr>
                <w:rFonts w:hint="eastAsia" w:ascii="Arial" w:hAnsi="Arial" w:eastAsia="微软雅黑" w:cs="Arial"/>
                <w:sz w:val="18"/>
                <w:szCs w:val="18"/>
              </w:rPr>
              <w:t>年版</w:t>
            </w:r>
            <w:r>
              <w:rPr>
                <w:rFonts w:ascii="Arial" w:hAnsi="Arial" w:eastAsia="微软雅黑" w:cs="Arial"/>
                <w:sz w:val="18"/>
                <w:szCs w:val="18"/>
              </w:rPr>
              <w:t>《OECD跨国企业与税务机关转让定价指南》</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立信税务师事务所有限公司（以下简称“立信”或“我们”）</w:t>
      </w:r>
      <w:r>
        <w:rPr>
          <w:rFonts w:hint="eastAsia" w:ascii="Arial" w:hAnsi="Arial" w:eastAsia="微软雅黑" w:cs="Arial"/>
          <w:sz w:val="22"/>
          <w:szCs w:val="22"/>
        </w:rPr>
        <w:t>接</w:t>
      </w:r>
      <w:r>
        <w:rPr>
          <w:rFonts w:ascii="Arial" w:hAnsi="Arial" w:eastAsia="微软雅黑" w:cs="Arial"/>
          <w:sz w:val="22"/>
          <w:szCs w:val="22"/>
        </w:rPr>
        <w:t>受斯必克（上海）流体技术有限公司（以下简称“斯必克流体技术”或“本公司”）的委托，协助准备</w:t>
      </w:r>
      <w:r>
        <w:rPr>
          <w:rFonts w:hint="eastAsia" w:ascii="Arial" w:hAnsi="Arial" w:eastAsia="微软雅黑" w:cs="Arial"/>
          <w:sz w:val="22"/>
          <w:szCs w:val="22"/>
        </w:rPr>
        <w:t>2024</w:t>
      </w:r>
      <w:r>
        <w:rPr>
          <w:rFonts w:ascii="Arial" w:hAnsi="Arial" w:eastAsia="微软雅黑" w:cs="Arial"/>
          <w:sz w:val="22"/>
          <w:szCs w:val="22"/>
        </w:rPr>
        <w:t>财务年度（以下简称“评估期间”或“</w:t>
      </w:r>
      <w:r>
        <w:rPr>
          <w:rFonts w:hint="eastAsia" w:ascii="Arial" w:hAnsi="Arial" w:eastAsia="微软雅黑" w:cs="Arial"/>
          <w:sz w:val="22"/>
          <w:szCs w:val="22"/>
        </w:rPr>
        <w:t>2024</w:t>
      </w:r>
      <w:r>
        <w:rPr>
          <w:rFonts w:ascii="Arial" w:hAnsi="Arial" w:eastAsia="微软雅黑" w:cs="Arial"/>
          <w:sz w:val="22"/>
          <w:szCs w:val="22"/>
        </w:rPr>
        <w:t>年度”）的关联交易同期资料的本地文档报告（以下简称“本报告”）。</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2024</w:t>
      </w:r>
      <w:r>
        <w:rPr>
          <w:rFonts w:ascii="Arial" w:hAnsi="Arial" w:eastAsia="微软雅黑" w:cs="Arial"/>
          <w:sz w:val="22"/>
          <w:szCs w:val="22"/>
        </w:rPr>
        <w:t>年度，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依照[2016]42号公告第14条的相关规定，本报告将作为斯必克流体技术</w:t>
      </w:r>
      <w:r>
        <w:rPr>
          <w:rFonts w:hint="eastAsia" w:ascii="Arial" w:hAnsi="Arial" w:eastAsia="微软雅黑" w:cs="Arial"/>
          <w:sz w:val="22"/>
          <w:szCs w:val="22"/>
        </w:rPr>
        <w:t>2024</w:t>
      </w:r>
      <w:r>
        <w:rPr>
          <w:rFonts w:ascii="Arial" w:hAnsi="Arial" w:eastAsia="微软雅黑" w:cs="Arial"/>
          <w:sz w:val="22"/>
          <w:szCs w:val="22"/>
        </w:rPr>
        <w:t>年度的同期资料，旨在对其与其关联方在截至</w:t>
      </w:r>
      <w:r>
        <w:rPr>
          <w:rFonts w:hint="eastAsia" w:ascii="Arial" w:hAnsi="Arial" w:eastAsia="微软雅黑" w:cs="Arial"/>
          <w:sz w:val="22"/>
          <w:szCs w:val="22"/>
        </w:rPr>
        <w:t>2024</w:t>
      </w:r>
      <w:r>
        <w:rPr>
          <w:rFonts w:ascii="Arial" w:hAnsi="Arial" w:eastAsia="微软雅黑" w:cs="Arial"/>
          <w:sz w:val="22"/>
          <w:szCs w:val="22"/>
        </w:rPr>
        <w:t>年12月31日前发生的受测关联交易进行分析和说明。</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w:t>
      </w:r>
      <w:bookmarkEnd w:id="33"/>
      <w:bookmarkEnd w:id="34"/>
      <w:bookmarkEnd w:id="35"/>
      <w:r>
        <w:rPr>
          <w:rFonts w:ascii="Arial" w:hAnsi="Arial" w:eastAsia="微软雅黑" w:cs="Arial"/>
          <w:b w:val="0"/>
          <w:bCs w:val="0"/>
          <w:i w:val="0"/>
          <w:color w:val="4F81BD"/>
          <w:sz w:val="22"/>
          <w:szCs w:val="22"/>
        </w:rPr>
        <w:t xml:space="preserve"> —— </w:t>
      </w:r>
      <w:bookmarkStart w:id="42" w:name="_Toc447817171"/>
      <w:bookmarkStart w:id="43" w:name="_Toc15689"/>
      <w:bookmarkStart w:id="44" w:name="_Toc435807829"/>
      <w:r>
        <w:rPr>
          <w:rFonts w:ascii="Arial" w:hAnsi="Arial" w:eastAsia="微软雅黑" w:cs="Arial"/>
          <w:b w:val="0"/>
          <w:bCs w:val="0"/>
          <w:i w:val="0"/>
          <w:color w:val="4F81BD"/>
          <w:sz w:val="22"/>
          <w:szCs w:val="22"/>
        </w:rPr>
        <w:t>对受测关联交易的分析</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我们基于斯必克流体技术对集团整体利润或者剩余利润所做的贡献，以及其所承担的功能风险，对中国转让定价法规以及</w:t>
      </w:r>
      <w:bookmarkStart w:id="45" w:name="OLE_LINK1"/>
      <w:r>
        <w:rPr>
          <w:rFonts w:ascii="Arial" w:hAnsi="Arial" w:eastAsia="微软雅黑" w:cs="Arial"/>
          <w:sz w:val="22"/>
          <w:szCs w:val="22"/>
        </w:rPr>
        <w:t>OECD转让定价指南</w:t>
      </w:r>
      <w:bookmarkEnd w:id="45"/>
      <w:r>
        <w:rPr>
          <w:rFonts w:ascii="Arial" w:hAnsi="Arial" w:eastAsia="微软雅黑" w:cs="Arial"/>
          <w:sz w:val="22"/>
          <w:szCs w:val="22"/>
        </w:rPr>
        <w:t>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17</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12.74%</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8.41%</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3.00%</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w:t>
      </w:r>
      <w:r>
        <w:rPr>
          <w:rFonts w:hint="eastAsia" w:ascii="Arial" w:hAnsi="Arial" w:eastAsia="微软雅黑" w:cs="Arial"/>
          <w:sz w:val="22"/>
          <w:szCs w:val="22"/>
        </w:rPr>
        <w:t>到2</w:t>
      </w:r>
      <w:r>
        <w:rPr>
          <w:rFonts w:ascii="Arial" w:hAnsi="Arial" w:eastAsia="微软雅黑" w:cs="Arial"/>
          <w:sz w:val="22"/>
          <w:szCs w:val="22"/>
        </w:rPr>
        <w:t>023财年加权平均完全成本加成率独立交易</w:t>
      </w:r>
      <w:r>
        <w:rPr>
          <w:rFonts w:hint="eastAsia" w:ascii="Arial" w:hAnsi="Arial" w:eastAsia="微软雅黑" w:cs="Arial"/>
          <w:sz w:val="22"/>
          <w:szCs w:val="22"/>
        </w:rPr>
        <w:t>四分位</w:t>
      </w:r>
      <w:r>
        <w:rPr>
          <w:rFonts w:ascii="Arial" w:hAnsi="Arial" w:eastAsia="微软雅黑" w:cs="Arial"/>
          <w:sz w:val="22"/>
          <w:szCs w:val="22"/>
        </w:rPr>
        <w:t>区间为3.00%到12.74%，中位值为8.41%。</w:t>
      </w:r>
      <w:r>
        <w:rPr>
          <w:rFonts w:ascii="Arial" w:hAnsi="Arial" w:eastAsia="微软雅黑" w:cs="Arial"/>
          <w:kern w:val="2"/>
          <w:sz w:val="22"/>
          <w:szCs w:val="22"/>
        </w:rPr>
        <w:t>斯必克流体技术</w:t>
      </w:r>
      <w:r>
        <w:rPr>
          <w:rFonts w:ascii="Arial" w:hAnsi="Arial" w:eastAsia="微软雅黑" w:cs="Arial"/>
          <w:sz w:val="22"/>
          <w:szCs w:val="22"/>
        </w:rPr>
        <w:t>在2024年度关联销售交易和非关联销售交易中取得的完全成本加成率分别为</w:t>
      </w:r>
      <w:r>
        <w:rPr>
          <w:rFonts w:ascii="Arial" w:hAnsi="Arial" w:eastAsia="微软雅黑" w:cs="Arial"/>
          <w:color w:val="000000"/>
          <w:sz w:val="22"/>
          <w:szCs w:val="22"/>
        </w:rPr>
        <w:t>22.93</w:t>
      </w:r>
      <w:r>
        <w:rPr>
          <w:rFonts w:ascii="Arial" w:hAnsi="Arial" w:eastAsia="微软雅黑" w:cs="Arial"/>
          <w:sz w:val="22"/>
          <w:szCs w:val="22"/>
        </w:rPr>
        <w:t>%和</w:t>
      </w:r>
      <w:r>
        <w:rPr>
          <w:rFonts w:ascii="Arial" w:hAnsi="Arial" w:eastAsia="微软雅黑" w:cs="Arial"/>
          <w:color w:val="000000"/>
          <w:sz w:val="22"/>
          <w:szCs w:val="22"/>
        </w:rPr>
        <w:t>21.63</w:t>
      </w:r>
      <w:r>
        <w:rPr>
          <w:rFonts w:ascii="Arial" w:hAnsi="Arial" w:eastAsia="微软雅黑" w:cs="Arial"/>
          <w:sz w:val="22"/>
          <w:szCs w:val="22"/>
        </w:rPr>
        <w:t>%，均高于可比非受控公司在2021</w:t>
      </w:r>
      <w:r>
        <w:rPr>
          <w:rFonts w:hint="eastAsia" w:ascii="Arial" w:hAnsi="Arial" w:eastAsia="微软雅黑" w:cs="Arial"/>
          <w:sz w:val="22"/>
          <w:szCs w:val="22"/>
        </w:rPr>
        <w:t>到2</w:t>
      </w:r>
      <w:r>
        <w:rPr>
          <w:rFonts w:ascii="Arial" w:hAnsi="Arial" w:eastAsia="微软雅黑" w:cs="Arial"/>
          <w:sz w:val="22"/>
          <w:szCs w:val="22"/>
        </w:rPr>
        <w:t>023财年三年加权平均完全成本加成率的独立交易区间的中位值。因此，从中国转让定价角度，斯必克流体技术在2024年受测关联交易中的转让定价安排未减少其应申报的应纳税收入或所得额。</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SPX FLOW, Inc.（以下简称“斯必克流体集团”）是一家提供高度专业化和工程化解决方案的全球供应商，总部位于美国北卡罗来纳州的夏洛特市。在超过30个国家拥有分支机构，</w:t>
      </w:r>
      <w:r>
        <w:rPr>
          <w:rFonts w:hint="eastAsia" w:ascii="Arial" w:hAnsi="Arial" w:eastAsia="微软雅黑" w:cs="Arial"/>
          <w:sz w:val="22"/>
          <w:szCs w:val="22"/>
        </w:rPr>
        <w:t>产品行销</w:t>
      </w:r>
      <w:r>
        <w:rPr>
          <w:rFonts w:ascii="Arial" w:hAnsi="Arial" w:eastAsia="微软雅黑" w:cs="Arial"/>
          <w:sz w:val="22"/>
          <w:szCs w:val="22"/>
        </w:rPr>
        <w:t>全球140多个国家。</w:t>
      </w:r>
      <w:r>
        <w:rPr>
          <w:rStyle w:val="38"/>
          <w:rFonts w:ascii="Arial" w:hAnsi="Arial" w:eastAsia="微软雅黑" w:cs="Arial"/>
          <w:sz w:val="22"/>
          <w:szCs w:val="22"/>
        </w:rPr>
        <w:footnoteReference w:id="0"/>
      </w:r>
      <w:r>
        <w:rPr>
          <w:rFonts w:ascii="Arial" w:hAnsi="Arial" w:eastAsia="微软雅黑" w:cs="Arial"/>
          <w:sz w:val="22"/>
          <w:szCs w:val="22"/>
        </w:rPr>
        <w:t xml:space="preserve"> </w:t>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斯必克（上海）流体技术有限公司</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2024年度适用的企业所得税率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w:t>
      </w:r>
      <w:r>
        <w:rPr>
          <w:rFonts w:hint="eastAsia" w:ascii="Arial" w:hAnsi="Arial" w:eastAsia="微软雅黑" w:cs="Arial"/>
          <w:sz w:val="22"/>
          <w:szCs w:val="22"/>
        </w:rPr>
        <w:t>2024</w:t>
      </w:r>
      <w:r>
        <w:rPr>
          <w:rFonts w:ascii="Arial" w:hAnsi="Arial" w:eastAsia="微软雅黑" w:cs="Arial"/>
          <w:sz w:val="22"/>
          <w:szCs w:val="22"/>
        </w:rPr>
        <w:t>年12月31日，斯必克流体技术的主要业务部门和职责范围显示如下，各部门负责人汇报的对象均为</w:t>
      </w:r>
      <w:r>
        <w:rPr>
          <w:rFonts w:hint="eastAsia" w:ascii="Arial" w:hAnsi="Arial" w:eastAsia="微软雅黑" w:cs="Arial"/>
          <w:sz w:val="22"/>
          <w:szCs w:val="22"/>
        </w:rPr>
        <w:t>位于</w:t>
      </w:r>
      <w:r>
        <w:rPr>
          <w:rFonts w:ascii="Arial" w:hAnsi="Arial" w:eastAsia="微软雅黑" w:cs="Arial"/>
          <w:sz w:val="22"/>
          <w:szCs w:val="22"/>
        </w:rPr>
        <w:t>上海的工厂厂长办公室：</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9</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8</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182</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36</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24</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10</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5</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23</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2</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80</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30</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7</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15</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59</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2</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6</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5</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503</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评估期间，斯必克流体技术主要从事生产业务。下表列示了2024年度斯必克流体技术的具体财务状况。由于斯必克流体技术主要从事生产业务，因此并不存在财务数据需要在不同类型的业务中拆分的情况：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w:t>
      </w:r>
      <w:r>
        <w:rPr>
          <w:rFonts w:ascii="Arial" w:hAnsi="Arial" w:eastAsia="微软雅黑" w:cs="Arial"/>
          <w:bCs w:val="0"/>
          <w:sz w:val="18"/>
          <w:szCs w:val="18"/>
        </w:rPr>
        <w:t>表5：斯必克流体技术财务状况</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1</w:t>
            </w:r>
            <w:r>
              <w:rPr>
                <w:rFonts w:ascii="Arial" w:hAnsi="Arial" w:eastAsia="微软雅黑" w:cs="Arial"/>
                <w:bCs/>
                <w:color w:val="000000"/>
                <w:sz w:val="18"/>
                <w:szCs w:val="18"/>
              </w:rPr>
              <w:t xml:space="preserve">,367,463,533.22 </w:t>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858,882,211.90</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8,926,363.51</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74,466,633.95</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179,066,224.11</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1,121,341,433.47 </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246,122,099.75 </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21.95%</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w:t>
      </w:r>
      <w:r>
        <w:rPr>
          <w:rStyle w:val="38"/>
          <w:rFonts w:ascii="Arial" w:hAnsi="Arial" w:eastAsia="微软雅黑" w:cs="Arial"/>
          <w:sz w:val="22"/>
          <w:szCs w:val="22"/>
        </w:rPr>
        <w:footnoteReference w:id="4"/>
      </w:r>
      <w:r>
        <w:rPr>
          <w:rFonts w:ascii="Arial" w:hAnsi="Arial" w:eastAsia="微软雅黑" w:cs="Arial"/>
          <w:sz w:val="22"/>
          <w:szCs w:val="22"/>
        </w:rPr>
        <w:t xml:space="preserve"> </w:t>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根据联合国2024年度《世界经济形势与展望》报告，2023年，一系列相互影响的严重冲击，包括俄乌冲突、巴以色列冲突、美元持续高息以及气候紧急状况等，导致世界经济遭受重创。预计 2025 年全球经济增长率为 2.8%，2026 年为 2.9%，与 2023 年记录的 2.8% 和 2024 年估计的增长率基本持平。不过，这在很大程度上将取决于货币持续紧缩的速度和顺序、俄乌冲突的进程和后果以及供应链进一步中断的可能性。不过，东亚地区经济增长率预计加快，原因主要为印度经济的崛起。</w:t>
      </w:r>
      <w:r>
        <w:rPr>
          <w:rFonts w:hint="eastAsia" w:ascii="Arial" w:hAnsi="Arial" w:eastAsia="微软雅黑" w:cs="Arial"/>
          <w:sz w:val="22"/>
          <w:szCs w:val="22"/>
        </w:rPr>
        <w:t>预计 2024 年增长率为 4.9%，预计 2025 年为 4.8%。</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w:t>
      </w:r>
      <w:r>
        <w:rPr>
          <w:rFonts w:hint="eastAsia" w:ascii="Arial" w:hAnsi="Arial" w:eastAsia="微软雅黑" w:cs="Arial"/>
          <w:sz w:val="22"/>
          <w:szCs w:val="22"/>
        </w:rPr>
        <w:t>4</w:t>
      </w:r>
      <w:r>
        <w:rPr>
          <w:rFonts w:ascii="Arial" w:hAnsi="Arial" w:eastAsia="微软雅黑" w:cs="Arial"/>
          <w:sz w:val="22"/>
          <w:szCs w:val="22"/>
        </w:rPr>
        <w:t>年全球制造业PMI均值为</w:t>
      </w:r>
      <w:r>
        <w:rPr>
          <w:rFonts w:hint="eastAsia" w:ascii="Arial" w:hAnsi="Arial" w:eastAsia="微软雅黑" w:cs="Arial"/>
          <w:sz w:val="22"/>
          <w:szCs w:val="22"/>
        </w:rPr>
        <w:t>49.3%</w:t>
      </w:r>
      <w:r>
        <w:rPr>
          <w:rFonts w:ascii="Arial" w:hAnsi="Arial" w:eastAsia="微软雅黑" w:cs="Arial"/>
          <w:sz w:val="22"/>
          <w:szCs w:val="22"/>
        </w:rPr>
        <w:t>，较202</w:t>
      </w:r>
      <w:r>
        <w:rPr>
          <w:rFonts w:hint="eastAsia" w:ascii="Arial" w:hAnsi="Arial" w:eastAsia="微软雅黑" w:cs="Arial"/>
          <w:sz w:val="22"/>
          <w:szCs w:val="22"/>
        </w:rPr>
        <w:t>3</w:t>
      </w:r>
      <w:r>
        <w:rPr>
          <w:rFonts w:ascii="Arial" w:hAnsi="Arial" w:eastAsia="微软雅黑" w:cs="Arial"/>
          <w:sz w:val="22"/>
          <w:szCs w:val="22"/>
        </w:rPr>
        <w:t>年均值</w:t>
      </w:r>
      <w:r>
        <w:rPr>
          <w:rFonts w:hint="eastAsia" w:ascii="Arial" w:hAnsi="Arial" w:eastAsia="微软雅黑" w:cs="Arial"/>
          <w:sz w:val="22"/>
          <w:szCs w:val="22"/>
        </w:rPr>
        <w:t>上升0.8</w:t>
      </w:r>
      <w:r>
        <w:rPr>
          <w:rFonts w:ascii="Arial" w:hAnsi="Arial" w:eastAsia="微软雅黑" w:cs="Arial"/>
          <w:sz w:val="22"/>
          <w:szCs w:val="22"/>
        </w:rPr>
        <w:t>个百分点。</w:t>
      </w:r>
      <w:r>
        <w:rPr>
          <w:rFonts w:hint="eastAsia" w:ascii="Arial" w:hAnsi="Arial" w:eastAsia="微软雅黑" w:cs="Arial"/>
          <w:sz w:val="22"/>
          <w:szCs w:val="22"/>
        </w:rPr>
        <w:t>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中国市场</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t>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w:t>
      </w:r>
      <w:r>
        <w:rPr>
          <w:rFonts w:hint="eastAsia" w:ascii="Arial" w:hAnsi="Arial" w:eastAsia="微软雅黑" w:cs="Arial"/>
          <w:sz w:val="22"/>
          <w:szCs w:val="22"/>
        </w:rPr>
        <w:t>近 3000 亿元，同比下降 1.7%</w:t>
      </w:r>
      <w:r>
        <w:rPr>
          <w:rStyle w:val="38"/>
          <w:rFonts w:ascii="Arial" w:hAnsi="Arial" w:eastAsia="微软雅黑" w:cs="Arial"/>
          <w:sz w:val="22"/>
          <w:szCs w:val="22"/>
        </w:rPr>
        <w:footnoteReference w:id="9"/>
      </w:r>
      <w:r>
        <w:rPr>
          <w:rFonts w:hint="eastAsia" w:ascii="Arial" w:hAnsi="Arial" w:eastAsia="微软雅黑" w:cs="Arial"/>
          <w:sz w:val="22"/>
          <w:szCs w:val="22"/>
        </w:rPr>
        <w:t>。</w:t>
      </w:r>
      <w:r>
        <w:rPr>
          <w:rFonts w:ascii="Arial" w:hAnsi="Arial" w:eastAsia="微软雅黑" w:cs="Arial"/>
          <w:sz w:val="22"/>
          <w:szCs w:val="22"/>
        </w:rPr>
        <w:t>另一方面，2024年</w:t>
      </w:r>
      <w:r>
        <w:rPr>
          <w:rFonts w:hint="eastAsia" w:ascii="Arial" w:hAnsi="Arial" w:eastAsia="微软雅黑" w:cs="Arial"/>
          <w:sz w:val="22"/>
          <w:szCs w:val="22"/>
        </w:rPr>
        <w:t>年末</w:t>
      </w:r>
      <w:r>
        <w:rPr>
          <w:rFonts w:ascii="Arial" w:hAnsi="Arial" w:eastAsia="微软雅黑" w:cs="Arial"/>
          <w:sz w:val="22"/>
          <w:szCs w:val="22"/>
        </w:rPr>
        <w:t>，中国制造业结束下探走势，出现稳步回升，制造业PMI</w:t>
      </w:r>
      <w:r>
        <w:rPr>
          <w:rFonts w:hint="eastAsia" w:ascii="Arial" w:hAnsi="Arial" w:eastAsia="微软雅黑" w:cs="Arial"/>
          <w:sz w:val="22"/>
          <w:szCs w:val="22"/>
        </w:rPr>
        <w:t>维持在</w:t>
      </w:r>
      <w:r>
        <w:rPr>
          <w:rFonts w:ascii="Arial" w:hAnsi="Arial" w:eastAsia="微软雅黑" w:cs="Arial"/>
          <w:sz w:val="22"/>
          <w:szCs w:val="22"/>
        </w:rPr>
        <w:t>50%以上</w:t>
      </w:r>
      <w:r>
        <w:rPr>
          <w:rStyle w:val="38"/>
          <w:rFonts w:ascii="Arial" w:hAnsi="Arial" w:eastAsia="微软雅黑" w:cs="Arial"/>
          <w:sz w:val="22"/>
          <w:szCs w:val="22"/>
        </w:rPr>
        <w:footnoteReference w:id="10"/>
      </w:r>
      <w:r>
        <w:rPr>
          <w:rFonts w:ascii="Arial" w:hAnsi="Arial" w:eastAsia="微软雅黑" w:cs="Arial"/>
          <w:sz w:val="22"/>
          <w:szCs w:val="22"/>
        </w:rPr>
        <w:t>。指数变化显示中国经济加速回升较好带动了亚洲经济止降趋稳，印度和东南亚主要国家也保持较快增长，较好助力亚洲经济趋稳。</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w:t>
      </w:r>
      <w:r>
        <w:rPr>
          <w:rFonts w:ascii="Arial" w:hAnsi="Arial" w:eastAsia="微软雅黑" w:cs="Arial"/>
          <w:sz w:val="22"/>
          <w:szCs w:val="22"/>
        </w:rPr>
        <w:t>"</w:t>
      </w:r>
      <w:r>
        <w:rPr>
          <w:rFonts w:hint="eastAsia" w:ascii="Arial" w:hAnsi="Arial" w:eastAsia="微软雅黑" w:cs="Arial"/>
          <w:sz w:val="22"/>
          <w:szCs w:val="22"/>
        </w:rPr>
        <w:t>健康产业</w:t>
      </w:r>
      <w:r>
        <w:rPr>
          <w:rFonts w:ascii="Arial" w:hAnsi="Arial" w:eastAsia="微软雅黑" w:cs="Arial"/>
          <w:sz w:val="22"/>
          <w:szCs w:val="22"/>
        </w:rPr>
        <w:t>"</w:t>
      </w:r>
      <w:r>
        <w:rPr>
          <w:rFonts w:hint="eastAsia" w:ascii="Arial" w:hAnsi="Arial" w:eastAsia="微软雅黑" w:cs="Arial"/>
          <w:sz w:val="22"/>
          <w:szCs w:val="22"/>
        </w:rPr>
        <w:t>。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202</w:t>
      </w:r>
      <w:r>
        <w:rPr>
          <w:rFonts w:hint="eastAsia" w:ascii="Arial" w:hAnsi="Arial" w:eastAsia="微软雅黑" w:cs="Arial"/>
          <w:sz w:val="22"/>
          <w:szCs w:val="22"/>
          <w:lang w:bidi="ar"/>
        </w:rPr>
        <w:t>4年全球</w:t>
      </w:r>
      <w:r>
        <w:rPr>
          <w:rFonts w:ascii="Arial" w:hAnsi="Arial" w:eastAsia="微软雅黑" w:cs="Arial"/>
          <w:sz w:val="22"/>
          <w:szCs w:val="22"/>
          <w:lang w:bidi="ar"/>
        </w:rPr>
        <w:t>GDP</w:t>
      </w:r>
      <w:r>
        <w:rPr>
          <w:rFonts w:hint="eastAsia" w:ascii="Arial" w:hAnsi="Arial" w:eastAsia="微软雅黑" w:cs="Arial"/>
          <w:sz w:val="22"/>
          <w:szCs w:val="22"/>
          <w:lang w:bidi="ar"/>
        </w:rPr>
        <w:t>增速为</w:t>
      </w:r>
      <w:r>
        <w:rPr>
          <w:rFonts w:ascii="Arial" w:hAnsi="Arial" w:eastAsia="微软雅黑" w:cs="Arial"/>
          <w:sz w:val="22"/>
          <w:szCs w:val="22"/>
          <w:lang w:bidi="ar"/>
        </w:rPr>
        <w:t>3.3</w:t>
      </w:r>
      <w:r>
        <w:rPr>
          <w:rFonts w:hint="eastAsia" w:ascii="Arial" w:hAnsi="Arial" w:eastAsia="微软雅黑" w:cs="Arial"/>
          <w:sz w:val="22"/>
          <w:szCs w:val="22"/>
          <w:lang w:bidi="ar"/>
        </w:rPr>
        <w:t>%，较</w:t>
      </w:r>
      <w:r>
        <w:rPr>
          <w:rFonts w:ascii="Arial" w:hAnsi="Arial" w:eastAsia="微软雅黑" w:cs="Arial"/>
          <w:sz w:val="22"/>
          <w:szCs w:val="22"/>
          <w:lang w:bidi="ar"/>
        </w:rPr>
        <w:t>202</w:t>
      </w:r>
      <w:r>
        <w:rPr>
          <w:rFonts w:hint="eastAsia" w:ascii="Arial" w:hAnsi="Arial" w:eastAsia="微软雅黑" w:cs="Arial"/>
          <w:sz w:val="22"/>
          <w:szCs w:val="22"/>
          <w:lang w:bidi="ar"/>
        </w:rPr>
        <w:t>3年上升</w:t>
      </w:r>
      <w:r>
        <w:rPr>
          <w:rFonts w:ascii="Arial" w:hAnsi="Arial" w:eastAsia="微软雅黑" w:cs="Arial"/>
          <w:sz w:val="22"/>
          <w:szCs w:val="22"/>
          <w:lang w:bidi="ar"/>
        </w:rPr>
        <w:t>0.6</w:t>
      </w:r>
      <w:r>
        <w:rPr>
          <w:rFonts w:hint="eastAsia" w:ascii="Arial" w:hAnsi="Arial" w:eastAsia="微软雅黑" w:cs="Arial"/>
          <w:sz w:val="22"/>
          <w:szCs w:val="22"/>
          <w:lang w:bidi="ar"/>
        </w:rPr>
        <w:t>个百分点。预计2</w:t>
      </w:r>
      <w:r>
        <w:rPr>
          <w:rFonts w:ascii="Arial" w:hAnsi="Arial" w:eastAsia="微软雅黑" w:cs="Arial"/>
          <w:sz w:val="22"/>
          <w:szCs w:val="22"/>
          <w:lang w:bidi="ar"/>
        </w:rPr>
        <w:t>025</w:t>
      </w:r>
      <w:r>
        <w:rPr>
          <w:rFonts w:hint="eastAsia" w:ascii="Arial" w:hAnsi="Arial" w:eastAsia="微软雅黑" w:cs="Arial"/>
          <w:sz w:val="22"/>
          <w:szCs w:val="22"/>
          <w:lang w:bidi="ar"/>
        </w:rPr>
        <w:t>年及2</w:t>
      </w:r>
      <w:r>
        <w:rPr>
          <w:rFonts w:ascii="Arial" w:hAnsi="Arial" w:eastAsia="微软雅黑" w:cs="Arial"/>
          <w:sz w:val="22"/>
          <w:szCs w:val="22"/>
          <w:lang w:bidi="ar"/>
        </w:rPr>
        <w:t>026</w:t>
      </w:r>
      <w:r>
        <w:rPr>
          <w:rFonts w:hint="eastAsia" w:ascii="Arial" w:hAnsi="Arial" w:eastAsia="微软雅黑" w:cs="Arial"/>
          <w:sz w:val="22"/>
          <w:szCs w:val="22"/>
          <w:lang w:bidi="ar"/>
        </w:rPr>
        <w:t>年全球G</w:t>
      </w:r>
      <w:r>
        <w:rPr>
          <w:rFonts w:ascii="Arial" w:hAnsi="Arial" w:eastAsia="微软雅黑" w:cs="Arial"/>
          <w:sz w:val="22"/>
          <w:szCs w:val="22"/>
          <w:lang w:bidi="ar"/>
        </w:rPr>
        <w:t>DP</w:t>
      </w:r>
      <w:r>
        <w:rPr>
          <w:rFonts w:hint="eastAsia" w:ascii="Arial" w:hAnsi="Arial" w:eastAsia="微软雅黑" w:cs="Arial"/>
          <w:sz w:val="22"/>
          <w:szCs w:val="22"/>
          <w:lang w:bidi="ar"/>
        </w:rPr>
        <w:t>增速为2</w:t>
      </w:r>
      <w:r>
        <w:rPr>
          <w:rFonts w:ascii="Arial" w:hAnsi="Arial" w:eastAsia="微软雅黑" w:cs="Arial"/>
          <w:sz w:val="22"/>
          <w:szCs w:val="22"/>
          <w:lang w:bidi="ar"/>
        </w:rPr>
        <w:t>.8%</w:t>
      </w:r>
      <w:r>
        <w:rPr>
          <w:rFonts w:hint="eastAsia" w:ascii="Arial" w:hAnsi="Arial" w:eastAsia="微软雅黑" w:cs="Arial"/>
          <w:sz w:val="22"/>
          <w:szCs w:val="22"/>
          <w:lang w:bidi="ar"/>
        </w:rPr>
        <w:t>、3</w:t>
      </w:r>
      <w:r>
        <w:rPr>
          <w:rFonts w:ascii="Arial" w:hAnsi="Arial" w:eastAsia="微软雅黑" w:cs="Arial"/>
          <w:sz w:val="22"/>
          <w:szCs w:val="22"/>
          <w:lang w:bidi="ar"/>
        </w:rPr>
        <w:t>.0%</w:t>
      </w:r>
      <w:r>
        <w:rPr>
          <w:rFonts w:hint="eastAsia" w:ascii="Arial" w:hAnsi="Arial" w:eastAsia="微软雅黑" w:cs="Arial"/>
          <w:sz w:val="22"/>
          <w:szCs w:val="22"/>
          <w:lang w:bidi="ar"/>
        </w:rPr>
        <w:t>，较以往预测值有所下调，世界各国政府调整政策重点、不确定性攀升至新高。在贸易紧张局势升级、金融市场经历调整的环境下，不断加剧的下行风险主导着经济前景。</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w:t>
      </w:r>
      <w:r>
        <w:rPr>
          <w:rFonts w:hint="eastAsia" w:ascii="Arial" w:hAnsi="Arial" w:eastAsia="微软雅黑" w:cs="Arial"/>
          <w:sz w:val="22"/>
          <w:szCs w:val="22"/>
          <w:lang w:bidi="ar"/>
        </w:rPr>
        <w:t>所述</w:t>
      </w:r>
      <w:r>
        <w:rPr>
          <w:rFonts w:ascii="Arial" w:hAnsi="Arial" w:eastAsia="微软雅黑" w:cs="Arial"/>
          <w:sz w:val="22"/>
          <w:szCs w:val="22"/>
          <w:lang w:bidi="ar"/>
        </w:rPr>
        <w:t>，斯必克流体技术容易受到下游行业发展情况影响，面临的市场竞争非常激烈。</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斯必克流体技术2024年度主要关联方的基本信息如下所示：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1）斯必克流体技术的母公司情况</w:t>
      </w:r>
      <w:r>
        <w:rPr>
          <w:rFonts w:hint="eastAsia" w:ascii="Arial" w:hAnsi="Arial" w:eastAsia="微软雅黑" w:cs="Arial"/>
          <w:sz w:val="22"/>
          <w:szCs w:val="22"/>
        </w:rPr>
        <w:t>：</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2）斯必克流体技术的其他关联方情况如下：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在2024年度，没有个人关联方直接或间接持有斯必克流体技术的股份</w:t>
      </w:r>
      <w:r>
        <w:rPr>
          <w:rFonts w:hint="eastAsia" w:ascii="Arial" w:hAnsi="Arial" w:eastAsia="微软雅黑" w:cs="Arial"/>
          <w:sz w:val="22"/>
          <w:szCs w:val="22"/>
        </w:rPr>
        <w:t>（</w:t>
      </w:r>
      <w:r>
        <w:rPr>
          <w:rFonts w:ascii="Arial" w:hAnsi="Arial" w:eastAsia="微软雅黑" w:cs="Arial"/>
          <w:sz w:val="22"/>
          <w:szCs w:val="22"/>
        </w:rPr>
        <w:t>如:个人持有最终母公司超过25%的股份</w:t>
      </w:r>
      <w:r>
        <w:rPr>
          <w:rFonts w:hint="eastAsia" w:ascii="Arial" w:hAnsi="Arial" w:eastAsia="微软雅黑" w:cs="Arial"/>
          <w:sz w:val="22"/>
          <w:szCs w:val="22"/>
        </w:rPr>
        <w:t>）</w:t>
      </w:r>
      <w:r>
        <w:rPr>
          <w:rFonts w:ascii="Arial" w:hAnsi="Arial" w:eastAsia="微软雅黑" w:cs="Arial"/>
          <w:sz w:val="22"/>
          <w:szCs w:val="22"/>
        </w:rPr>
        <w:t>或与斯必克流体技术发生关联交易。</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w:t>
            </w:r>
            <w:r>
              <w:rPr>
                <w:rFonts w:hint="eastAsia" w:ascii="Arial" w:hAnsi="Arial" w:eastAsia="微软雅黑" w:cs="Arial"/>
                <w:sz w:val="18"/>
                <w:szCs w:val="18"/>
                <w:lang w:bidi="ar"/>
              </w:rPr>
              <w:t xml:space="preserve"> </w:t>
            </w:r>
            <w:r>
              <w:rPr>
                <w:rFonts w:ascii="Arial" w:hAnsi="Arial" w:eastAsia="微软雅黑" w:cs="Arial"/>
                <w:sz w:val="18"/>
                <w:szCs w:val="18"/>
                <w:lang w:bidi="ar"/>
              </w:rPr>
              <w:t>Mixing</w:t>
            </w:r>
            <w:r>
              <w:rPr>
                <w:rFonts w:hint="eastAsia" w:ascii="Arial" w:hAnsi="Arial" w:eastAsia="微软雅黑" w:cs="Arial"/>
                <w:sz w:val="18"/>
                <w:szCs w:val="18"/>
                <w:lang w:bidi="ar"/>
              </w:rPr>
              <w:t xml:space="preserve"> </w:t>
            </w:r>
            <w:r>
              <w:rPr>
                <w:rFonts w:ascii="Arial" w:hAnsi="Arial" w:eastAsia="微软雅黑" w:cs="Arial"/>
                <w:sz w:val="18"/>
                <w:szCs w:val="18"/>
                <w:lang w:bidi="ar"/>
              </w:rPr>
              <w:t>Solutions LLC</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w:t>
            </w:r>
            <w:r>
              <w:rPr>
                <w:rFonts w:hint="eastAsia" w:ascii="Arial" w:hAnsi="Arial" w:eastAsia="微软雅黑" w:cs="Arial"/>
                <w:sz w:val="18"/>
                <w:szCs w:val="18"/>
                <w:lang w:bidi="ar"/>
              </w:rPr>
              <w:t xml:space="preserve"> </w:t>
            </w:r>
            <w:r>
              <w:rPr>
                <w:rFonts w:ascii="Arial" w:hAnsi="Arial" w:eastAsia="微软雅黑" w:cs="Arial"/>
                <w:sz w:val="18"/>
                <w:szCs w:val="18"/>
                <w:lang w:bidi="ar"/>
              </w:rPr>
              <w:t>Technologies</w:t>
            </w:r>
            <w:r>
              <w:rPr>
                <w:rFonts w:hint="eastAsia" w:ascii="Arial" w:hAnsi="Arial" w:eastAsia="微软雅黑" w:cs="Arial"/>
                <w:sz w:val="18"/>
                <w:szCs w:val="18"/>
                <w:lang w:bidi="ar"/>
              </w:rPr>
              <w:t xml:space="preserve"> </w:t>
            </w:r>
            <w:r>
              <w:rPr>
                <w:rFonts w:ascii="Arial" w:hAnsi="Arial" w:eastAsia="微软雅黑" w:cs="Arial"/>
                <w:sz w:val="18"/>
                <w:szCs w:val="18"/>
                <w:lang w:bidi="ar"/>
              </w:rPr>
              <w:t>Netherlands BV</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评估期间，斯必克流体技术涉及</w:t>
      </w:r>
      <w:r>
        <w:rPr>
          <w:rFonts w:hint="eastAsia" w:ascii="Arial" w:hAnsi="Arial" w:eastAsia="微软雅黑" w:cs="Arial"/>
          <w:sz w:val="22"/>
          <w:szCs w:val="22"/>
        </w:rPr>
        <w:t>的关联交易包括</w:t>
      </w:r>
      <w:r>
        <w:rPr>
          <w:rFonts w:ascii="Arial" w:hAnsi="Arial" w:eastAsia="微软雅黑" w:cs="Arial"/>
          <w:sz w:val="22"/>
          <w:szCs w:val="22"/>
        </w:rPr>
        <w:t>有形资产的</w:t>
      </w:r>
      <w:r>
        <w:rPr>
          <w:rFonts w:hint="eastAsia" w:ascii="Arial" w:hAnsi="Arial" w:eastAsia="微软雅黑" w:cs="Arial"/>
          <w:sz w:val="22"/>
          <w:szCs w:val="22"/>
        </w:rPr>
        <w:t>采购及销售</w:t>
      </w:r>
      <w:r>
        <w:rPr>
          <w:rFonts w:ascii="Arial" w:hAnsi="Arial" w:eastAsia="微软雅黑" w:cs="Arial"/>
          <w:sz w:val="22"/>
          <w:szCs w:val="22"/>
        </w:rPr>
        <w:t>；</w:t>
      </w:r>
      <w:r>
        <w:rPr>
          <w:rFonts w:hint="eastAsia" w:ascii="Arial" w:hAnsi="Arial" w:eastAsia="微软雅黑" w:cs="Arial"/>
          <w:sz w:val="22"/>
          <w:szCs w:val="22"/>
        </w:rPr>
        <w:t>接受及</w:t>
      </w:r>
      <w:r>
        <w:rPr>
          <w:rFonts w:ascii="Arial" w:hAnsi="Arial" w:eastAsia="微软雅黑" w:cs="Arial"/>
          <w:sz w:val="22"/>
          <w:szCs w:val="22"/>
        </w:rPr>
        <w:t>提供关联劳务；以及参与集团现金池协议。主要关联交易金额及类型如下图所示：</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108,545,585.51</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0.0</w:t>
            </w:r>
            <w:r>
              <w:rPr>
                <w:rFonts w:ascii="Arial" w:hAnsi="Arial" w:eastAsia="微软雅黑" w:cs="Arial"/>
                <w:sz w:val="18"/>
                <w:szCs w:val="18"/>
              </w:rPr>
              <w:t>0</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108,545,585.51</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352,915,288.37</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0.0</w:t>
            </w:r>
            <w:r>
              <w:rPr>
                <w:rFonts w:ascii="Arial" w:hAnsi="Arial" w:eastAsia="微软雅黑" w:cs="Arial"/>
                <w:sz w:val="18"/>
                <w:szCs w:val="18"/>
              </w:rPr>
              <w:t>0</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352,915,288.37</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36,422,226.09</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14,913,178.41</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51,335,404.50</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5,726,497.38</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0.0</w:t>
            </w:r>
            <w:r>
              <w:rPr>
                <w:rFonts w:ascii="Arial" w:hAnsi="Arial" w:eastAsia="微软雅黑" w:cs="Arial"/>
                <w:sz w:val="18"/>
                <w:szCs w:val="18"/>
              </w:rPr>
              <w:t>0</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5,726,497.38</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w:t>
            </w:r>
            <w:r>
              <w:rPr>
                <w:rFonts w:hint="eastAsia" w:ascii="Arial" w:hAnsi="Arial" w:eastAsia="微软雅黑" w:cs="Arial"/>
                <w:b w:val="0"/>
                <w:bCs/>
                <w:sz w:val="18"/>
                <w:szCs w:val="18"/>
              </w:rPr>
              <w:t>利息</w:t>
            </w:r>
            <w:r>
              <w:rPr>
                <w:rFonts w:ascii="Arial" w:hAnsi="Arial" w:eastAsia="微软雅黑" w:cs="Arial"/>
                <w:b w:val="0"/>
                <w:bCs/>
                <w:sz w:val="18"/>
                <w:szCs w:val="18"/>
              </w:rPr>
              <w:t>收入</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0.0</w:t>
            </w:r>
            <w:r>
              <w:rPr>
                <w:rFonts w:ascii="Arial" w:hAnsi="Arial" w:eastAsia="微软雅黑" w:cs="Arial"/>
                <w:sz w:val="18"/>
                <w:szCs w:val="18"/>
              </w:rPr>
              <w:t>0</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1,773,951.39</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1,773,951.39</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503,609,597.35</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16,687,129.80</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520,296,727.15</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r>
      <w:r>
        <w:rPr>
          <w:rFonts w:ascii="Arial" w:hAnsi="Arial" w:eastAsia="微软雅黑" w:cs="Arial"/>
          <w:b/>
          <w:sz w:val="18"/>
          <w:szCs w:val="20"/>
        </w:rPr>
        <w:t>图表9：关联购销交易流程图</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图表10：2024年度关联采购交易明细表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36,904,831.57</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w:t>
            </w:r>
            <w:r>
              <w:rPr>
                <w:rFonts w:ascii="Arial" w:hAnsi="Arial" w:eastAsia="微软雅黑" w:cs="Arial"/>
                <w:color w:val="000000"/>
                <w:sz w:val="18"/>
                <w:szCs w:val="18"/>
              </w:rPr>
              <w:t xml:space="preserve">PX Flow Technology Danmark A/S </w:t>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23,296,761.16  </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21,084,809.34</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11,096,368.16</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7,741,921.64</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8,420,893.64</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108,545,585.51</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w:t>
            </w:r>
            <w:r>
              <w:rPr>
                <w:rFonts w:ascii="Arial" w:hAnsi="Arial" w:eastAsia="微软雅黑" w:cs="Arial"/>
                <w:b/>
                <w:color w:val="000000"/>
                <w:sz w:val="18"/>
                <w:szCs w:val="18"/>
              </w:rPr>
              <w:t>总计</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108,545,585.51</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12.25%</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图表11：2024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Singapore</w:t>
            </w:r>
            <w:r>
              <w:rPr>
                <w:rFonts w:hint="eastAsia" w:ascii="Arial" w:hAnsi="Arial" w:eastAsia="微软雅黑" w:cs="Arial"/>
                <w:color w:val="000000"/>
                <w:sz w:val="18"/>
                <w:szCs w:val="18"/>
              </w:rPr>
              <w:t xml:space="preserve"> Pt</w:t>
            </w:r>
            <w:r>
              <w:rPr>
                <w:rFonts w:ascii="Arial" w:hAnsi="Arial" w:eastAsia="微软雅黑" w:cs="Arial"/>
                <w:color w:val="000000"/>
                <w:sz w:val="18"/>
                <w:szCs w:val="18"/>
              </w:rPr>
              <w:t xml:space="preserve">e. Ltd. </w:t>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56,767,665.74</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52,667,824.46</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50,811,021.02</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50,052,864.43</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26,082,857.26</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116,533,055.46</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352,915,288.37</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w:t>
            </w:r>
            <w:r>
              <w:rPr>
                <w:rFonts w:ascii="Arial" w:hAnsi="Arial" w:eastAsia="微软雅黑" w:cs="Arial"/>
                <w:b/>
                <w:color w:val="000000"/>
                <w:sz w:val="18"/>
                <w:szCs w:val="18"/>
              </w:rPr>
              <w:t>总计</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352,915,288.37</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24.59%</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r>
      <w:r>
        <w:rPr>
          <w:rFonts w:ascii="Arial" w:hAnsi="Arial" w:eastAsia="微软雅黑" w:cs="Arial"/>
          <w:color w:val="4F81BD" w:themeColor="accent1"/>
          <w:sz w:val="22"/>
          <w:szCs w:val="22"/>
          <w14:textFill>
            <w14:solidFill>
              <w14:schemeClr w14:val="accent1"/>
            </w14:solidFill>
          </w14:textFill>
        </w:rPr>
        <w:t>交易定价政策</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w:t>
      </w:r>
      <w:bookmarkEnd w:id="287"/>
      <w:r>
        <w:rPr>
          <w:rFonts w:ascii="Arial" w:hAnsi="Arial" w:eastAsia="微软雅黑" w:cs="Arial"/>
          <w:b w:val="0"/>
          <w:i w:val="0"/>
          <w:color w:val="4F81BD" w:themeColor="accent1"/>
          <w:sz w:val="22"/>
          <w:szCs w:val="22"/>
          <w14:textFill>
            <w14:solidFill>
              <w14:schemeClr w14:val="accent1"/>
            </w14:solidFill>
          </w14:textFill>
        </w:rPr>
        <w:t>劳务</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w:t>
      </w:r>
      <w:r>
        <w:rPr>
          <w:rFonts w:ascii="Arial" w:hAnsi="Arial" w:eastAsia="微软雅黑" w:cs="Arial"/>
          <w:sz w:val="22"/>
          <w:szCs w:val="22"/>
        </w:rPr>
        <w:t>2024</w:t>
      </w:r>
      <w:r>
        <w:rPr>
          <w:rFonts w:hint="eastAsia" w:ascii="Arial" w:hAnsi="Arial" w:eastAsia="微软雅黑" w:cs="Arial"/>
          <w:sz w:val="22"/>
          <w:szCs w:val="22"/>
        </w:rPr>
        <w:t>财年，斯必克流体技术还向境外关联方提供工程设计、设备调试等劳务服务，共收取服务费人民币</w:t>
      </w:r>
      <w:r>
        <w:rPr>
          <w:rFonts w:ascii="Arial" w:hAnsi="Arial" w:eastAsia="微软雅黑" w:cs="Arial"/>
          <w:sz w:val="22"/>
          <w:szCs w:val="22"/>
        </w:rPr>
        <w:t>5,726,497.38</w:t>
      </w:r>
      <w:r>
        <w:rPr>
          <w:rFonts w:hint="eastAsia" w:ascii="Arial" w:hAnsi="Arial" w:eastAsia="微软雅黑" w:cs="Arial"/>
          <w:sz w:val="22"/>
          <w:szCs w:val="22"/>
        </w:rPr>
        <w:t>元，仅占营业收入的</w:t>
      </w:r>
      <w:r>
        <w:rPr>
          <w:rFonts w:ascii="Arial" w:hAnsi="Arial" w:eastAsia="微软雅黑" w:cs="Arial"/>
          <w:sz w:val="22"/>
          <w:szCs w:val="22"/>
        </w:rPr>
        <w:t>0.40%</w:t>
      </w:r>
      <w:r>
        <w:rPr>
          <w:rFonts w:hint="eastAsia" w:ascii="Arial" w:hAnsi="Arial" w:eastAsia="微软雅黑" w:cs="Arial"/>
          <w:sz w:val="22"/>
          <w:szCs w:val="22"/>
        </w:rPr>
        <w:t>。</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w:t>
      </w:r>
      <w:r>
        <w:rPr>
          <w:rFonts w:hint="eastAsia" w:ascii="Arial" w:hAnsi="Arial" w:eastAsia="微软雅黑" w:cs="Arial"/>
          <w:bCs w:val="0"/>
          <w:sz w:val="18"/>
          <w:szCs w:val="18"/>
        </w:rPr>
        <w:t>2024</w:t>
      </w:r>
      <w:r>
        <w:rPr>
          <w:rFonts w:ascii="Arial" w:hAnsi="Arial" w:eastAsia="微软雅黑" w:cs="Arial"/>
          <w:bCs w:val="0"/>
          <w:sz w:val="18"/>
          <w:szCs w:val="18"/>
        </w:rPr>
        <w:t>年度接受关联劳务明细表</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w:t>
            </w:r>
            <w:r>
              <w:rPr>
                <w:rFonts w:hint="eastAsia" w:ascii="Arial" w:hAnsi="Arial" w:eastAsia="微软雅黑" w:cs="Arial"/>
                <w:color w:val="000000"/>
                <w:sz w:val="18"/>
                <w:szCs w:val="18"/>
              </w:rPr>
              <w:t>关联方</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w:t>
      </w:r>
      <w:r>
        <w:rPr>
          <w:rFonts w:hint="eastAsia" w:ascii="Arial" w:hAnsi="Arial" w:eastAsia="微软雅黑" w:cs="Arial"/>
          <w:sz w:val="22"/>
          <w:szCs w:val="22"/>
        </w:rPr>
        <w:t>收入</w:t>
      </w:r>
      <w:r>
        <w:rPr>
          <w:rFonts w:ascii="Arial" w:hAnsi="Arial" w:eastAsia="微软雅黑" w:cs="Arial"/>
          <w:sz w:val="22"/>
          <w:szCs w:val="22"/>
        </w:rPr>
        <w:t>的关联方和交易金额如下表所示：</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w:t>
      </w:r>
      <w:r>
        <w:rPr>
          <w:rFonts w:hint="eastAsia" w:ascii="Arial" w:hAnsi="Arial" w:eastAsia="微软雅黑" w:cs="Arial"/>
          <w:bCs w:val="0"/>
          <w:sz w:val="18"/>
          <w:szCs w:val="18"/>
        </w:rPr>
        <w:t>2024</w:t>
      </w:r>
      <w:r>
        <w:rPr>
          <w:rFonts w:ascii="Arial" w:hAnsi="Arial" w:eastAsia="微软雅黑" w:cs="Arial"/>
          <w:bCs w:val="0"/>
          <w:sz w:val="18"/>
          <w:szCs w:val="18"/>
        </w:rPr>
        <w:t>年度</w:t>
      </w:r>
      <w:r>
        <w:rPr>
          <w:rFonts w:hint="eastAsia" w:ascii="Arial" w:hAnsi="Arial" w:eastAsia="微软雅黑" w:cs="Arial"/>
          <w:bCs w:val="0"/>
          <w:sz w:val="18"/>
          <w:szCs w:val="18"/>
        </w:rPr>
        <w:t>提供</w:t>
      </w:r>
      <w:r>
        <w:rPr>
          <w:rFonts w:ascii="Arial" w:hAnsi="Arial" w:eastAsia="微软雅黑" w:cs="Arial"/>
          <w:bCs w:val="0"/>
          <w:sz w:val="18"/>
          <w:szCs w:val="18"/>
        </w:rPr>
        <w:t>关联劳务明细表</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w:t>
            </w:r>
            <w:r>
              <w:rPr>
                <w:rFonts w:hint="eastAsia" w:ascii="Arial" w:hAnsi="Arial" w:eastAsia="微软雅黑" w:cs="Arial"/>
                <w:b/>
                <w:color w:val="FFFFFF" w:themeColor="background1"/>
                <w:sz w:val="18"/>
                <w:szCs w:val="18"/>
                <w14:textFill>
                  <w14:solidFill>
                    <w14:schemeClr w14:val="bg1"/>
                  </w14:solidFill>
                </w14:textFill>
              </w:rPr>
              <w:t>营业收入</w:t>
            </w:r>
            <w:r>
              <w:rPr>
                <w:rFonts w:ascii="Arial" w:hAnsi="Arial" w:eastAsia="微软雅黑" w:cs="Arial"/>
                <w:b/>
                <w:color w:val="FFFFFF" w:themeColor="background1"/>
                <w:sz w:val="18"/>
                <w:szCs w:val="18"/>
                <w14:textFill>
                  <w14:solidFill>
                    <w14:schemeClr w14:val="bg1"/>
                  </w14:solidFill>
                </w14:textFill>
              </w:rPr>
              <w:t>比重(%)</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w:t>
            </w:r>
            <w:r>
              <w:rPr>
                <w:rFonts w:hint="eastAsia" w:ascii="Arial" w:hAnsi="Arial" w:eastAsia="微软雅黑" w:cs="Arial"/>
                <w:color w:val="000000"/>
                <w:sz w:val="18"/>
                <w:szCs w:val="18"/>
              </w:rPr>
              <w:t>收入</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w:t>
            </w:r>
            <w:r>
              <w:rPr>
                <w:rFonts w:hint="eastAsia" w:ascii="Arial" w:hAnsi="Arial" w:eastAsia="微软雅黑" w:cs="Arial"/>
                <w:color w:val="000000"/>
                <w:sz w:val="18"/>
                <w:szCs w:val="18"/>
              </w:rPr>
              <w:t>关联方</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w:t>
            </w:r>
            <w:r>
              <w:rPr>
                <w:rFonts w:hint="eastAsia" w:ascii="Arial" w:hAnsi="Arial" w:eastAsia="微软雅黑" w:cs="Arial"/>
                <w:b/>
                <w:bCs/>
                <w:color w:val="000000"/>
                <w:sz w:val="18"/>
                <w:szCs w:val="18"/>
              </w:rPr>
              <w:t>收入</w:t>
            </w:r>
            <w:r>
              <w:rPr>
                <w:rFonts w:ascii="Arial" w:hAnsi="Arial" w:eastAsia="微软雅黑" w:cs="Arial"/>
                <w:b/>
                <w:bCs/>
                <w:color w:val="000000"/>
                <w:sz w:val="18"/>
                <w:szCs w:val="18"/>
              </w:rPr>
              <w:t>合计</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w:t>
            </w:r>
            <w:r>
              <w:rPr>
                <w:rFonts w:hint="eastAsia" w:ascii="Arial" w:hAnsi="Arial" w:eastAsia="微软雅黑" w:cs="Arial"/>
                <w:b/>
                <w:color w:val="000000"/>
                <w:sz w:val="18"/>
                <w:szCs w:val="18"/>
              </w:rPr>
              <w:t>收入</w:t>
            </w:r>
            <w:r>
              <w:rPr>
                <w:rFonts w:ascii="Arial" w:hAnsi="Arial" w:eastAsia="微软雅黑" w:cs="Arial"/>
                <w:b/>
                <w:color w:val="000000"/>
                <w:sz w:val="18"/>
                <w:szCs w:val="18"/>
              </w:rPr>
              <w:t>总计</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综上所述，可以认为斯必克流体技术向斯必克中国投资等关联方支付</w:t>
      </w:r>
      <w:r>
        <w:rPr>
          <w:rFonts w:hint="eastAsia" w:ascii="Arial" w:hAnsi="Arial" w:eastAsia="微软雅黑" w:cs="Arial"/>
          <w:sz w:val="22"/>
          <w:szCs w:val="22"/>
        </w:rPr>
        <w:t>其提供</w:t>
      </w:r>
      <w:r>
        <w:rPr>
          <w:rFonts w:ascii="Arial" w:hAnsi="Arial" w:eastAsia="微软雅黑" w:cs="Arial"/>
          <w:sz w:val="22"/>
          <w:szCs w:val="22"/>
        </w:rPr>
        <w:t>劳务相关的服务费用是必要的、合理的。</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评估期间，斯必克流体技术主要接受斯必克中国投资和SPX Flow, Inc.提供的上述服务</w:t>
      </w:r>
      <w:r>
        <w:rPr>
          <w:rFonts w:hint="eastAsia" w:ascii="Arial" w:hAnsi="Arial" w:eastAsia="微软雅黑" w:cs="Arial"/>
          <w:sz w:val="22"/>
          <w:szCs w:val="22"/>
        </w:rPr>
        <w:t>以及向境外关联方提供工程设计及设备调试等服务</w:t>
      </w:r>
      <w:r>
        <w:rPr>
          <w:rFonts w:ascii="Arial" w:hAnsi="Arial" w:eastAsia="微软雅黑" w:cs="Arial"/>
          <w:sz w:val="22"/>
          <w:szCs w:val="22"/>
        </w:rPr>
        <w:t>。</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w:t>
      </w:r>
      <w:r>
        <w:rPr>
          <w:rFonts w:ascii="Arial" w:hAnsi="Arial" w:eastAsia="微软雅黑" w:cs="Arial"/>
          <w:sz w:val="22"/>
          <w:szCs w:val="22"/>
        </w:rPr>
        <w:t>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2</w:t>
      </w:r>
      <w:r>
        <w:rPr>
          <w:rFonts w:ascii="Arial" w:hAnsi="Arial" w:eastAsia="微软雅黑" w:cs="Arial"/>
          <w:sz w:val="22"/>
          <w:szCs w:val="22"/>
        </w:rPr>
        <w:t>024年现金池业务通过</w:t>
      </w:r>
      <w:r>
        <w:rPr>
          <w:rFonts w:hint="eastAsia" w:ascii="Arial" w:hAnsi="Arial" w:eastAsia="微软雅黑" w:cs="Arial"/>
          <w:sz w:val="22"/>
          <w:szCs w:val="22"/>
        </w:rPr>
        <w:t>招商银行股份有限公司上海市淮海支行进行。以委托存款形式存放在该现金池的资金，年利率为浮动利率；以委托贷款形式向现金池借入的资金，年利率为</w:t>
      </w:r>
      <w:r>
        <w:rPr>
          <w:rFonts w:ascii="Arial" w:hAnsi="Arial" w:eastAsia="微软雅黑" w:cs="Arial"/>
          <w:sz w:val="22"/>
          <w:szCs w:val="22"/>
        </w:rPr>
        <w:t>0.50%</w:t>
      </w:r>
      <w:r>
        <w:rPr>
          <w:rFonts w:hint="eastAsia" w:ascii="Arial" w:hAnsi="Arial" w:eastAsia="微软雅黑" w:cs="Arial"/>
          <w:sz w:val="22"/>
          <w:szCs w:val="22"/>
        </w:rPr>
        <w:t>。</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评估期间，斯必克流体技术关联利息收入为人民币1</w:t>
      </w:r>
      <w:r>
        <w:rPr>
          <w:rFonts w:hint="eastAsia" w:ascii="Arial" w:hAnsi="Arial" w:eastAsia="微软雅黑" w:cs="Arial"/>
          <w:sz w:val="22"/>
          <w:szCs w:val="22"/>
        </w:rPr>
        <w:t>,</w:t>
      </w:r>
      <w:r>
        <w:rPr>
          <w:rFonts w:ascii="Arial" w:hAnsi="Arial" w:eastAsia="微软雅黑" w:cs="Arial"/>
          <w:sz w:val="22"/>
          <w:szCs w:val="22"/>
        </w:rPr>
        <w:t>773,951.39元。</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评估期间，斯必克流体技术的主要关联交易是从关联方采购和销售货物。斯必克流体技术向关联方进行采购，金额为</w:t>
      </w:r>
      <w:r>
        <w:rPr>
          <w:rFonts w:hint="eastAsia" w:ascii="Arial" w:hAnsi="Arial" w:eastAsia="微软雅黑" w:cs="Arial"/>
          <w:sz w:val="22"/>
          <w:szCs w:val="22"/>
        </w:rPr>
        <w:t>人民币108</w:t>
      </w:r>
      <w:r>
        <w:rPr>
          <w:rFonts w:ascii="Arial" w:hAnsi="Arial" w:eastAsia="微软雅黑" w:cs="Arial"/>
          <w:sz w:val="22"/>
          <w:szCs w:val="22"/>
        </w:rPr>
        <w:t>,</w:t>
      </w:r>
      <w:r>
        <w:rPr>
          <w:rFonts w:hint="eastAsia" w:ascii="Arial" w:hAnsi="Arial" w:eastAsia="微软雅黑" w:cs="Arial"/>
          <w:sz w:val="22"/>
          <w:szCs w:val="22"/>
        </w:rPr>
        <w:t>545</w:t>
      </w:r>
      <w:r>
        <w:rPr>
          <w:rFonts w:ascii="Arial" w:hAnsi="Arial" w:eastAsia="微软雅黑" w:cs="Arial"/>
          <w:sz w:val="22"/>
          <w:szCs w:val="22"/>
        </w:rPr>
        <w:t>,</w:t>
      </w:r>
      <w:r>
        <w:rPr>
          <w:rFonts w:hint="eastAsia" w:ascii="Arial" w:hAnsi="Arial" w:eastAsia="微软雅黑" w:cs="Arial"/>
          <w:sz w:val="22"/>
          <w:szCs w:val="22"/>
        </w:rPr>
        <w:t>585.51</w:t>
      </w:r>
      <w:r>
        <w:rPr>
          <w:rFonts w:ascii="Arial" w:hAnsi="Arial" w:eastAsia="微软雅黑" w:cs="Arial"/>
          <w:sz w:val="22"/>
          <w:szCs w:val="22"/>
        </w:rPr>
        <w:t>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w:t>
      </w:r>
      <w:r>
        <w:rPr>
          <w:rFonts w:hint="eastAsia" w:ascii="Arial" w:hAnsi="Arial" w:eastAsia="微软雅黑" w:cs="Arial"/>
          <w:sz w:val="22"/>
          <w:szCs w:val="22"/>
        </w:rPr>
        <w:t>；关联劳务收入仅占总收入的</w:t>
      </w:r>
      <w:r>
        <w:rPr>
          <w:rFonts w:ascii="Arial" w:hAnsi="Arial" w:eastAsia="微软雅黑" w:cs="Arial"/>
          <w:sz w:val="22"/>
          <w:szCs w:val="22"/>
        </w:rPr>
        <w:t>0.40%</w:t>
      </w:r>
      <w:r>
        <w:rPr>
          <w:rFonts w:hint="eastAsia" w:ascii="Arial" w:hAnsi="Arial" w:eastAsia="微软雅黑" w:cs="Arial"/>
          <w:sz w:val="22"/>
          <w:szCs w:val="22"/>
        </w:rPr>
        <w:t>，占比较低。因此，</w:t>
      </w:r>
      <w:r>
        <w:rPr>
          <w:rFonts w:ascii="Arial" w:hAnsi="Arial" w:eastAsia="微软雅黑" w:cs="Arial"/>
          <w:sz w:val="22"/>
          <w:szCs w:val="22"/>
        </w:rPr>
        <w:t>本报告将不对其进行单独测试分析。</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w:t>
      </w:r>
      <w:bookmarkEnd w:id="377"/>
      <w:r>
        <w:rPr>
          <w:rFonts w:ascii="Arial" w:hAnsi="Arial" w:eastAsia="微软雅黑" w:cs="Arial"/>
          <w:b w:val="0"/>
          <w:i w:val="0"/>
          <w:color w:val="4F81BD" w:themeColor="accent1"/>
          <w:sz w:val="22"/>
          <w:szCs w:val="22"/>
          <w14:textFill>
            <w14:solidFill>
              <w14:schemeClr w14:val="accent1"/>
            </w14:solidFill>
          </w14:textFill>
        </w:rPr>
        <w:t>分析</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分析</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分析</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分析</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w:t>
      </w:r>
      <w:r>
        <w:rPr>
          <w:rFonts w:ascii="Arial" w:hAnsi="Arial" w:eastAsia="微软雅黑" w:cs="Arial"/>
          <w:sz w:val="22"/>
          <w:szCs w:val="22"/>
        </w:rPr>
        <w:t>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评估期间，斯必克流体集团的价值链以及斯必克流体技术在其中所处的位置如下图所示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r>
      <w:r>
        <w:rPr>
          <w:rFonts w:ascii="Arial" w:hAnsi="Arial" w:eastAsia="微软雅黑" w:cs="Arial"/>
          <w:bCs w:val="0"/>
          <w:sz w:val="18"/>
          <w:szCs w:val="15"/>
        </w:rPr>
        <w:t>图表15：集团价值链</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w:t>
      </w:r>
      <w:r>
        <w:rPr>
          <w:rFonts w:hint="eastAsia" w:ascii="Arial" w:hAnsi="Arial" w:eastAsia="微软雅黑" w:cs="Arial"/>
          <w:iCs/>
          <w:kern w:val="24"/>
          <w:sz w:val="22"/>
          <w:szCs w:val="22"/>
        </w:rPr>
        <w:t>，劳动力成本优势逐渐减少</w:t>
      </w:r>
      <w:r>
        <w:rPr>
          <w:rFonts w:ascii="Arial" w:hAnsi="Arial" w:eastAsia="微软雅黑" w:cs="Arial"/>
          <w:iCs/>
          <w:kern w:val="24"/>
          <w:sz w:val="22"/>
          <w:szCs w:val="22"/>
        </w:rPr>
        <w:t>。</w:t>
      </w:r>
      <w:r>
        <w:rPr>
          <w:rFonts w:hint="eastAsia" w:ascii="Arial" w:hAnsi="Arial" w:eastAsia="微软雅黑" w:cs="Arial"/>
          <w:iCs/>
          <w:kern w:val="24"/>
          <w:sz w:val="22"/>
          <w:szCs w:val="22"/>
        </w:rPr>
        <w:t>根据国际劳动组织发布的《2</w:t>
      </w:r>
      <w:r>
        <w:rPr>
          <w:rFonts w:ascii="Arial" w:hAnsi="Arial" w:eastAsia="微软雅黑" w:cs="Arial"/>
          <w:iCs/>
          <w:kern w:val="24"/>
          <w:sz w:val="22"/>
          <w:szCs w:val="22"/>
        </w:rPr>
        <w:t>022/23</w:t>
      </w:r>
      <w:r>
        <w:rPr>
          <w:rFonts w:hint="eastAsia" w:ascii="Arial" w:hAnsi="Arial" w:eastAsia="微软雅黑" w:cs="Arial"/>
          <w:iCs/>
          <w:kern w:val="24"/>
          <w:sz w:val="22"/>
          <w:szCs w:val="22"/>
        </w:rPr>
        <w:t>国际工资报告》，在G20新兴经济体中，中国持续在实际工资增长排名中占据领先地位，估计显示2022年中国的月工资约为其2008年实际价值的2.6倍。由下图可见，中国的工资水平不断上升导致劳动力成本不断上升，其</w:t>
      </w:r>
      <w:r>
        <w:rPr>
          <w:rFonts w:ascii="Arial" w:hAnsi="Arial" w:eastAsia="微软雅黑" w:cs="Arial"/>
          <w:iCs/>
          <w:kern w:val="24"/>
          <w:sz w:val="22"/>
          <w:szCs w:val="22"/>
        </w:rPr>
        <w:t>竞争力优势</w:t>
      </w:r>
      <w:r>
        <w:rPr>
          <w:rFonts w:hint="eastAsia" w:ascii="Arial" w:hAnsi="Arial" w:eastAsia="微软雅黑" w:cs="Arial"/>
          <w:iCs/>
          <w:kern w:val="24"/>
          <w:sz w:val="22"/>
          <w:szCs w:val="22"/>
        </w:rPr>
        <w:t>明显弱化，与其他新兴经济体、东南亚国家相比并没有明显的成本优势</w:t>
      </w:r>
      <w:bookmarkEnd w:id="557"/>
      <w:r>
        <w:rPr>
          <w:rFonts w:hint="eastAsia" w:ascii="Arial" w:hAnsi="Arial" w:eastAsia="微软雅黑" w:cs="Arial"/>
          <w:iCs/>
          <w:kern w:val="24"/>
          <w:sz w:val="22"/>
          <w:szCs w:val="22"/>
        </w:rPr>
        <w:t>。</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w:t>
      </w:r>
      <w:r>
        <w:rPr>
          <w:rFonts w:ascii="Arial" w:hAnsi="Arial" w:eastAsia="微软雅黑" w:cs="Arial"/>
          <w:b/>
          <w:bCs/>
          <w:iCs/>
          <w:kern w:val="24"/>
          <w:sz w:val="18"/>
          <w:szCs w:val="18"/>
        </w:rPr>
        <w:t>6</w:t>
      </w:r>
      <w:r>
        <w:rPr>
          <w:rFonts w:hint="eastAsia" w:ascii="Arial" w:hAnsi="Arial" w:eastAsia="微软雅黑" w:cs="Arial"/>
          <w:b/>
          <w:bCs/>
          <w:iCs/>
          <w:kern w:val="24"/>
          <w:sz w:val="18"/>
          <w:szCs w:val="18"/>
        </w:rPr>
        <w:t>： 2</w:t>
      </w:r>
      <w:r>
        <w:rPr>
          <w:rFonts w:ascii="Arial" w:hAnsi="Arial" w:eastAsia="微软雅黑" w:cs="Arial"/>
          <w:b/>
          <w:bCs/>
          <w:iCs/>
          <w:kern w:val="24"/>
          <w:sz w:val="18"/>
          <w:szCs w:val="18"/>
        </w:rPr>
        <w:t>008-2022</w:t>
      </w:r>
      <w:r>
        <w:rPr>
          <w:rFonts w:hint="eastAsia" w:ascii="Arial" w:hAnsi="Arial" w:eastAsia="微软雅黑" w:cs="Arial"/>
          <w:b/>
          <w:bCs/>
          <w:iCs/>
          <w:kern w:val="24"/>
          <w:sz w:val="18"/>
          <w:szCs w:val="18"/>
        </w:rPr>
        <w:t>年G</w:t>
      </w:r>
      <w:r>
        <w:rPr>
          <w:rFonts w:ascii="Arial" w:hAnsi="Arial" w:eastAsia="微软雅黑" w:cs="Arial"/>
          <w:b/>
          <w:bCs/>
          <w:iCs/>
          <w:kern w:val="24"/>
          <w:sz w:val="18"/>
          <w:szCs w:val="18"/>
        </w:rPr>
        <w:t>20</w:t>
      </w:r>
      <w:r>
        <w:rPr>
          <w:rFonts w:hint="eastAsia" w:ascii="Arial" w:hAnsi="Arial" w:eastAsia="微软雅黑" w:cs="Arial"/>
          <w:b/>
          <w:bCs/>
          <w:iCs/>
          <w:kern w:val="24"/>
          <w:sz w:val="18"/>
          <w:szCs w:val="18"/>
        </w:rPr>
        <w:t>新兴经济体平均实际工资指数</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w:t>
      </w:r>
      <w:r>
        <w:rPr>
          <w:rFonts w:hint="eastAsia" w:ascii="Arial" w:hAnsi="Arial" w:eastAsia="微软雅黑" w:cs="Arial"/>
          <w:kern w:val="24"/>
          <w:sz w:val="22"/>
        </w:rPr>
        <w:t>年</w:t>
      </w:r>
      <w:r>
        <w:rPr>
          <w:rFonts w:ascii="Arial" w:hAnsi="Arial" w:eastAsia="微软雅黑" w:cs="Arial"/>
          <w:kern w:val="24"/>
          <w:sz w:val="22"/>
        </w:rPr>
        <w:t>1</w:t>
      </w:r>
      <w:r>
        <w:rPr>
          <w:rFonts w:hint="eastAsia" w:ascii="Arial" w:hAnsi="Arial" w:eastAsia="微软雅黑" w:cs="Arial"/>
          <w:kern w:val="24"/>
          <w:sz w:val="22"/>
        </w:rPr>
        <w:t>月1日</w:t>
      </w:r>
      <w:r>
        <w:rPr>
          <w:rFonts w:ascii="Arial" w:hAnsi="Arial" w:eastAsia="微软雅黑" w:cs="Arial"/>
          <w:kern w:val="24"/>
          <w:sz w:val="22"/>
        </w:rPr>
        <w:t>，第一档月最低工资标准超过2000元省市共有29个，分别是上海、江苏、浙江、北京、</w:t>
      </w:r>
      <w:r>
        <w:rPr>
          <w:rFonts w:hint="eastAsia" w:ascii="Arial" w:hAnsi="Arial" w:eastAsia="微软雅黑" w:cs="Arial"/>
          <w:kern w:val="24"/>
          <w:sz w:val="22"/>
        </w:rPr>
        <w:t>深圳、重庆、四川、天津、广东、内蒙古</w:t>
      </w:r>
      <w:r>
        <w:rPr>
          <w:rFonts w:ascii="Arial" w:hAnsi="Arial" w:eastAsia="微软雅黑" w:cs="Arial"/>
          <w:kern w:val="24"/>
          <w:sz w:val="22"/>
        </w:rPr>
        <w:t>等。其中，上海最高为2690元，</w:t>
      </w:r>
      <w:r>
        <w:rPr>
          <w:rFonts w:hint="eastAsia" w:ascii="Arial" w:hAnsi="Arial" w:eastAsia="微软雅黑" w:cs="Arial"/>
          <w:kern w:val="24"/>
          <w:sz w:val="22"/>
        </w:rPr>
        <w:t>江苏、浙江2</w:t>
      </w:r>
      <w:r>
        <w:rPr>
          <w:rFonts w:ascii="Arial" w:hAnsi="Arial" w:eastAsia="微软雅黑" w:cs="Arial"/>
          <w:kern w:val="24"/>
          <w:sz w:val="22"/>
        </w:rPr>
        <w:t>490</w:t>
      </w:r>
      <w:r>
        <w:rPr>
          <w:rFonts w:hint="eastAsia" w:ascii="Arial" w:hAnsi="Arial" w:eastAsia="微软雅黑" w:cs="Arial"/>
          <w:kern w:val="24"/>
          <w:sz w:val="22"/>
        </w:rPr>
        <w:t>元并列第二，北京</w:t>
      </w:r>
      <w:r>
        <w:rPr>
          <w:rFonts w:ascii="Arial" w:hAnsi="Arial" w:eastAsia="微软雅黑" w:cs="Arial"/>
          <w:kern w:val="24"/>
          <w:sz w:val="22"/>
        </w:rPr>
        <w:t>2420元位列第</w:t>
      </w:r>
      <w:r>
        <w:rPr>
          <w:rFonts w:hint="eastAsia" w:ascii="Arial" w:hAnsi="Arial" w:eastAsia="微软雅黑" w:cs="Arial"/>
          <w:kern w:val="24"/>
          <w:sz w:val="22"/>
        </w:rPr>
        <w:t>三</w:t>
      </w:r>
      <w:r>
        <w:rPr>
          <w:rStyle w:val="38"/>
          <w:rFonts w:ascii="Arial" w:hAnsi="Arial" w:eastAsia="微软雅黑" w:cs="Arial"/>
          <w:sz w:val="22"/>
          <w:szCs w:val="22"/>
        </w:rPr>
        <w:footnoteReference w:id="22"/>
      </w:r>
      <w:r>
        <w:rPr>
          <w:rFonts w:hint="eastAsia" w:ascii="Arial" w:hAnsi="Arial" w:eastAsia="微软雅黑" w:cs="Arial"/>
          <w:kern w:val="24"/>
          <w:sz w:val="22"/>
        </w:rPr>
        <w:t>。</w:t>
      </w:r>
      <w:r>
        <w:rPr>
          <w:rFonts w:ascii="Arial" w:hAnsi="Arial" w:eastAsia="微软雅黑" w:cs="Arial"/>
          <w:iCs/>
          <w:kern w:val="24"/>
          <w:sz w:val="22"/>
          <w:szCs w:val="22"/>
        </w:rPr>
        <w:t>2015年到2024年中国平均工资变化的趋势如下图</w:t>
      </w:r>
      <w:r>
        <w:rPr>
          <w:rFonts w:hint="eastAsia" w:ascii="Arial" w:hAnsi="Arial" w:eastAsia="微软雅黑" w:cs="Arial"/>
          <w:iCs/>
          <w:kern w:val="24"/>
          <w:sz w:val="22"/>
          <w:szCs w:val="22"/>
        </w:rPr>
        <w:t>：</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w:t>
      </w:r>
      <w:r>
        <w:rPr>
          <w:rFonts w:ascii="Arial" w:hAnsi="Arial" w:eastAsia="微软雅黑" w:cs="Arial"/>
          <w:kern w:val="0"/>
          <w:sz w:val="18"/>
          <w:szCs w:val="18"/>
        </w:rPr>
        <w:t>7</w:t>
      </w:r>
      <w:r>
        <w:rPr>
          <w:rFonts w:ascii="Arial" w:hAnsi="Arial" w:eastAsia="微软雅黑" w:cs="Arial"/>
          <w:kern w:val="0"/>
          <w:sz w:val="18"/>
          <w:szCs w:val="18"/>
          <w:lang w:val="en-GB"/>
        </w:rPr>
        <w:t>：2015年到2024年</w:t>
      </w:r>
      <w:r>
        <w:rPr>
          <w:rFonts w:hint="eastAsia" w:ascii="Arial" w:hAnsi="Arial" w:eastAsia="微软雅黑" w:cs="Arial"/>
          <w:kern w:val="0"/>
          <w:sz w:val="18"/>
          <w:szCs w:val="18"/>
          <w:lang w:val="en-GB"/>
        </w:rPr>
        <w:t>城镇私营单位就业人员</w:t>
      </w:r>
      <w:r>
        <w:rPr>
          <w:rFonts w:ascii="Arial" w:hAnsi="Arial" w:eastAsia="微软雅黑" w:cs="Arial"/>
          <w:kern w:val="0"/>
          <w:sz w:val="18"/>
          <w:szCs w:val="18"/>
          <w:lang w:val="en-GB"/>
        </w:rPr>
        <w:t>平均工资</w:t>
      </w:r>
      <w:r>
        <w:rPr>
          <w:rFonts w:hint="eastAsia" w:ascii="Arial" w:hAnsi="Arial" w:eastAsia="微软雅黑" w:cs="Arial"/>
          <w:kern w:val="0"/>
          <w:sz w:val="18"/>
          <w:szCs w:val="18"/>
          <w:lang w:val="en-GB"/>
        </w:rPr>
        <w:t>及增速</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w:t>
      </w:r>
      <w:r>
        <w:rPr>
          <w:rFonts w:ascii="Arial" w:hAnsi="Arial" w:eastAsia="微软雅黑" w:cs="Arial"/>
          <w:b/>
          <w:bCs/>
          <w:sz w:val="18"/>
          <w:szCs w:val="18"/>
          <w:lang w:val="en-GB"/>
        </w:rPr>
        <w:t>8</w:t>
      </w:r>
      <w:r>
        <w:rPr>
          <w:rFonts w:hint="eastAsia" w:ascii="Arial" w:hAnsi="Arial" w:eastAsia="微软雅黑" w:cs="Arial"/>
          <w:b/>
          <w:bCs/>
          <w:sz w:val="18"/>
          <w:szCs w:val="18"/>
          <w:lang w:val="en-GB"/>
        </w:rPr>
        <w:t>：</w:t>
      </w:r>
      <w:r>
        <w:rPr>
          <w:rFonts w:ascii="Arial" w:hAnsi="Arial" w:eastAsia="微软雅黑" w:cs="Arial"/>
          <w:b/>
          <w:bCs/>
          <w:sz w:val="18"/>
          <w:szCs w:val="18"/>
          <w:lang w:val="en-GB"/>
        </w:rPr>
        <w:t>2015年到2024年</w:t>
      </w:r>
      <w:r>
        <w:rPr>
          <w:rFonts w:hint="eastAsia" w:ascii="Arial" w:hAnsi="Arial" w:eastAsia="微软雅黑" w:cs="Arial"/>
          <w:b/>
          <w:bCs/>
          <w:sz w:val="18"/>
          <w:szCs w:val="18"/>
          <w:lang w:val="en-GB"/>
        </w:rPr>
        <w:t>城镇非私营单位就业人员</w:t>
      </w:r>
      <w:r>
        <w:rPr>
          <w:rFonts w:ascii="Arial" w:hAnsi="Arial" w:eastAsia="微软雅黑" w:cs="Arial"/>
          <w:b/>
          <w:bCs/>
          <w:sz w:val="18"/>
          <w:szCs w:val="18"/>
          <w:lang w:val="en-GB"/>
        </w:rPr>
        <w:t>平均工资</w:t>
      </w:r>
      <w:r>
        <w:rPr>
          <w:rFonts w:hint="eastAsia" w:ascii="Arial" w:hAnsi="Arial" w:eastAsia="微软雅黑" w:cs="Arial"/>
          <w:b/>
          <w:bCs/>
          <w:sz w:val="18"/>
          <w:szCs w:val="18"/>
          <w:lang w:val="en-GB"/>
        </w:rPr>
        <w:t>及增速</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因此，随着劳动力成本逐年上升，斯必克流体技术并没有从劳动力成本中</w:t>
      </w:r>
      <w:r>
        <w:rPr>
          <w:rFonts w:hint="eastAsia" w:ascii="Arial" w:hAnsi="Arial" w:eastAsia="微软雅黑" w:cs="Arial"/>
          <w:iCs/>
          <w:kern w:val="24"/>
          <w:sz w:val="22"/>
          <w:szCs w:val="22"/>
        </w:rPr>
        <w:t>受</w:t>
      </w:r>
      <w:r>
        <w:rPr>
          <w:rFonts w:ascii="Arial" w:hAnsi="Arial" w:eastAsia="微软雅黑" w:cs="Arial"/>
          <w:iCs/>
          <w:kern w:val="24"/>
          <w:sz w:val="22"/>
          <w:szCs w:val="22"/>
        </w:rPr>
        <w:t>益。</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在本报告编制时，尚无法获得相关价值链参与方202</w:t>
      </w:r>
      <w:r>
        <w:rPr>
          <w:rFonts w:hint="eastAsia" w:ascii="Arial" w:hAnsi="Arial" w:eastAsia="微软雅黑" w:cs="Arial"/>
          <w:sz w:val="22"/>
          <w:szCs w:val="22"/>
        </w:rPr>
        <w:t>4</w:t>
      </w:r>
      <w:r>
        <w:rPr>
          <w:rFonts w:ascii="Arial" w:hAnsi="Arial" w:eastAsia="微软雅黑" w:cs="Arial"/>
          <w:sz w:val="22"/>
          <w:szCs w:val="22"/>
        </w:rPr>
        <w:t>财务年度的财务报表。如有要求，可在本公司征求关联方同意之后提供该数据。</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Pr>
          <w:rFonts w:ascii="Arial" w:hAnsi="Arial" w:eastAsia="微软雅黑" w:cs="Arial"/>
          <w:sz w:val="22"/>
          <w:szCs w:val="22"/>
          <w:vertAlign w:val="superscript"/>
        </w:rPr>
        <w:footnoteReference w:id="26"/>
      </w:r>
      <w:r>
        <w:rPr>
          <w:rFonts w:ascii="Arial" w:hAnsi="Arial" w:eastAsia="微软雅黑" w:cs="Arial"/>
          <w:sz w:val="22"/>
          <w:szCs w:val="22"/>
        </w:rPr>
        <w:t>由于最合适的转让定价方法是比较各方法相对优点的结果，因此，不完美的方法仍可能被接受，除非有证据证明其他方法更加可靠或能更加准确估算独立交易的结果。</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的选择</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受测关联交易</w:t>
      </w:r>
      <w:bookmarkEnd w:id="621"/>
      <w:r>
        <w:rPr>
          <w:rFonts w:ascii="Arial" w:hAnsi="Arial" w:eastAsia="微软雅黑" w:cs="Arial"/>
          <w:b w:val="0"/>
          <w:i w:val="0"/>
          <w:color w:val="4F81BD" w:themeColor="accent1"/>
          <w:sz w:val="22"/>
          <w:szCs w:val="22"/>
          <w14:textFill>
            <w14:solidFill>
              <w14:schemeClr w14:val="accent1"/>
            </w14:solidFill>
          </w14:textFill>
        </w:rPr>
        <w:t>相关的财务数据</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图表20：斯必克流体技术2024年度财务数据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w:t>
            </w:r>
            <w:r>
              <w:rPr>
                <w:rFonts w:ascii="Arial" w:hAnsi="Arial" w:eastAsia="微软雅黑" w:cs="Arial"/>
                <w:b/>
                <w:bCs/>
                <w:color w:val="FFFFFF" w:themeColor="background1"/>
                <w:sz w:val="18"/>
                <w:szCs w:val="18"/>
                <w14:textFill>
                  <w14:solidFill>
                    <w14:schemeClr w14:val="bg1"/>
                  </w14:solidFill>
                </w14:textFill>
              </w:rPr>
              <w:t>人民币元</w:t>
            </w:r>
            <w:r>
              <w:rPr>
                <w:rFonts w:hint="eastAsia" w:ascii="Arial" w:hAnsi="Arial" w:eastAsia="微软雅黑" w:cs="Arial"/>
                <w:b/>
                <w:bCs/>
                <w:color w:val="FFFFFF" w:themeColor="background1"/>
                <w:sz w:val="18"/>
                <w:szCs w:val="18"/>
                <w14:textFill>
                  <w14:solidFill>
                    <w14:schemeClr w14:val="bg1"/>
                  </w14:solidFill>
                </w14:textFill>
              </w:rPr>
              <w:t>）</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w:t>
            </w:r>
            <w:r>
              <w:rPr>
                <w:rFonts w:ascii="Arial" w:hAnsi="Arial" w:eastAsia="微软雅黑" w:cs="Arial"/>
                <w:b/>
                <w:bCs/>
                <w:color w:val="FFFFFF" w:themeColor="background1"/>
                <w:sz w:val="18"/>
                <w:szCs w:val="18"/>
                <w14:textFill>
                  <w14:solidFill>
                    <w14:schemeClr w14:val="bg1"/>
                  </w14:solidFill>
                </w14:textFill>
              </w:rPr>
              <w:t>人民币元</w:t>
            </w:r>
            <w:r>
              <w:rPr>
                <w:rFonts w:hint="eastAsia" w:ascii="Arial" w:hAnsi="Arial" w:eastAsia="微软雅黑" w:cs="Arial"/>
                <w:b/>
                <w:bCs/>
                <w:color w:val="FFFFFF" w:themeColor="background1"/>
                <w:sz w:val="18"/>
                <w:szCs w:val="18"/>
                <w14:textFill>
                  <w14:solidFill>
                    <w14:schemeClr w14:val="bg1"/>
                  </w14:solidFill>
                </w14:textFill>
              </w:rPr>
              <w:t>）</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 341,662,755.87 </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 1,025,800,777.35 </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w:t>
            </w:r>
            <w:r>
              <w:rPr>
                <w:rFonts w:ascii="Arial" w:hAnsi="Arial" w:eastAsia="微软雅黑" w:cs="Arial"/>
                <w:b w:val="0"/>
                <w:bCs/>
                <w:color w:val="000000"/>
                <w:sz w:val="18"/>
                <w:szCs w:val="18"/>
              </w:rPr>
              <w:t>主营业务成本</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214,592,971.85</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644,289,240.05</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0.</w:t>
            </w:r>
            <w:r>
              <w:rPr>
                <w:rFonts w:hint="eastAsia" w:ascii="Arial" w:hAnsi="Arial" w:cs="Arial"/>
                <w:sz w:val="18"/>
                <w:szCs w:val="18"/>
              </w:rPr>
              <w:t>0</w:t>
            </w:r>
            <w:r>
              <w:rPr>
                <w:rFonts w:ascii="Arial" w:hAnsi="Arial" w:cs="Arial"/>
                <w:sz w:val="18"/>
                <w:szCs w:val="18"/>
              </w:rPr>
              <w:t>0</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8,926,363.51</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 127,069,784.02 </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 372,585,173.79 </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18,605,596.97</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55,861,036.98</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44,739,956.95</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134,326,267.16</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 63,724,230.10 </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 182,397,869.65 </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277,938,525.78</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843,402,907.69</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22.93%</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21.63%</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基于2024年度的财务数据，斯必克流体技术在关联销售中的完全成本加成率为22.93%，在非关联销售中的完全成本加成率为21.63%。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为了对外部可比公司（即所执行的功能与斯必克流体技术的活动宽泛可比的独立企业）进行一次基准搜索，我们使用由Bureau van Dijk</w:t>
      </w:r>
      <w:r>
        <w:rPr>
          <w:rFonts w:ascii="Arial" w:hAnsi="Arial" w:eastAsia="微软雅黑" w:cs="Arial"/>
          <w:sz w:val="22"/>
          <w:szCs w:val="22"/>
          <w:vertAlign w:val="superscript"/>
        </w:rPr>
        <w:footnoteReference w:id="29"/>
      </w:r>
      <w:r>
        <w:rPr>
          <w:rFonts w:ascii="Arial" w:hAnsi="Arial" w:eastAsia="微软雅黑" w:cs="Arial"/>
          <w:sz w:val="22"/>
          <w:szCs w:val="22"/>
        </w:rPr>
        <w:t>提供的TP Catalyst数据库（2025年2月版）</w:t>
      </w:r>
      <w:r>
        <w:rPr>
          <w:rFonts w:hint="eastAsia" w:ascii="Arial" w:hAnsi="Arial" w:eastAsia="微软雅黑" w:cs="Arial"/>
          <w:sz w:val="22"/>
          <w:szCs w:val="22"/>
        </w:rPr>
        <w:t>搜索其中符合条件的上市公司作为可比公司</w:t>
      </w:r>
      <w:r>
        <w:rPr>
          <w:rFonts w:ascii="Arial" w:hAnsi="Arial" w:eastAsia="微软雅黑" w:cs="Arial"/>
          <w:sz w:val="22"/>
          <w:szCs w:val="22"/>
        </w:rPr>
        <w:t>。目前，中国税务主管机关在转让定价调查审计中也使用Bureau van Dijk提供的数据库。</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w:t>
      </w:r>
      <w:r>
        <w:rPr>
          <w:rFonts w:ascii="Arial" w:hAnsi="Arial" w:eastAsia="微软雅黑" w:cs="Arial"/>
          <w:sz w:val="22"/>
          <w:szCs w:val="22"/>
        </w:rPr>
        <w:t>我们</w:t>
      </w:r>
      <w:r>
        <w:rPr>
          <w:rFonts w:hint="eastAsia" w:ascii="Arial" w:hAnsi="Arial" w:eastAsia="微软雅黑" w:cs="Arial"/>
          <w:sz w:val="22"/>
          <w:szCs w:val="22"/>
        </w:rPr>
        <w:t>从数据库中得到</w:t>
      </w:r>
      <w:r>
        <w:rPr>
          <w:rFonts w:ascii="Arial" w:hAnsi="Arial" w:eastAsia="微软雅黑" w:cs="Arial"/>
          <w:sz w:val="22"/>
          <w:szCs w:val="22"/>
        </w:rPr>
        <w:t>374</w:t>
      </w:r>
      <w:r>
        <w:rPr>
          <w:rFonts w:hint="eastAsia" w:ascii="Arial" w:hAnsi="Arial" w:eastAsia="微软雅黑" w:cs="Arial"/>
          <w:sz w:val="22"/>
          <w:szCs w:val="22"/>
        </w:rPr>
        <w:t>家</w:t>
      </w:r>
      <w:r>
        <w:rPr>
          <w:rFonts w:ascii="Arial" w:hAnsi="Arial" w:eastAsia="微软雅黑" w:cs="Arial"/>
          <w:sz w:val="22"/>
          <w:szCs w:val="22"/>
        </w:rPr>
        <w:t>上市公司</w:t>
      </w:r>
      <w:r>
        <w:rPr>
          <w:rFonts w:hint="eastAsia" w:ascii="Arial" w:hAnsi="Arial" w:eastAsia="微软雅黑" w:cs="Arial"/>
          <w:sz w:val="22"/>
          <w:szCs w:val="22"/>
        </w:rPr>
        <w:t>。</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w:t>
      </w:r>
      <w:r>
        <w:rPr>
          <w:rFonts w:hint="eastAsia" w:ascii="Arial" w:hAnsi="Arial" w:eastAsia="微软雅黑" w:cs="Arial"/>
          <w:sz w:val="22"/>
          <w:szCs w:val="22"/>
        </w:rPr>
        <w:t>374</w:t>
      </w:r>
      <w:r>
        <w:rPr>
          <w:rFonts w:ascii="Arial" w:hAnsi="Arial" w:eastAsia="微软雅黑" w:cs="Arial"/>
          <w:sz w:val="22"/>
          <w:szCs w:val="22"/>
        </w:rPr>
        <w:t>家样本公司中在2021到2023财年内满足以下一项或多项特征的样本公司予以排除，从而提高潜在可比公司样本的可比性：</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w:t>
      </w:r>
      <w:r>
        <w:rPr>
          <w:rFonts w:ascii="Arial" w:hAnsi="Arial" w:eastAsia="微软雅黑" w:cs="Arial"/>
          <w:sz w:val="22"/>
          <w:szCs w:val="22"/>
        </w:rPr>
        <w:t>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w:t>
      </w:r>
      <w:r>
        <w:rPr>
          <w:rFonts w:ascii="Arial" w:hAnsi="Arial" w:eastAsia="微软雅黑" w:cs="Arial"/>
          <w:sz w:val="22"/>
          <w:szCs w:val="22"/>
        </w:rPr>
        <w:t>正如我们将在以下章节7.4.4.2中所讨论的，使用多年度数据可以降低短期市场波动对转让定价分析的影响。因此，我们排除了那些在2021年至2023财年期间，缺少至少2年有效财务数据的公司。</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w:t>
      </w:r>
      <w:r>
        <w:rPr>
          <w:rFonts w:ascii="Arial" w:hAnsi="Arial" w:eastAsia="微软雅黑" w:cs="Arial"/>
          <w:sz w:val="22"/>
          <w:szCs w:val="22"/>
        </w:rPr>
        <w:t>有连续亏损的独立公司对于斯必克流体技术这样持续经营的公司而言，不具备足够的可比性。因此，我们将2021到2023财年期间三年连续经营亏损或只有两年数据且两年均亏损的公司从可比样本中排除。</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企业执行的功能与斯必克流体技术</w:t>
      </w:r>
      <w:r>
        <w:rPr>
          <w:rFonts w:ascii="Arial" w:hAnsi="Arial" w:eastAsia="微软雅黑" w:cs="Arial"/>
          <w:kern w:val="2"/>
          <w:sz w:val="22"/>
          <w:szCs w:val="22"/>
        </w:rPr>
        <w:t>存在显著差异</w:t>
      </w:r>
      <w:r>
        <w:rPr>
          <w:rFonts w:ascii="Arial" w:hAnsi="Arial" w:eastAsia="微软雅黑" w:cs="Arial"/>
          <w:sz w:val="22"/>
          <w:szCs w:val="22"/>
        </w:rPr>
        <w:t>；</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企业销售的产品或服务与斯必克流体技术</w:t>
      </w:r>
      <w:r>
        <w:rPr>
          <w:rFonts w:ascii="Arial" w:hAnsi="Arial" w:eastAsia="微软雅黑" w:cs="Arial"/>
          <w:kern w:val="2"/>
          <w:sz w:val="22"/>
          <w:szCs w:val="22"/>
        </w:rPr>
        <w:t>存在显著差异</w:t>
      </w:r>
      <w:r>
        <w:rPr>
          <w:rFonts w:ascii="Arial" w:hAnsi="Arial" w:eastAsia="微软雅黑" w:cs="Arial"/>
          <w:sz w:val="22"/>
          <w:szCs w:val="22"/>
        </w:rPr>
        <w:t>。</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w:t>
            </w:r>
            <w:r>
              <w:rPr>
                <w:rFonts w:hint="eastAsia" w:ascii="Arial" w:hAnsi="Arial" w:eastAsia="微软雅黑" w:cs="Arial"/>
                <w:b/>
                <w:color w:val="FFFFFF" w:themeColor="background1"/>
                <w:kern w:val="2"/>
                <w:sz w:val="18"/>
                <w:szCs w:val="18"/>
                <w14:textFill>
                  <w14:solidFill>
                    <w14:schemeClr w14:val="bg1"/>
                  </w14:solidFill>
                </w14:textFill>
              </w:rPr>
              <w:t>2月</w:t>
            </w:r>
            <w:r>
              <w:rPr>
                <w:rFonts w:ascii="Arial" w:hAnsi="Arial" w:eastAsia="微软雅黑" w:cs="Arial"/>
                <w:b/>
                <w:color w:val="FFFFFF" w:themeColor="background1"/>
                <w:kern w:val="2"/>
                <w:sz w:val="18"/>
                <w:szCs w:val="18"/>
                <w14:textFill>
                  <w14:solidFill>
                    <w14:schemeClr w14:val="bg1"/>
                  </w14:solidFill>
                </w14:textFill>
              </w:rPr>
              <w:t>版）</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w:t>
            </w:r>
            <w:r>
              <w:rPr>
                <w:rFonts w:hint="eastAsia" w:ascii="Arial" w:hAnsi="Arial" w:eastAsia="微软雅黑" w:cs="Arial"/>
                <w:kern w:val="2"/>
                <w:sz w:val="18"/>
                <w:szCs w:val="18"/>
              </w:rPr>
              <w:t>至2</w:t>
            </w:r>
            <w:r>
              <w:rPr>
                <w:rFonts w:ascii="Arial" w:hAnsi="Arial" w:eastAsia="微软雅黑" w:cs="Arial"/>
                <w:kern w:val="2"/>
                <w:sz w:val="18"/>
                <w:szCs w:val="18"/>
              </w:rPr>
              <w:t>023财政年度间，在TP Catalyst数据库中的财务信息不充分；</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w:t>
            </w:r>
            <w:r>
              <w:rPr>
                <w:rFonts w:hint="eastAsia" w:ascii="Arial" w:hAnsi="Arial" w:eastAsia="微软雅黑" w:cs="Arial"/>
                <w:kern w:val="2"/>
                <w:sz w:val="18"/>
                <w:szCs w:val="18"/>
              </w:rPr>
              <w:t>至2</w:t>
            </w:r>
            <w:r>
              <w:rPr>
                <w:rFonts w:ascii="Arial" w:hAnsi="Arial" w:eastAsia="微软雅黑" w:cs="Arial"/>
                <w:kern w:val="2"/>
                <w:sz w:val="18"/>
                <w:szCs w:val="18"/>
              </w:rPr>
              <w:t>023财政年度间，三年连续经营亏损</w:t>
            </w:r>
            <w:r>
              <w:rPr>
                <w:rFonts w:hint="eastAsia" w:ascii="Arial" w:hAnsi="Arial" w:eastAsia="微软雅黑" w:cs="Arial"/>
                <w:kern w:val="2"/>
                <w:sz w:val="18"/>
                <w:szCs w:val="18"/>
              </w:rPr>
              <w:t>或只有两年数据且两年均亏损</w:t>
            </w:r>
            <w:r>
              <w:rPr>
                <w:rFonts w:ascii="Arial" w:hAnsi="Arial" w:eastAsia="微软雅黑" w:cs="Arial"/>
                <w:kern w:val="2"/>
                <w:sz w:val="18"/>
                <w:szCs w:val="18"/>
              </w:rPr>
              <w:t>被排除。</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为了在交易净利润分析中运用多年度数据，我们通过比较斯必克流体技术2024年度受测关联交易的利润水平和可比公司2021</w:t>
      </w:r>
      <w:r>
        <w:rPr>
          <w:rFonts w:hint="eastAsia" w:ascii="Arial" w:hAnsi="Arial" w:eastAsia="微软雅黑" w:cs="Arial"/>
          <w:sz w:val="22"/>
          <w:szCs w:val="22"/>
        </w:rPr>
        <w:t>到</w:t>
      </w:r>
      <w:r>
        <w:rPr>
          <w:rFonts w:ascii="Arial" w:hAnsi="Arial" w:eastAsia="微软雅黑" w:cs="Arial"/>
          <w:sz w:val="22"/>
          <w:szCs w:val="22"/>
        </w:rPr>
        <w:t>2023财年的加权平均利润水平，来评估斯必克流体技术的受测关联交易是否符合独立交易原则。</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w:t>
      </w:r>
      <w:r>
        <w:rPr>
          <w:rFonts w:hint="eastAsia" w:ascii="Arial" w:hAnsi="Arial" w:eastAsia="微软雅黑" w:cs="Arial"/>
          <w:sz w:val="22"/>
          <w:szCs w:val="22"/>
        </w:rPr>
        <w:t>1</w:t>
      </w:r>
      <w:r>
        <w:rPr>
          <w:rFonts w:ascii="Arial" w:hAnsi="Arial" w:eastAsia="微软雅黑" w:cs="Arial"/>
          <w:sz w:val="22"/>
          <w:szCs w:val="22"/>
        </w:rPr>
        <w:t>到202</w:t>
      </w:r>
      <w:r>
        <w:rPr>
          <w:rFonts w:hint="eastAsia" w:ascii="Arial" w:hAnsi="Arial" w:eastAsia="微软雅黑" w:cs="Arial"/>
          <w:sz w:val="22"/>
          <w:szCs w:val="22"/>
        </w:rPr>
        <w:t>3</w:t>
      </w:r>
      <w:r>
        <w:rPr>
          <w:rFonts w:ascii="Arial" w:hAnsi="Arial" w:eastAsia="微软雅黑" w:cs="Arial"/>
          <w:sz w:val="22"/>
          <w:szCs w:val="22"/>
        </w:rPr>
        <w:t>财年期间加权平均完全成本加成率的四分位区间。</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w:t>
      </w:r>
      <w:r>
        <w:rPr>
          <w:rFonts w:hint="eastAsia" w:ascii="Arial" w:hAnsi="Arial" w:eastAsia="微软雅黑" w:cs="Arial"/>
          <w:sz w:val="22"/>
          <w:szCs w:val="22"/>
        </w:rPr>
        <w:t>到</w:t>
      </w:r>
      <w:r>
        <w:rPr>
          <w:rFonts w:ascii="Arial" w:hAnsi="Arial" w:eastAsia="微软雅黑" w:cs="Arial"/>
          <w:sz w:val="22"/>
          <w:szCs w:val="22"/>
        </w:rPr>
        <w:t>2023财年每家可比公司的损益表中的信息。被选可比公司</w:t>
      </w:r>
      <w:r>
        <w:rPr>
          <w:rFonts w:hint="eastAsia" w:ascii="Arial" w:hAnsi="Arial" w:eastAsia="微软雅黑" w:cs="Arial"/>
          <w:sz w:val="22"/>
          <w:szCs w:val="22"/>
        </w:rPr>
        <w:t>的财务信息及</w:t>
      </w:r>
      <w:r>
        <w:rPr>
          <w:rFonts w:ascii="Arial" w:hAnsi="Arial" w:eastAsia="微软雅黑" w:cs="Arial"/>
          <w:sz w:val="22"/>
          <w:szCs w:val="22"/>
        </w:rPr>
        <w:t>完全成本加成率计算详见附件4。</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w:t>
      </w:r>
      <w:r>
        <w:rPr>
          <w:rFonts w:hint="eastAsia" w:ascii="Arial" w:hAnsi="Arial" w:eastAsia="微软雅黑" w:cs="Arial"/>
          <w:sz w:val="22"/>
          <w:szCs w:val="22"/>
        </w:rPr>
        <w:t>到</w:t>
      </w:r>
      <w:r>
        <w:rPr>
          <w:rFonts w:ascii="Arial" w:hAnsi="Arial" w:eastAsia="微软雅黑" w:cs="Arial"/>
          <w:sz w:val="22"/>
          <w:szCs w:val="22"/>
        </w:rPr>
        <w:t>2023财年加权平均完全成本加成率。如下图所示，2021</w:t>
      </w:r>
      <w:r>
        <w:rPr>
          <w:rFonts w:hint="eastAsia" w:ascii="Arial" w:hAnsi="Arial" w:eastAsia="微软雅黑" w:cs="Arial"/>
          <w:sz w:val="22"/>
          <w:szCs w:val="22"/>
        </w:rPr>
        <w:t>到</w:t>
      </w:r>
      <w:r>
        <w:rPr>
          <w:rFonts w:ascii="Arial" w:hAnsi="Arial" w:eastAsia="微软雅黑" w:cs="Arial"/>
          <w:sz w:val="22"/>
          <w:szCs w:val="22"/>
        </w:rPr>
        <w:t>2023年完全成本加成率的独立交易区间为3.00%(第一四分位数)至12.74% (第三四分位数)，中位值为8.41%。</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w:t>
      </w:r>
      <w:r>
        <w:rPr>
          <w:rFonts w:hint="eastAsia" w:ascii="Arial" w:hAnsi="Arial" w:eastAsia="微软雅黑" w:cs="Arial"/>
          <w:sz w:val="22"/>
          <w:szCs w:val="22"/>
        </w:rPr>
        <w:t>到</w:t>
      </w:r>
      <w:r>
        <w:rPr>
          <w:rFonts w:ascii="Arial" w:hAnsi="Arial" w:eastAsia="微软雅黑" w:cs="Arial"/>
          <w:sz w:val="22"/>
          <w:szCs w:val="22"/>
        </w:rPr>
        <w:t>2023财年加权平均完全成本加成率独立交易区间为3</w:t>
      </w:r>
      <w:r>
        <w:rPr>
          <w:rFonts w:hint="eastAsia" w:ascii="Arial" w:hAnsi="Arial" w:eastAsia="微软雅黑" w:cs="Arial"/>
          <w:sz w:val="22"/>
          <w:szCs w:val="22"/>
        </w:rPr>
        <w:t>.</w:t>
      </w:r>
      <w:r>
        <w:rPr>
          <w:rFonts w:ascii="Arial" w:hAnsi="Arial" w:eastAsia="微软雅黑" w:cs="Arial"/>
          <w:sz w:val="22"/>
          <w:szCs w:val="22"/>
        </w:rPr>
        <w:t>00%到12.74%，中位值为8.41%。斯必克流体技术在关联销售中的完全成本加成率为</w:t>
      </w:r>
      <w:r>
        <w:rPr>
          <w:rFonts w:ascii="Arial" w:hAnsi="Arial" w:eastAsia="微软雅黑" w:cs="Arial"/>
          <w:color w:val="000000"/>
          <w:sz w:val="22"/>
          <w:szCs w:val="22"/>
        </w:rPr>
        <w:t>22.93</w:t>
      </w:r>
      <w:r>
        <w:rPr>
          <w:rFonts w:ascii="Arial" w:hAnsi="Arial" w:eastAsia="微软雅黑" w:cs="Arial"/>
          <w:sz w:val="22"/>
          <w:szCs w:val="22"/>
        </w:rPr>
        <w:t>%，在非关联销售中的完全成本加成率为21.63%，均高于可比公司完全成本加成率的中位值。</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w:t>
      </w:r>
      <w:r>
        <w:rPr>
          <w:rFonts w:hint="eastAsia" w:ascii="Arial" w:hAnsi="Arial" w:eastAsia="微软雅黑" w:cs="Arial"/>
          <w:sz w:val="22"/>
          <w:szCs w:val="22"/>
        </w:rPr>
        <w:t>从中国转让定价的角度，</w:t>
      </w:r>
      <w:r>
        <w:rPr>
          <w:rFonts w:ascii="Arial" w:hAnsi="Arial" w:eastAsia="微软雅黑" w:cs="Arial"/>
          <w:sz w:val="22"/>
          <w:szCs w:val="22"/>
        </w:rPr>
        <w:t>斯必克流体技术的</w:t>
      </w:r>
      <w:r>
        <w:rPr>
          <w:rFonts w:hint="eastAsia" w:ascii="Arial" w:hAnsi="Arial" w:eastAsia="微软雅黑" w:cs="Arial"/>
          <w:sz w:val="22"/>
          <w:szCs w:val="22"/>
        </w:rPr>
        <w:t>关联</w:t>
      </w:r>
      <w:r>
        <w:rPr>
          <w:rFonts w:ascii="Arial" w:hAnsi="Arial" w:eastAsia="微软雅黑" w:cs="Arial"/>
          <w:sz w:val="22"/>
          <w:szCs w:val="22"/>
        </w:rPr>
        <w:t>交易的定价符合独立交易原则。</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评估期间，根据斯必克流体参与的集团现金池协议，2024</w:t>
      </w:r>
      <w:r>
        <w:rPr>
          <w:rFonts w:hint="eastAsia" w:ascii="Arial" w:hAnsi="Arial" w:eastAsia="微软雅黑" w:cs="Arial"/>
          <w:sz w:val="22"/>
          <w:szCs w:val="22"/>
        </w:rPr>
        <w:t>年现金池适用的贷款利率为0</w:t>
      </w:r>
      <w:r>
        <w:rPr>
          <w:rFonts w:ascii="Arial" w:hAnsi="Arial" w:eastAsia="微软雅黑" w:cs="Arial"/>
          <w:sz w:val="22"/>
          <w:szCs w:val="22"/>
        </w:rPr>
        <w:t>.50%</w:t>
      </w:r>
      <w:r>
        <w:rPr>
          <w:rFonts w:hint="eastAsia" w:ascii="Arial" w:hAnsi="Arial" w:eastAsia="微软雅黑" w:cs="Arial"/>
          <w:sz w:val="22"/>
          <w:szCs w:val="22"/>
        </w:rPr>
        <w:t>。</w:t>
      </w:r>
      <w:r>
        <w:rPr>
          <w:rFonts w:ascii="Arial" w:hAnsi="Arial" w:eastAsia="微软雅黑" w:cs="Arial"/>
          <w:sz w:val="22"/>
          <w:szCs w:val="22"/>
        </w:rPr>
        <w:t>如果参与现金池的集团成员公司需要流动资金，并且选择向银行申请贷款，适用的利率水平为下表所示一年内人民币贷款基准利率。比较可见，现金池适用的贷款利率低于同期短期人民币贷款基准利率</w:t>
      </w:r>
      <w:r>
        <w:rPr>
          <w:rFonts w:hint="eastAsia" w:ascii="Arial" w:hAnsi="Arial" w:eastAsia="微软雅黑" w:cs="Arial"/>
          <w:sz w:val="22"/>
          <w:szCs w:val="22"/>
        </w:rPr>
        <w:t>及贷款市场报价利率（“</w:t>
      </w:r>
      <w:r>
        <w:rPr>
          <w:rFonts w:ascii="Arial" w:hAnsi="Arial" w:eastAsia="微软雅黑" w:cs="Arial"/>
          <w:sz w:val="22"/>
          <w:szCs w:val="22"/>
        </w:rPr>
        <w:t>LPR</w:t>
      </w:r>
      <w:r>
        <w:rPr>
          <w:rFonts w:hint="eastAsia" w:ascii="Arial" w:hAnsi="Arial" w:eastAsia="微软雅黑" w:cs="Arial"/>
          <w:sz w:val="22"/>
          <w:szCs w:val="22"/>
        </w:rPr>
        <w:t>”）</w:t>
      </w:r>
      <w:r>
        <w:rPr>
          <w:rFonts w:ascii="Arial" w:hAnsi="Arial" w:eastAsia="微软雅黑" w:cs="Arial"/>
          <w:sz w:val="22"/>
          <w:szCs w:val="22"/>
        </w:rPr>
        <w:t>，即需要资金的集团成员公司可以以比从银行借款更优惠的资金使用成本从关联方借入资金。</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图表24：中国人民银行2024年贷款利率与现金池委托贷款利率比较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w:t>
            </w:r>
            <w:r>
              <w:rPr>
                <w:rFonts w:ascii="Arial" w:hAnsi="Arial" w:eastAsia="微软雅黑" w:cs="Arial"/>
                <w:b/>
                <w:color w:val="FFFFFF" w:themeColor="background1"/>
                <w:sz w:val="18"/>
                <w:szCs w:val="18"/>
                <w14:textFill>
                  <w14:solidFill>
                    <w14:schemeClr w14:val="bg1"/>
                  </w14:solidFill>
                </w14:textFill>
              </w:rPr>
              <w:t>PR</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2024年</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同时，评估期间，如果现金池成员公司希望在保证资金流动性的前提下运用闲置资金，适用的银行同期活期存款的市场利率如下表所示。根据现金池协议，2024</w:t>
      </w:r>
      <w:r>
        <w:rPr>
          <w:rFonts w:hint="eastAsia" w:ascii="Arial" w:hAnsi="Arial" w:eastAsia="微软雅黑" w:cs="Arial"/>
          <w:sz w:val="22"/>
          <w:szCs w:val="22"/>
        </w:rPr>
        <w:t>年现金池适用的存款利率为</w:t>
      </w:r>
      <w:r>
        <w:rPr>
          <w:rFonts w:ascii="Arial" w:hAnsi="Arial" w:eastAsia="微软雅黑" w:cs="Arial"/>
          <w:sz w:val="22"/>
          <w:szCs w:val="22"/>
        </w:rPr>
        <w:t>0.50</w:t>
      </w:r>
      <w:r>
        <w:rPr>
          <w:rFonts w:hint="eastAsia" w:ascii="Arial" w:hAnsi="Arial" w:eastAsia="微软雅黑" w:cs="Arial"/>
          <w:sz w:val="22"/>
          <w:szCs w:val="22"/>
        </w:rPr>
        <w:t>%。</w:t>
      </w:r>
      <w:r>
        <w:rPr>
          <w:rFonts w:ascii="Arial" w:hAnsi="Arial" w:eastAsia="微软雅黑" w:cs="Arial"/>
          <w:sz w:val="22"/>
          <w:szCs w:val="22"/>
        </w:rPr>
        <w:t>这一利率高于同期活期存款的市场利率，即富余资金的集团成员公司可以获取比存入银行更高的资金收益向关联方借出资金。</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图表25：中国人民银行202</w:t>
      </w:r>
      <w:r>
        <w:rPr>
          <w:rFonts w:hint="eastAsia" w:ascii="Arial" w:hAnsi="Arial" w:eastAsia="微软雅黑" w:cs="Arial"/>
          <w:bCs w:val="0"/>
          <w:sz w:val="18"/>
          <w:szCs w:val="18"/>
        </w:rPr>
        <w:t>4</w:t>
      </w:r>
      <w:r>
        <w:rPr>
          <w:rFonts w:ascii="Arial" w:hAnsi="Arial" w:eastAsia="微软雅黑" w:cs="Arial"/>
          <w:bCs w:val="0"/>
          <w:sz w:val="18"/>
          <w:szCs w:val="18"/>
        </w:rPr>
        <w:t>年存款利率与现金池委托存款利率比较</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2024年</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根据分析，可比公司2021到2023财年加权平均完全成本加成率独立交易区间为3.00%到12.74%，中位值为8.41%。斯必克流体技术在关联销售中的完全成本加成率为</w:t>
      </w:r>
      <w:r>
        <w:rPr>
          <w:rFonts w:ascii="Arial" w:hAnsi="Arial" w:eastAsia="微软雅黑" w:cs="Arial"/>
          <w:color w:val="000000"/>
          <w:sz w:val="22"/>
          <w:szCs w:val="22"/>
        </w:rPr>
        <w:t>22.93</w:t>
      </w:r>
      <w:r>
        <w:rPr>
          <w:rFonts w:ascii="Arial" w:hAnsi="Arial" w:eastAsia="微软雅黑" w:cs="Arial"/>
          <w:sz w:val="22"/>
          <w:szCs w:val="22"/>
        </w:rPr>
        <w:t>%，在非关联销售中的完全成本加成率为21.63%，均高于中位值，因此，从中国转让定价</w:t>
      </w:r>
      <w:r>
        <w:rPr>
          <w:rFonts w:hint="eastAsia" w:ascii="Arial" w:hAnsi="Arial" w:eastAsia="微软雅黑" w:cs="Arial"/>
          <w:sz w:val="22"/>
          <w:szCs w:val="22"/>
        </w:rPr>
        <w:t>的</w:t>
      </w:r>
      <w:r>
        <w:rPr>
          <w:rFonts w:ascii="Arial" w:hAnsi="Arial" w:eastAsia="微软雅黑" w:cs="Arial"/>
          <w:sz w:val="22"/>
          <w:szCs w:val="22"/>
        </w:rPr>
        <w:t>角度，我们认为斯必克流体技术的受测关联交易符合独立交易原则。</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w:t>
      </w:r>
      <w:bookmarkEnd w:id="707"/>
      <w:r>
        <w:rPr>
          <w:rFonts w:ascii="Arial" w:hAnsi="Arial" w:eastAsia="微软雅黑" w:cs="Arial"/>
          <w:color w:val="4F81BD" w:themeColor="accent1"/>
          <w:sz w:val="28"/>
          <w:szCs w:val="22"/>
          <w14:textFill>
            <w14:solidFill>
              <w14:schemeClr w14:val="accent1"/>
            </w14:solidFill>
          </w14:textFill>
        </w:rPr>
        <w:t>列表</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w:t>
      </w:r>
      <w:r>
        <w:rPr>
          <w:rFonts w:hint="eastAsia" w:ascii="Arial" w:hAnsi="Arial" w:eastAsia="微软雅黑" w:cs="Arial"/>
          <w:sz w:val="22"/>
          <w:szCs w:val="22"/>
        </w:rPr>
        <w:t>可比公司业务描述</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w:t>
            </w:r>
            <w:r>
              <w:rPr>
                <w:rFonts w:ascii="Arial" w:hAnsi="Arial" w:eastAsia="微软雅黑" w:cs="Arial"/>
                <w:b/>
                <w:color w:val="FFFFFF" w:themeColor="background1"/>
                <w:sz w:val="18"/>
                <w:szCs w:val="18"/>
                <w14:textFill>
                  <w14:solidFill>
                    <w14:schemeClr w14:val="bg1"/>
                  </w14:solidFill>
                </w14:textFill>
              </w:rPr>
              <w:t>计</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358,641,785.75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341,662,755.87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219,116,190.69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214,592,971.85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199,499,441.64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296,076,357.47 </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w:t>
      </w:r>
      <w:r>
        <w:rPr>
          <w:rFonts w:hint="eastAsia" w:ascii="Arial" w:hAnsi="Arial" w:eastAsia="微软雅黑" w:cs="Arial"/>
          <w:color w:val="4F81BD" w:themeColor="accent1"/>
          <w:sz w:val="28"/>
          <w:szCs w:val="22"/>
          <w14:textFill>
            <w14:solidFill>
              <w14:schemeClr w14:val="accent1"/>
            </w14:solidFill>
          </w14:textFill>
        </w:rPr>
        <w:t>业务描述</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0</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1</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2</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3</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4</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5</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6</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r>
              <w:rPr>
                <w:rFonts w:ascii="Arial" w:hAnsi="Arial" w:eastAsia="等线" w:cs="Arial"/>
                <w:color w:val="333333"/>
                <w:sz w:val="18"/>
                <w:szCs w:val="18"/>
              </w:rPr>
              <w:t>7</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w:t>
      </w:r>
      <w:r>
        <w:rPr>
          <w:rFonts w:hint="eastAsia" w:ascii="Arial" w:hAnsi="Arial" w:eastAsia="微软雅黑" w:cs="Arial"/>
          <w:color w:val="4F81BD" w:themeColor="accent1"/>
          <w:sz w:val="28"/>
          <w:szCs w:val="22"/>
          <w14:textFill>
            <w14:solidFill>
              <w14:schemeClr w14:val="accent1"/>
            </w14:solidFill>
          </w14:textFill>
        </w:rPr>
        <w:t>财务信息</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w:t>
            </w:r>
            <w:r>
              <w:rPr>
                <w:rFonts w:hint="eastAsia" w:ascii="Arial" w:hAnsi="Arial" w:eastAsia="等线" w:cs="Arial"/>
                <w:b/>
                <w:bCs/>
                <w:color w:val="FFFFFF"/>
                <w:sz w:val="18"/>
                <w:szCs w:val="18"/>
              </w:rPr>
              <w:t>）</w:t>
            </w:r>
            <w:r>
              <w:rPr>
                <w:rFonts w:ascii="Arial" w:hAnsi="Arial" w:eastAsia="等线" w:cs="Arial"/>
                <w:b/>
                <w:bCs/>
                <w:color w:val="FFFFFF"/>
                <w:sz w:val="18"/>
                <w:szCs w:val="18"/>
              </w:rPr>
              <w:t>Noritz Corporation</w:t>
            </w:r>
            <w:r>
              <w:rPr>
                <w:rFonts w:hint="eastAsia" w:ascii="微软雅黑" w:hAnsi="微软雅黑" w:eastAsia="微软雅黑" w:cs="Arial"/>
                <w:b/>
                <w:bCs/>
                <w:color w:val="FFFFFF"/>
                <w:sz w:val="18"/>
                <w:szCs w:val="18"/>
              </w:rPr>
              <w:t>（日本）</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w:t>
            </w:r>
            <w:r>
              <w:rPr>
                <w:rFonts w:ascii="Arial" w:hAnsi="Arial" w:eastAsia="等线" w:cs="Arial"/>
                <w:b/>
                <w:bCs/>
                <w:color w:val="FFFFFF"/>
                <w:sz w:val="18"/>
                <w:szCs w:val="18"/>
              </w:rPr>
              <w:t>Kitz Corporati ON</w:t>
            </w:r>
            <w:r>
              <w:rPr>
                <w:rFonts w:hint="eastAsia" w:ascii="微软雅黑" w:hAnsi="微软雅黑" w:eastAsia="微软雅黑" w:cs="Arial"/>
                <w:b/>
                <w:bCs/>
                <w:color w:val="FFFFFF"/>
                <w:sz w:val="18"/>
                <w:szCs w:val="18"/>
              </w:rPr>
              <w:t>（日本）</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t>
            </w:r>
            <w:r>
              <w:rPr>
                <w:rFonts w:hint="eastAsia" w:ascii="Arial" w:hAnsi="Arial" w:eastAsia="等线" w:cs="Arial"/>
                <w:b/>
                <w:bCs/>
                <w:color w:val="FFFFFF"/>
                <w:sz w:val="18"/>
                <w:szCs w:val="18"/>
              </w:rPr>
              <w:t>）</w:t>
            </w:r>
            <w:r>
              <w:rPr>
                <w:rFonts w:ascii="Arial" w:hAnsi="Arial" w:eastAsia="等线" w:cs="Arial"/>
                <w:b/>
                <w:bCs/>
                <w:color w:val="FFFFFF"/>
                <w:sz w:val="18"/>
                <w:szCs w:val="18"/>
              </w:rPr>
              <w:t>Wuxi Smart Auto-Control Engineering Co., Ltd.</w:t>
            </w:r>
            <w:r>
              <w:rPr>
                <w:rFonts w:hint="eastAsia" w:ascii="微软雅黑" w:hAnsi="微软雅黑" w:eastAsia="微软雅黑" w:cs="Arial"/>
                <w:b/>
                <w:bCs/>
                <w:color w:val="FFFFFF"/>
                <w:sz w:val="18"/>
                <w:szCs w:val="18"/>
              </w:rPr>
              <w:t>（中国）</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w:t>
            </w:r>
            <w:r>
              <w:rPr>
                <w:rFonts w:ascii="微软雅黑" w:hAnsi="微软雅黑" w:eastAsia="微软雅黑" w:cs="宋体"/>
                <w:b/>
                <w:bCs/>
                <w:sz w:val="18"/>
                <w:szCs w:val="18"/>
              </w:rPr>
              <w:t>00</w:t>
            </w:r>
            <w:r>
              <w:rPr>
                <w:rFonts w:hint="eastAsia" w:ascii="微软雅黑" w:hAnsi="微软雅黑" w:eastAsia="微软雅黑" w:cs="宋体"/>
                <w:b/>
                <w:bCs/>
                <w:sz w:val="18"/>
                <w:szCs w:val="18"/>
              </w:rPr>
              <w:t>2877</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w:t>
            </w:r>
            <w:r>
              <w:rPr>
                <w:rFonts w:hint="eastAsia" w:ascii="Arial" w:hAnsi="Arial" w:eastAsia="等线" w:cs="Arial"/>
                <w:b/>
                <w:bCs/>
                <w:color w:val="FFFFFF"/>
                <w:sz w:val="18"/>
                <w:szCs w:val="18"/>
              </w:rPr>
              <w:t>）</w:t>
            </w:r>
            <w:r>
              <w:rPr>
                <w:rFonts w:ascii="Arial" w:hAnsi="Arial" w:eastAsia="等线" w:cs="Arial"/>
                <w:b/>
                <w:bCs/>
                <w:color w:val="FFFFFF"/>
                <w:sz w:val="18"/>
                <w:szCs w:val="18"/>
              </w:rPr>
              <w:t>Founder Valve Group Co., LTD</w:t>
            </w:r>
            <w:r>
              <w:rPr>
                <w:rFonts w:hint="eastAsia" w:ascii="微软雅黑" w:hAnsi="微软雅黑" w:eastAsia="微软雅黑" w:cs="Arial"/>
                <w:b/>
                <w:bCs/>
                <w:color w:val="FFFFFF"/>
                <w:sz w:val="18"/>
                <w:szCs w:val="18"/>
              </w:rPr>
              <w:t>（中国）</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w:t>
            </w:r>
            <w:r>
              <w:rPr>
                <w:rFonts w:hint="eastAsia" w:ascii="微软雅黑" w:hAnsi="微软雅黑" w:eastAsia="微软雅黑"/>
                <w:b/>
                <w:bCs/>
                <w:sz w:val="18"/>
                <w:szCs w:val="18"/>
              </w:rPr>
              <w:t>920082</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w:t>
            </w:r>
            <w:r>
              <w:rPr>
                <w:rFonts w:hint="eastAsia" w:ascii="Arial" w:hAnsi="Arial" w:eastAsia="等线" w:cs="Arial"/>
                <w:b/>
                <w:bCs/>
                <w:color w:val="FFFFFF"/>
                <w:sz w:val="18"/>
                <w:szCs w:val="18"/>
              </w:rPr>
              <w:t>）</w:t>
            </w:r>
            <w:r>
              <w:rPr>
                <w:rFonts w:ascii="Arial" w:hAnsi="Arial" w:eastAsia="等线" w:cs="Arial"/>
                <w:b/>
                <w:bCs/>
                <w:color w:val="FFFFFF"/>
                <w:sz w:val="18"/>
                <w:szCs w:val="18"/>
              </w:rPr>
              <w:t>HS Valve Co.,Ltd.</w:t>
            </w:r>
            <w:r>
              <w:rPr>
                <w:rFonts w:hint="eastAsia" w:ascii="微软雅黑" w:hAnsi="微软雅黑" w:eastAsia="微软雅黑" w:cs="Arial"/>
                <w:b/>
                <w:bCs/>
                <w:color w:val="FFFFFF"/>
                <w:sz w:val="18"/>
                <w:szCs w:val="18"/>
              </w:rPr>
              <w:t>（韩国）</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w:t>
            </w:r>
            <w:r>
              <w:rPr>
                <w:rFonts w:hint="eastAsia" w:ascii="Arial" w:hAnsi="Arial" w:eastAsia="等线"/>
                <w:b/>
                <w:bCs/>
                <w:color w:val="FFFFFF"/>
                <w:sz w:val="18"/>
                <w:szCs w:val="18"/>
              </w:rPr>
              <w:t>）</w:t>
            </w:r>
            <w:r>
              <w:rPr>
                <w:rFonts w:ascii="Arial" w:hAnsi="Arial" w:eastAsia="等线"/>
                <w:b/>
                <w:bCs/>
                <w:color w:val="FFFFFF"/>
                <w:sz w:val="18"/>
                <w:szCs w:val="18"/>
                <w:highlight w:val="none"/>
              </w:rPr>
              <w:t>Meson Valves India Limited</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w:t>
            </w:r>
            <w:r>
              <w:rPr>
                <w:rFonts w:ascii="微软雅黑" w:hAnsi="微软雅黑" w:eastAsia="微软雅黑" w:cs="宋体"/>
                <w:b/>
                <w:bCs/>
                <w:sz w:val="18"/>
                <w:szCs w:val="18"/>
              </w:rPr>
              <w:t>37326</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斯必克（上海）流体技术有限公司</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2024</w:t>
    </w:r>
    <w:r>
      <w:rPr>
        <w:rFonts w:ascii="Arial" w:hAnsi="Arial" w:eastAsia="微软雅黑" w:cs="Arial"/>
        <w:sz w:val="16"/>
        <w:szCs w:val="16"/>
      </w:rPr>
      <w:t>财务年度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4.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