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7B3E" w:rsidRPr="00382AAF" w:rsidRDefault="00A77B3E">
      <w:pPr>
        <w:rPr>
          <w:rFonts w:ascii="华文细黑" w:eastAsia="华文细黑" w:hAnsi="华文细黑"/>
        </w:rPr>
        <w:sectPr w:rsidR="00A77B3E" w:rsidRPr="00382AAF">
          <w:pgSz w:w="12240" w:h="15840"/>
          <w:pgMar w:top="1440" w:right="1440" w:bottom="1440" w:left="1440" w:header="720" w:footer="720" w:gutter="0"/>
          <w:cols w:space="720"/>
          <w:docGrid w:linePitch="360"/>
        </w:sectPr>
      </w:pPr>
    </w:p>
    <w:p w:rsidR="00152594" w:rsidRPr="00382AAF" w:rsidRDefault="00152594">
      <w:pPr>
        <w:rPr>
          <w:rFonts w:ascii="华文细黑" w:eastAsia="华文细黑" w:hAnsi="华文细黑"/>
        </w:rPr>
      </w:pPr>
    </w:p>
    <w:p w:rsidR="00152594" w:rsidRPr="00382AAF" w:rsidRDefault="00382AAF">
      <w:pPr>
        <w:jc w:val="both"/>
        <w:rPr>
          <w:rFonts w:ascii="华文细黑" w:eastAsia="华文细黑" w:hAnsi="华文细黑"/>
          <w:lang w:eastAsia="zh-CN"/>
        </w:rPr>
      </w:pPr>
      <w:r w:rsidRPr="00382AAF">
        <w:rPr>
          <w:rFonts w:ascii="华文细黑" w:eastAsia="华文细黑" w:hAnsi="华文细黑" w:cs="Arial"/>
          <w:b/>
          <w:bCs/>
          <w:lang w:eastAsia="zh-CN"/>
        </w:rPr>
        <w:t> </w:t>
      </w:r>
    </w:p>
    <w:p w:rsidR="00152594" w:rsidRPr="00382AAF" w:rsidRDefault="00382AAF">
      <w:pPr>
        <w:jc w:val="both"/>
        <w:rPr>
          <w:rFonts w:ascii="华文细黑" w:eastAsia="华文细黑" w:hAnsi="华文细黑"/>
          <w:lang w:eastAsia="zh-CN"/>
        </w:rPr>
      </w:pPr>
      <w:r w:rsidRPr="00382AAF">
        <w:rPr>
          <w:rFonts w:ascii="华文细黑" w:eastAsia="华文细黑" w:hAnsi="华文细黑" w:cs="Arial"/>
          <w:b/>
          <w:bCs/>
          <w:lang w:eastAsia="zh-CN"/>
        </w:rPr>
        <w:t> </w:t>
      </w:r>
    </w:p>
    <w:p w:rsidR="00152594" w:rsidRPr="00382AAF" w:rsidRDefault="00382AAF">
      <w:pPr>
        <w:jc w:val="both"/>
        <w:rPr>
          <w:rFonts w:ascii="华文细黑" w:eastAsia="华文细黑" w:hAnsi="华文细黑"/>
          <w:lang w:eastAsia="zh-CN"/>
        </w:rPr>
      </w:pPr>
      <w:r w:rsidRPr="00382AAF">
        <w:rPr>
          <w:rFonts w:ascii="华文细黑" w:eastAsia="华文细黑" w:hAnsi="华文细黑" w:cs="Arial"/>
          <w:b/>
          <w:bCs/>
          <w:color w:val="00B0F0"/>
          <w:lang w:eastAsia="zh-CN"/>
        </w:rPr>
        <w:t> </w:t>
      </w:r>
    </w:p>
    <w:p w:rsidR="00152594" w:rsidRPr="00382AAF" w:rsidRDefault="00152594">
      <w:pPr>
        <w:jc w:val="both"/>
        <w:rPr>
          <w:rFonts w:ascii="华文细黑" w:eastAsia="华文细黑" w:hAnsi="华文细黑"/>
          <w:lang w:eastAsia="zh-CN"/>
        </w:rPr>
      </w:pPr>
    </w:p>
    <w:p w:rsidR="00152594" w:rsidRPr="00382AAF" w:rsidRDefault="00152594">
      <w:pPr>
        <w:jc w:val="both"/>
        <w:rPr>
          <w:rFonts w:ascii="华文细黑" w:eastAsia="华文细黑" w:hAnsi="华文细黑"/>
          <w:lang w:eastAsia="zh-CN"/>
        </w:rPr>
      </w:pPr>
    </w:p>
    <w:p w:rsidR="00152594" w:rsidRPr="00382AAF" w:rsidRDefault="00382AAF">
      <w:pPr>
        <w:spacing w:before="120" w:after="120"/>
        <w:rPr>
          <w:rFonts w:ascii="华文细黑" w:eastAsia="华文细黑" w:hAnsi="华文细黑"/>
          <w:lang w:eastAsia="zh-CN"/>
        </w:rPr>
      </w:pPr>
      <w:r w:rsidRPr="00382AAF">
        <w:rPr>
          <w:rFonts w:ascii="华文细黑" w:eastAsia="华文细黑" w:hAnsi="华文细黑" w:cs="仿宋_GB2312"/>
          <w:color w:val="002060"/>
          <w:sz w:val="48"/>
          <w:szCs w:val="48"/>
          <w:lang w:eastAsia="zh-CN"/>
        </w:rPr>
        <w:t>斯必克（上海）流体技术有限公司</w:t>
      </w:r>
    </w:p>
    <w:p w:rsidR="00152594" w:rsidRPr="00382AAF" w:rsidRDefault="00382AAF">
      <w:pPr>
        <w:rPr>
          <w:rFonts w:ascii="华文细黑" w:eastAsia="华文细黑" w:hAnsi="华文细黑"/>
          <w:lang w:eastAsia="zh-CN"/>
        </w:rPr>
      </w:pPr>
      <w:r w:rsidRPr="00382AAF">
        <w:rPr>
          <w:rFonts w:ascii="华文细黑" w:eastAsia="华文细黑" w:hAnsi="华文细黑" w:cs="Arial"/>
          <w:b/>
          <w:bCs/>
          <w:color w:val="C75B12"/>
          <w:sz w:val="53"/>
          <w:szCs w:val="53"/>
          <w:lang w:eastAsia="zh-CN"/>
        </w:rPr>
        <w:t> </w:t>
      </w:r>
    </w:p>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color w:val="000000"/>
          <w:sz w:val="32"/>
          <w:szCs w:val="32"/>
          <w:lang w:eastAsia="zh-CN"/>
        </w:rPr>
        <w:t>关联交易同期资料的本地文档</w:t>
      </w:r>
    </w:p>
    <w:p w:rsidR="00152594" w:rsidRPr="00382AAF" w:rsidRDefault="00382AAF">
      <w:pPr>
        <w:spacing w:before="45" w:after="120" w:line="360" w:lineRule="atLeast"/>
        <w:rPr>
          <w:rFonts w:ascii="华文细黑" w:eastAsia="华文细黑" w:hAnsi="华文细黑"/>
          <w:lang w:eastAsia="zh-CN"/>
        </w:rPr>
      </w:pPr>
      <w:r w:rsidRPr="00382AAF">
        <w:rPr>
          <w:rFonts w:ascii="华文细黑" w:eastAsia="华文细黑" w:hAnsi="华文细黑" w:cs="Arial"/>
          <w:color w:val="000000"/>
          <w:sz w:val="32"/>
          <w:szCs w:val="32"/>
          <w:lang w:eastAsia="zh-CN"/>
        </w:rPr>
        <w:t>24</w:t>
      </w:r>
      <w:r w:rsidRPr="00382AAF">
        <w:rPr>
          <w:rFonts w:ascii="华文细黑" w:eastAsia="华文细黑" w:hAnsi="华文细黑" w:cs="仿宋_GB2312"/>
          <w:color w:val="000000"/>
          <w:sz w:val="32"/>
          <w:szCs w:val="32"/>
          <w:lang w:eastAsia="zh-CN"/>
        </w:rPr>
        <w:t>财务年度（截至</w:t>
      </w:r>
      <w:r w:rsidRPr="00382AAF">
        <w:rPr>
          <w:rFonts w:ascii="华文细黑" w:eastAsia="华文细黑" w:hAnsi="华文细黑" w:cs="Arial"/>
          <w:color w:val="000000"/>
          <w:sz w:val="32"/>
          <w:szCs w:val="32"/>
          <w:lang w:eastAsia="zh-CN"/>
        </w:rPr>
        <w:t xml:space="preserve"> 24</w:t>
      </w:r>
      <w:r w:rsidRPr="00382AAF">
        <w:rPr>
          <w:rFonts w:ascii="华文细黑" w:eastAsia="华文细黑" w:hAnsi="华文细黑" w:cs="仿宋_GB2312"/>
          <w:color w:val="000000"/>
          <w:sz w:val="32"/>
          <w:szCs w:val="32"/>
          <w:lang w:eastAsia="zh-CN"/>
        </w:rPr>
        <w:t>年</w:t>
      </w:r>
      <w:r w:rsidRPr="00382AAF">
        <w:rPr>
          <w:rFonts w:ascii="华文细黑" w:eastAsia="华文细黑" w:hAnsi="华文细黑" w:cs="Arial"/>
          <w:color w:val="000000"/>
          <w:sz w:val="32"/>
          <w:szCs w:val="32"/>
          <w:lang w:eastAsia="zh-CN"/>
        </w:rPr>
        <w:t xml:space="preserve"> 12 </w:t>
      </w:r>
      <w:r w:rsidRPr="00382AAF">
        <w:rPr>
          <w:rFonts w:ascii="华文细黑" w:eastAsia="华文细黑" w:hAnsi="华文细黑" w:cs="仿宋_GB2312"/>
          <w:color w:val="000000"/>
          <w:sz w:val="32"/>
          <w:szCs w:val="32"/>
          <w:lang w:eastAsia="zh-CN"/>
        </w:rPr>
        <w:t>月</w:t>
      </w:r>
      <w:r w:rsidRPr="00382AAF">
        <w:rPr>
          <w:rFonts w:ascii="华文细黑" w:eastAsia="华文细黑" w:hAnsi="华文细黑" w:cs="Arial"/>
          <w:color w:val="000000"/>
          <w:sz w:val="32"/>
          <w:szCs w:val="32"/>
          <w:lang w:eastAsia="zh-CN"/>
        </w:rPr>
        <w:t xml:space="preserve"> 31 </w:t>
      </w:r>
      <w:r w:rsidRPr="00382AAF">
        <w:rPr>
          <w:rFonts w:ascii="华文细黑" w:eastAsia="华文细黑" w:hAnsi="华文细黑" w:cs="仿宋_GB2312"/>
          <w:color w:val="000000"/>
          <w:sz w:val="32"/>
          <w:szCs w:val="32"/>
          <w:lang w:eastAsia="zh-CN"/>
        </w:rPr>
        <w:t>日）</w:t>
      </w:r>
    </w:p>
    <w:p w:rsidR="00152594" w:rsidRPr="00382AAF" w:rsidRDefault="00382AAF">
      <w:pPr>
        <w:spacing w:before="45" w:after="120" w:line="360" w:lineRule="atLeast"/>
        <w:rPr>
          <w:rFonts w:ascii="华文细黑" w:eastAsia="华文细黑" w:hAnsi="华文细黑"/>
          <w:lang w:eastAsia="zh-CN"/>
        </w:rPr>
      </w:pPr>
      <w:r w:rsidRPr="00382AAF">
        <w:rPr>
          <w:rFonts w:ascii="华文细黑" w:eastAsia="华文细黑" w:hAnsi="华文细黑" w:cs="Arial"/>
          <w:color w:val="000000"/>
          <w:sz w:val="32"/>
          <w:szCs w:val="32"/>
          <w:lang w:eastAsia="zh-CN"/>
        </w:rPr>
        <w:t> </w:t>
      </w:r>
    </w:p>
    <w:p w:rsidR="00152594" w:rsidRPr="00382AAF" w:rsidRDefault="00382AAF">
      <w:pPr>
        <w:spacing w:before="45" w:after="120" w:line="360" w:lineRule="atLeast"/>
        <w:rPr>
          <w:rFonts w:ascii="华文细黑" w:eastAsia="华文细黑" w:hAnsi="华文细黑"/>
          <w:lang w:eastAsia="zh-CN"/>
        </w:rPr>
      </w:pPr>
      <w:r w:rsidRPr="00382AAF">
        <w:rPr>
          <w:rFonts w:ascii="华文细黑" w:eastAsia="华文细黑" w:hAnsi="华文细黑" w:cs="Arial"/>
          <w:color w:val="000000"/>
          <w:sz w:val="32"/>
          <w:szCs w:val="32"/>
          <w:lang w:eastAsia="zh-CN"/>
        </w:rPr>
        <w:t> </w:t>
      </w:r>
    </w:p>
    <w:p w:rsidR="00152594" w:rsidRPr="00382AAF" w:rsidRDefault="00152594">
      <w:pPr>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152594">
      <w:pPr>
        <w:pStyle w:val="BodyText"/>
        <w:rPr>
          <w:rFonts w:ascii="华文细黑" w:eastAsia="华文细黑" w:hAnsi="华文细黑"/>
          <w:lang w:eastAsia="zh-CN"/>
        </w:rPr>
      </w:pPr>
    </w:p>
    <w:p w:rsidR="00152594" w:rsidRPr="00382AAF" w:rsidRDefault="00382AAF">
      <w:pPr>
        <w:pStyle w:val="Heading1"/>
        <w:jc w:val="center"/>
        <w:rPr>
          <w:rFonts w:ascii="华文细黑" w:eastAsia="华文细黑" w:hAnsi="华文细黑"/>
          <w:lang w:eastAsia="zh-CN"/>
        </w:rPr>
      </w:pPr>
      <w:bookmarkStart w:id="0" w:name="_Toc256002752"/>
      <w:r w:rsidRPr="00382AAF">
        <w:rPr>
          <w:rFonts w:ascii="华文细黑" w:eastAsia="华文细黑" w:hAnsi="华文细黑" w:cs="微软雅黑"/>
          <w:sz w:val="40"/>
          <w:lang w:eastAsia="zh-CN"/>
        </w:rPr>
        <w:t>声明</w:t>
      </w:r>
      <w:bookmarkEnd w:id="0"/>
    </w:p>
    <w:p w:rsidR="00152594" w:rsidRPr="00382AAF" w:rsidRDefault="00382AAF">
      <w:pPr>
        <w:spacing w:before="240" w:line="360" w:lineRule="auto"/>
        <w:ind w:left="135" w:right="90"/>
        <w:jc w:val="center"/>
        <w:rPr>
          <w:rFonts w:ascii="华文细黑" w:eastAsia="华文细黑" w:hAnsi="华文细黑"/>
          <w:lang w:eastAsia="zh-CN"/>
        </w:rPr>
      </w:pPr>
      <w:r w:rsidRPr="00382AAF">
        <w:rPr>
          <w:rFonts w:ascii="华文细黑" w:eastAsia="华文细黑" w:hAnsi="华文细黑" w:cs="仿宋_GB2312"/>
          <w:b/>
          <w:bCs/>
          <w:sz w:val="29"/>
          <w:szCs w:val="29"/>
          <w:lang w:eastAsia="zh-CN"/>
        </w:rPr>
        <w:t>斯必克（上海）流体技术有限公司声明</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仿宋_GB2312"/>
          <w:sz w:val="23"/>
          <w:szCs w:val="23"/>
          <w:lang w:eastAsia="zh-CN"/>
        </w:rPr>
        <w:t>本公司根据以下规定准备</w:t>
      </w:r>
      <w:r w:rsidRPr="00382AAF">
        <w:rPr>
          <w:rFonts w:ascii="华文细黑" w:eastAsia="华文细黑" w:hAnsi="华文细黑" w:cs="Arial"/>
          <w:sz w:val="23"/>
          <w:szCs w:val="23"/>
          <w:lang w:eastAsia="zh-CN"/>
        </w:rPr>
        <w:t>24</w:t>
      </w:r>
      <w:r w:rsidRPr="00382AAF">
        <w:rPr>
          <w:rFonts w:ascii="华文细黑" w:eastAsia="华文细黑" w:hAnsi="华文细黑" w:cs="仿宋_GB2312"/>
          <w:sz w:val="23"/>
          <w:szCs w:val="23"/>
          <w:lang w:eastAsia="zh-CN"/>
        </w:rPr>
        <w:t>年度同期资料的本地文档（以下简称</w:t>
      </w:r>
      <w:r w:rsidRPr="00382AAF">
        <w:rPr>
          <w:rFonts w:ascii="华文细黑" w:eastAsia="华文细黑" w:hAnsi="华文细黑" w:cs="Arial"/>
          <w:sz w:val="23"/>
          <w:szCs w:val="23"/>
          <w:lang w:eastAsia="zh-CN"/>
        </w:rPr>
        <w:t>“</w:t>
      </w:r>
      <w:r w:rsidRPr="00382AAF">
        <w:rPr>
          <w:rFonts w:ascii="华文细黑" w:eastAsia="华文细黑" w:hAnsi="华文细黑" w:cs="仿宋_GB2312"/>
          <w:sz w:val="23"/>
          <w:szCs w:val="23"/>
          <w:lang w:eastAsia="zh-CN"/>
        </w:rPr>
        <w:t>本报告</w:t>
      </w:r>
      <w:r w:rsidRPr="00382AAF">
        <w:rPr>
          <w:rFonts w:ascii="华文细黑" w:eastAsia="华文细黑" w:hAnsi="华文细黑" w:cs="Arial"/>
          <w:sz w:val="23"/>
          <w:szCs w:val="23"/>
          <w:lang w:eastAsia="zh-CN"/>
        </w:rPr>
        <w:t>”</w:t>
      </w:r>
      <w:r w:rsidRPr="00382AAF">
        <w:rPr>
          <w:rFonts w:ascii="华文细黑" w:eastAsia="华文细黑" w:hAnsi="华文细黑" w:cs="仿宋_GB2312"/>
          <w:sz w:val="23"/>
          <w:szCs w:val="23"/>
          <w:lang w:eastAsia="zh-CN"/>
        </w:rPr>
        <w:t>）：</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仿宋_GB2312"/>
          <w:sz w:val="23"/>
          <w:szCs w:val="23"/>
          <w:lang w:eastAsia="zh-CN"/>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仿宋_GB2312"/>
          <w:sz w:val="23"/>
          <w:szCs w:val="23"/>
          <w:lang w:eastAsia="zh-CN"/>
        </w:rPr>
        <w:t>本报告的目的在于从中国特别纳税调整税制的角度，分析本公司</w:t>
      </w:r>
      <w:r w:rsidRPr="00382AAF">
        <w:rPr>
          <w:rFonts w:ascii="华文细黑" w:eastAsia="华文细黑" w:hAnsi="华文细黑" w:cs="Arial"/>
          <w:sz w:val="23"/>
          <w:szCs w:val="23"/>
          <w:lang w:eastAsia="zh-CN"/>
        </w:rPr>
        <w:t>2023</w:t>
      </w:r>
      <w:r w:rsidRPr="00382AAF">
        <w:rPr>
          <w:rFonts w:ascii="华文细黑" w:eastAsia="华文细黑" w:hAnsi="华文细黑" w:cs="仿宋_GB2312"/>
          <w:sz w:val="23"/>
          <w:szCs w:val="23"/>
          <w:lang w:eastAsia="zh-CN"/>
        </w:rPr>
        <w:t>年度与关联方之间关联交易定价的合理性。为此，本公司按以下规定以及程序准备本报告：</w:t>
      </w:r>
    </w:p>
    <w:p w:rsidR="00152594" w:rsidRPr="00382AAF" w:rsidRDefault="00382AAF">
      <w:pPr>
        <w:spacing w:before="240" w:after="240"/>
        <w:ind w:left="135" w:right="90"/>
        <w:rPr>
          <w:rFonts w:ascii="华文细黑" w:eastAsia="华文细黑" w:hAnsi="华文细黑"/>
          <w:lang w:eastAsia="zh-CN"/>
        </w:rPr>
      </w:pPr>
      <w:r w:rsidRPr="00382AAF">
        <w:rPr>
          <w:rFonts w:ascii="华文细黑" w:eastAsia="华文细黑" w:hAnsi="华文细黑" w:cs="仿宋_GB2312"/>
          <w:sz w:val="23"/>
          <w:szCs w:val="23"/>
          <w:lang w:eastAsia="zh-CN"/>
        </w:rPr>
        <w:t>一、本公司保证根据下列政策法规及实施办法制作本报告</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1</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《中华人民共和国企业所得税法》及其实施条例</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2</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《中华人民共和国税收征收管理法》及其实施细则</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3</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《国家税务总局关于完善关联申报和同期资料管理有关事项的公告》（国家税务总局</w:t>
      </w:r>
      <w:r w:rsidRPr="00382AAF">
        <w:rPr>
          <w:rFonts w:ascii="华文细黑" w:eastAsia="华文细黑" w:hAnsi="华文细黑" w:cs="Arial"/>
          <w:sz w:val="23"/>
          <w:szCs w:val="23"/>
          <w:lang w:eastAsia="zh-CN"/>
        </w:rPr>
        <w:t>2016</w:t>
      </w:r>
      <w:r w:rsidRPr="00382AAF">
        <w:rPr>
          <w:rFonts w:ascii="华文细黑" w:eastAsia="华文细黑" w:hAnsi="华文细黑" w:cs="仿宋_GB2312"/>
          <w:sz w:val="23"/>
          <w:szCs w:val="23"/>
          <w:lang w:eastAsia="zh-CN"/>
        </w:rPr>
        <w:t>年第</w:t>
      </w:r>
      <w:r w:rsidRPr="00382AAF">
        <w:rPr>
          <w:rFonts w:ascii="华文细黑" w:eastAsia="华文细黑" w:hAnsi="华文细黑" w:cs="Arial"/>
          <w:sz w:val="23"/>
          <w:szCs w:val="23"/>
          <w:lang w:eastAsia="zh-CN"/>
        </w:rPr>
        <w:t>42</w:t>
      </w:r>
      <w:r w:rsidRPr="00382AAF">
        <w:rPr>
          <w:rFonts w:ascii="华文细黑" w:eastAsia="华文细黑" w:hAnsi="华文细黑" w:cs="仿宋_GB2312"/>
          <w:sz w:val="23"/>
          <w:szCs w:val="23"/>
          <w:lang w:eastAsia="zh-CN"/>
        </w:rPr>
        <w:t>号公告，以下简称</w:t>
      </w:r>
      <w:r w:rsidRPr="00382AAF">
        <w:rPr>
          <w:rFonts w:ascii="华文细黑" w:eastAsia="华文细黑" w:hAnsi="华文细黑" w:cs="Arial"/>
          <w:sz w:val="23"/>
          <w:szCs w:val="23"/>
          <w:lang w:eastAsia="zh-CN"/>
        </w:rPr>
        <w:t>“[2016]42</w:t>
      </w:r>
      <w:r w:rsidRPr="00382AAF">
        <w:rPr>
          <w:rFonts w:ascii="华文细黑" w:eastAsia="华文细黑" w:hAnsi="华文细黑" w:cs="仿宋_GB2312"/>
          <w:sz w:val="23"/>
          <w:szCs w:val="23"/>
          <w:lang w:eastAsia="zh-CN"/>
        </w:rPr>
        <w:t>号公告</w:t>
      </w:r>
      <w:r w:rsidRPr="00382AAF">
        <w:rPr>
          <w:rFonts w:ascii="华文细黑" w:eastAsia="华文细黑" w:hAnsi="华文细黑" w:cs="Arial"/>
          <w:sz w:val="23"/>
          <w:szCs w:val="23"/>
          <w:lang w:eastAsia="zh-CN"/>
        </w:rPr>
        <w:t>”</w:t>
      </w:r>
      <w:r w:rsidRPr="00382AAF">
        <w:rPr>
          <w:rFonts w:ascii="华文细黑" w:eastAsia="华文细黑" w:hAnsi="华文细黑" w:cs="仿宋_GB2312"/>
          <w:sz w:val="23"/>
          <w:szCs w:val="23"/>
          <w:lang w:eastAsia="zh-CN"/>
        </w:rPr>
        <w:t>）</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4</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《国家税务总局关于发布</w:t>
      </w:r>
      <w:r w:rsidRPr="00382AAF">
        <w:rPr>
          <w:rFonts w:ascii="华文细黑" w:eastAsia="华文细黑" w:hAnsi="华文细黑" w:cs="Arial"/>
          <w:sz w:val="23"/>
          <w:szCs w:val="23"/>
          <w:lang w:eastAsia="zh-CN"/>
        </w:rPr>
        <w:t>&lt;</w:t>
      </w:r>
      <w:r w:rsidRPr="00382AAF">
        <w:rPr>
          <w:rFonts w:ascii="华文细黑" w:eastAsia="华文细黑" w:hAnsi="华文细黑" w:cs="仿宋_GB2312"/>
          <w:sz w:val="23"/>
          <w:szCs w:val="23"/>
          <w:lang w:eastAsia="zh-CN"/>
        </w:rPr>
        <w:t>特别纳税调查调整及相互协商程序管理办法</w:t>
      </w:r>
      <w:r w:rsidRPr="00382AAF">
        <w:rPr>
          <w:rFonts w:ascii="华文细黑" w:eastAsia="华文细黑" w:hAnsi="华文细黑" w:cs="Arial"/>
          <w:sz w:val="23"/>
          <w:szCs w:val="23"/>
          <w:lang w:eastAsia="zh-CN"/>
        </w:rPr>
        <w:t>&gt;</w:t>
      </w:r>
      <w:r w:rsidRPr="00382AAF">
        <w:rPr>
          <w:rFonts w:ascii="华文细黑" w:eastAsia="华文细黑" w:hAnsi="华文细黑" w:cs="仿宋_GB2312"/>
          <w:sz w:val="23"/>
          <w:szCs w:val="23"/>
          <w:lang w:eastAsia="zh-CN"/>
        </w:rPr>
        <w:t>的公告》（国家税务总局</w:t>
      </w:r>
      <w:r w:rsidRPr="00382AAF">
        <w:rPr>
          <w:rFonts w:ascii="华文细黑" w:eastAsia="华文细黑" w:hAnsi="华文细黑" w:cs="Arial"/>
          <w:sz w:val="23"/>
          <w:szCs w:val="23"/>
          <w:lang w:eastAsia="zh-CN"/>
        </w:rPr>
        <w:t>2017</w:t>
      </w:r>
      <w:r w:rsidRPr="00382AAF">
        <w:rPr>
          <w:rFonts w:ascii="华文细黑" w:eastAsia="华文细黑" w:hAnsi="华文细黑" w:cs="仿宋_GB2312"/>
          <w:sz w:val="23"/>
          <w:szCs w:val="23"/>
          <w:lang w:eastAsia="zh-CN"/>
        </w:rPr>
        <w:t>年第</w:t>
      </w:r>
      <w:r w:rsidRPr="00382AAF">
        <w:rPr>
          <w:rFonts w:ascii="华文细黑" w:eastAsia="华文细黑" w:hAnsi="华文细黑" w:cs="Arial"/>
          <w:sz w:val="23"/>
          <w:szCs w:val="23"/>
          <w:lang w:eastAsia="zh-CN"/>
        </w:rPr>
        <w:t>6</w:t>
      </w:r>
      <w:r w:rsidRPr="00382AAF">
        <w:rPr>
          <w:rFonts w:ascii="华文细黑" w:eastAsia="华文细黑" w:hAnsi="华文细黑" w:cs="仿宋_GB2312"/>
          <w:sz w:val="23"/>
          <w:szCs w:val="23"/>
          <w:lang w:eastAsia="zh-CN"/>
        </w:rPr>
        <w:t>号公告，以下简称</w:t>
      </w:r>
      <w:r w:rsidRPr="00382AAF">
        <w:rPr>
          <w:rFonts w:ascii="华文细黑" w:eastAsia="华文细黑" w:hAnsi="华文细黑" w:cs="Arial"/>
          <w:sz w:val="23"/>
          <w:szCs w:val="23"/>
          <w:lang w:eastAsia="zh-CN"/>
        </w:rPr>
        <w:t>“[2017]6</w:t>
      </w:r>
      <w:r w:rsidRPr="00382AAF">
        <w:rPr>
          <w:rFonts w:ascii="华文细黑" w:eastAsia="华文细黑" w:hAnsi="华文细黑" w:cs="仿宋_GB2312"/>
          <w:sz w:val="23"/>
          <w:szCs w:val="23"/>
          <w:lang w:eastAsia="zh-CN"/>
        </w:rPr>
        <w:t>号公告</w:t>
      </w:r>
      <w:r w:rsidRPr="00382AAF">
        <w:rPr>
          <w:rFonts w:ascii="华文细黑" w:eastAsia="华文细黑" w:hAnsi="华文细黑" w:cs="Arial"/>
          <w:sz w:val="23"/>
          <w:szCs w:val="23"/>
          <w:lang w:eastAsia="zh-CN"/>
        </w:rPr>
        <w:t>”</w:t>
      </w:r>
      <w:r w:rsidRPr="00382AAF">
        <w:rPr>
          <w:rFonts w:ascii="华文细黑" w:eastAsia="华文细黑" w:hAnsi="华文细黑" w:cs="仿宋_GB2312"/>
          <w:sz w:val="23"/>
          <w:szCs w:val="23"/>
          <w:lang w:eastAsia="zh-CN"/>
        </w:rPr>
        <w:t>）</w:t>
      </w:r>
    </w:p>
    <w:p w:rsidR="00152594" w:rsidRPr="00382AAF" w:rsidRDefault="00382AAF">
      <w:pPr>
        <w:spacing w:before="240" w:after="240"/>
        <w:ind w:left="135" w:right="90"/>
        <w:rPr>
          <w:rFonts w:ascii="华文细黑" w:eastAsia="华文细黑" w:hAnsi="华文细黑"/>
          <w:lang w:eastAsia="zh-CN"/>
        </w:rPr>
      </w:pPr>
      <w:r w:rsidRPr="00382AAF">
        <w:rPr>
          <w:rFonts w:ascii="华文细黑" w:eastAsia="华文细黑" w:hAnsi="华文细黑" w:cs="仿宋_GB2312"/>
          <w:sz w:val="23"/>
          <w:szCs w:val="23"/>
          <w:lang w:eastAsia="zh-CN"/>
        </w:rPr>
        <w:t>二、本公司保证实施以下程序，并保证提供任何与同期资料有关的数据及资料</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1</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整理本公司基本资料信息，包括公司及所属集团的组织结构、企业生产经营情况、以及企业所处的行业分析等；</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2</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整理本公司关联交易的资料，包括关联交易情况、关联交易业务流程、与关联公司签订的合同、关联交易的定价情况及其他相关信息；</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3</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分析本公司和关联公司在关联业务往来中各自承担的功能和风险；</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4</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比较分析并选择适当的关联交易转让定价方法，用以分析和验证本公司与关联公司交易定价的合理性；</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lastRenderedPageBreak/>
        <w:t>5</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选取可比企业，说明可比信息来源、可比企业选择过程，实施经济分析；</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6</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运用合理的转让定价方法和可比性分析结果，确定可比非关联交易利润，确定正常情况下本公司与关联公司关联交易定价的合理范围；</w:t>
      </w:r>
    </w:p>
    <w:p w:rsidR="00152594" w:rsidRPr="00382AAF" w:rsidRDefault="00382AAF">
      <w:pPr>
        <w:spacing w:before="240" w:after="240"/>
        <w:ind w:left="135" w:right="90" w:firstLine="435"/>
        <w:rPr>
          <w:rFonts w:ascii="华文细黑" w:eastAsia="华文细黑" w:hAnsi="华文细黑"/>
          <w:lang w:eastAsia="zh-CN"/>
        </w:rPr>
      </w:pPr>
      <w:r w:rsidRPr="00382AAF">
        <w:rPr>
          <w:rFonts w:ascii="华文细黑" w:eastAsia="华文细黑" w:hAnsi="华文细黑" w:cs="Arial"/>
          <w:sz w:val="23"/>
          <w:szCs w:val="23"/>
          <w:lang w:eastAsia="zh-CN"/>
        </w:rPr>
        <w:t>7</w:t>
      </w:r>
      <w:r w:rsidRPr="00382AAF">
        <w:rPr>
          <w:rFonts w:ascii="华文细黑" w:eastAsia="华文细黑" w:hAnsi="华文细黑" w:cs="仿宋_GB2312"/>
          <w:sz w:val="23"/>
          <w:szCs w:val="23"/>
          <w:lang w:eastAsia="zh-CN"/>
        </w:rPr>
        <w:t>、</w:t>
      </w:r>
      <w:r w:rsidRPr="00382AAF">
        <w:rPr>
          <w:rFonts w:ascii="华文细黑" w:eastAsia="华文细黑" w:hAnsi="华文细黑"/>
          <w:lang w:eastAsia="zh-CN"/>
        </w:rPr>
        <w:t xml:space="preserve"> </w:t>
      </w:r>
      <w:r w:rsidRPr="00382AAF">
        <w:rPr>
          <w:rFonts w:ascii="华文细黑" w:eastAsia="华文细黑" w:hAnsi="华文细黑" w:cs="仿宋_GB2312"/>
          <w:sz w:val="23"/>
          <w:szCs w:val="23"/>
          <w:lang w:eastAsia="zh-CN"/>
        </w:rPr>
        <w:t>根据以上实施程序，制作本报告。</w:t>
      </w:r>
    </w:p>
    <w:p w:rsidR="00152594" w:rsidRPr="00382AAF" w:rsidRDefault="00152594">
      <w:pPr>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152594">
      <w:pPr>
        <w:pStyle w:val="BodyText"/>
        <w:rPr>
          <w:rFonts w:ascii="华文细黑" w:eastAsia="华文细黑" w:hAnsi="华文细黑"/>
          <w:lang w:eastAsia="zh-CN"/>
        </w:rPr>
      </w:pPr>
    </w:p>
    <w:p w:rsidR="00152594" w:rsidRPr="00382AAF" w:rsidRDefault="00382AAF">
      <w:pPr>
        <w:pStyle w:val="Heading1"/>
        <w:jc w:val="center"/>
        <w:rPr>
          <w:rFonts w:ascii="华文细黑" w:eastAsia="华文细黑" w:hAnsi="华文细黑"/>
        </w:rPr>
      </w:pPr>
      <w:bookmarkStart w:id="1" w:name="_Toc256002753"/>
      <w:r w:rsidRPr="00382AAF">
        <w:rPr>
          <w:rFonts w:ascii="华文细黑" w:eastAsia="华文细黑" w:hAnsi="华文细黑" w:cs="微软雅黑"/>
          <w:sz w:val="40"/>
        </w:rPr>
        <w:t>目录</w:t>
      </w:r>
      <w:bookmarkEnd w:id="1"/>
    </w:p>
    <w:p w:rsidR="00152594" w:rsidRPr="00382AAF" w:rsidRDefault="00382AAF">
      <w:pPr>
        <w:pStyle w:val="TOC1"/>
        <w:tabs>
          <w:tab w:val="right" w:leader="dot" w:pos="9350"/>
        </w:tabs>
        <w:rPr>
          <w:rFonts w:ascii="华文细黑" w:eastAsia="华文细黑" w:hAnsi="华文细黑"/>
          <w:noProof/>
          <w:sz w:val="22"/>
        </w:rPr>
      </w:pPr>
      <w:r w:rsidRPr="00382AAF">
        <w:rPr>
          <w:rFonts w:ascii="华文细黑" w:eastAsia="华文细黑" w:hAnsi="华文细黑"/>
        </w:rPr>
        <w:fldChar w:fldCharType="begin"/>
      </w:r>
      <w:r w:rsidRPr="00382AAF">
        <w:rPr>
          <w:rFonts w:ascii="华文细黑" w:eastAsia="华文细黑" w:hAnsi="华文细黑"/>
        </w:rPr>
        <w:instrText>TOC \o "1-3" \h \z \u</w:instrText>
      </w:r>
      <w:r w:rsidRPr="00382AAF">
        <w:rPr>
          <w:rFonts w:ascii="华文细黑" w:eastAsia="华文细黑" w:hAnsi="华文细黑"/>
        </w:rPr>
        <w:fldChar w:fldCharType="separate"/>
      </w:r>
      <w:hyperlink w:anchor="_Toc256002752" w:history="1">
        <w:r w:rsidRPr="00382AAF">
          <w:rPr>
            <w:rStyle w:val="Hyperlink"/>
            <w:rFonts w:ascii="华文细黑" w:eastAsia="华文细黑" w:hAnsi="华文细黑" w:cs="微软雅黑"/>
          </w:rPr>
          <w:t>声明</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_Toc256002752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w:t>
        </w:r>
        <w:r w:rsidRPr="00382AAF">
          <w:rPr>
            <w:rFonts w:ascii="华文细黑" w:eastAsia="华文细黑" w:hAnsi="华文细黑"/>
          </w:rPr>
          <w:fldChar w:fldCharType="end"/>
        </w:r>
      </w:hyperlink>
    </w:p>
    <w:p w:rsidR="00152594" w:rsidRPr="00382AAF" w:rsidRDefault="00382AAF">
      <w:pPr>
        <w:pStyle w:val="TOC1"/>
        <w:tabs>
          <w:tab w:val="right" w:leader="dot" w:pos="9350"/>
        </w:tabs>
        <w:rPr>
          <w:rFonts w:ascii="华文细黑" w:eastAsia="华文细黑" w:hAnsi="华文细黑"/>
          <w:noProof/>
          <w:sz w:val="22"/>
        </w:rPr>
      </w:pPr>
      <w:hyperlink w:anchor="_Toc256002753" w:history="1">
        <w:r w:rsidRPr="00382AAF">
          <w:rPr>
            <w:rStyle w:val="Hyperlink"/>
            <w:rFonts w:ascii="华文细黑" w:eastAsia="华文细黑" w:hAnsi="华文细黑" w:cs="微软雅黑"/>
          </w:rPr>
          <w:t>目录</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_Toc256002753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4</w:t>
        </w:r>
        <w:r w:rsidRPr="00382AAF">
          <w:rPr>
            <w:rFonts w:ascii="华文细黑" w:eastAsia="华文细黑" w:hAnsi="华文细黑"/>
          </w:rPr>
          <w:fldChar w:fldCharType="end"/>
        </w:r>
      </w:hyperlink>
    </w:p>
    <w:p w:rsidR="00152594" w:rsidRPr="00382AAF" w:rsidRDefault="00382AAF">
      <w:pPr>
        <w:pStyle w:val="TOC1"/>
        <w:tabs>
          <w:tab w:val="right" w:leader="dot" w:pos="9350"/>
        </w:tabs>
        <w:rPr>
          <w:rFonts w:ascii="华文细黑" w:eastAsia="华文细黑" w:hAnsi="华文细黑"/>
          <w:noProof/>
          <w:sz w:val="22"/>
        </w:rPr>
      </w:pPr>
      <w:hyperlink w:anchor="_Toc256002754" w:history="1">
        <w:r w:rsidRPr="00382AAF">
          <w:rPr>
            <w:rStyle w:val="Hyperlink"/>
            <w:rFonts w:ascii="华文细黑" w:eastAsia="华文细黑" w:hAnsi="华文细黑" w:cs="微软雅黑"/>
          </w:rPr>
          <w:t>服务范围与责任声明</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_Toc256002754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6</w:t>
        </w:r>
        <w:r w:rsidRPr="00382AAF">
          <w:rPr>
            <w:rFonts w:ascii="华文细黑" w:eastAsia="华文细黑" w:hAnsi="华文细黑"/>
          </w:rPr>
          <w:fldChar w:fldCharType="end"/>
        </w:r>
      </w:hyperlink>
    </w:p>
    <w:p w:rsidR="00152594" w:rsidRPr="00382AAF" w:rsidRDefault="00382AAF">
      <w:pPr>
        <w:pStyle w:val="TOC1"/>
        <w:tabs>
          <w:tab w:val="right" w:leader="dot" w:pos="9350"/>
        </w:tabs>
        <w:rPr>
          <w:rFonts w:ascii="华文细黑" w:eastAsia="华文细黑" w:hAnsi="华文细黑"/>
          <w:noProof/>
          <w:sz w:val="22"/>
        </w:rPr>
      </w:pPr>
      <w:hyperlink w:anchor="_Toc256002755" w:history="1">
        <w:r w:rsidRPr="00382AAF">
          <w:rPr>
            <w:rStyle w:val="Hyperlink"/>
            <w:rFonts w:ascii="华文细黑" w:eastAsia="华文细黑" w:hAnsi="华文细黑" w:cs="微软雅黑"/>
          </w:rPr>
          <w:t>简称或术语</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_Toc256002755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8</w:t>
        </w:r>
        <w:r w:rsidRPr="00382AAF">
          <w:rPr>
            <w:rFonts w:ascii="华文细黑" w:eastAsia="华文细黑" w:hAnsi="华文细黑"/>
          </w:rPr>
          <w:fldChar w:fldCharType="end"/>
        </w:r>
      </w:hyperlink>
    </w:p>
    <w:p w:rsidR="00152594" w:rsidRPr="00382AAF" w:rsidRDefault="00382AAF">
      <w:pPr>
        <w:pStyle w:val="TOC1"/>
        <w:tabs>
          <w:tab w:val="left" w:pos="480"/>
          <w:tab w:val="right" w:leader="dot" w:pos="9350"/>
        </w:tabs>
        <w:rPr>
          <w:rFonts w:ascii="华文细黑" w:eastAsia="华文细黑" w:hAnsi="华文细黑"/>
          <w:noProof/>
          <w:sz w:val="22"/>
        </w:rPr>
      </w:pPr>
      <w:hyperlink w:anchor="_Toc256002756" w:history="1">
        <w:r w:rsidRPr="00382AAF">
          <w:rPr>
            <w:rStyle w:val="Hyperlink"/>
            <w:rFonts w:ascii="华文细黑" w:eastAsia="华文细黑" w:hAnsi="华文细黑"/>
          </w:rPr>
          <w:t>1.</w:t>
        </w:r>
        <w:r w:rsidRPr="00382AAF">
          <w:rPr>
            <w:rFonts w:ascii="华文细黑" w:eastAsia="华文细黑" w:hAnsi="华文细黑"/>
            <w:noProof/>
            <w:sz w:val="22"/>
          </w:rPr>
          <w:tab/>
        </w:r>
        <w:r w:rsidRPr="00382AAF">
          <w:rPr>
            <w:rStyle w:val="Hyperlink"/>
            <w:rFonts w:ascii="华文细黑" w:eastAsia="华文细黑" w:hAnsi="华文细黑"/>
          </w:rPr>
          <w:t>报告摘要</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_Toc256002756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10</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57" w:history="1">
        <w:r w:rsidRPr="00382AAF">
          <w:rPr>
            <w:rStyle w:val="Hyperlink"/>
            <w:rFonts w:ascii="华文细黑" w:eastAsia="华文细黑" w:hAnsi="华文细黑"/>
          </w:rPr>
          <w:t>1.1.</w:t>
        </w:r>
        <w:r w:rsidRPr="00382AAF">
          <w:rPr>
            <w:rFonts w:ascii="华文细黑" w:eastAsia="华文细黑" w:hAnsi="华文细黑"/>
            <w:noProof/>
            <w:sz w:val="22"/>
          </w:rPr>
          <w:tab/>
        </w:r>
        <w:r w:rsidRPr="00382AAF">
          <w:rPr>
            <w:rStyle w:val="Hyperlink"/>
            <w:rFonts w:ascii="华文细黑" w:eastAsia="华文细黑" w:hAnsi="华文细黑"/>
          </w:rPr>
          <w:t>范围和目的</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_Toc256002757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10</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58" w:history="1">
        <w:r w:rsidRPr="00382AAF">
          <w:rPr>
            <w:rStyle w:val="Hyperlink"/>
            <w:rFonts w:ascii="华文细黑" w:eastAsia="华文细黑" w:hAnsi="华文细黑"/>
          </w:rPr>
          <w:t>1.2.</w:t>
        </w:r>
        <w:r w:rsidRPr="00382AAF">
          <w:rPr>
            <w:rFonts w:ascii="华文细黑" w:eastAsia="华文细黑" w:hAnsi="华文细黑"/>
            <w:noProof/>
            <w:sz w:val="22"/>
          </w:rPr>
          <w:tab/>
        </w:r>
        <w:r w:rsidRPr="00382AAF">
          <w:rPr>
            <w:rStyle w:val="Hyperlink"/>
            <w:rFonts w:ascii="华文细黑" w:eastAsia="华文细黑" w:hAnsi="华文细黑"/>
          </w:rPr>
          <w:t>受测关联交易</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_Toc256002758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10</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59" w:history="1">
        <w:r w:rsidRPr="00382AAF">
          <w:rPr>
            <w:rStyle w:val="Hyperlink"/>
            <w:rFonts w:ascii="华文细黑" w:eastAsia="华文细黑" w:hAnsi="华文细黑"/>
          </w:rPr>
          <w:t>1.3.</w:t>
        </w:r>
        <w:r w:rsidRPr="00382AAF">
          <w:rPr>
            <w:rFonts w:ascii="华文细黑" w:eastAsia="华文细黑" w:hAnsi="华文细黑"/>
            <w:noProof/>
            <w:sz w:val="22"/>
          </w:rPr>
          <w:tab/>
        </w:r>
        <w:r w:rsidRPr="00382AAF">
          <w:rPr>
            <w:rStyle w:val="Hyperlink"/>
            <w:rFonts w:ascii="华文细黑" w:eastAsia="华文细黑" w:hAnsi="华文细黑"/>
          </w:rPr>
          <w:t>功能和风险分析及价值链分析总结</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_Toc256002759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10</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60" w:history="1">
        <w:r w:rsidRPr="00382AAF">
          <w:rPr>
            <w:rStyle w:val="Hyperlink"/>
            <w:rFonts w:ascii="华文细黑" w:eastAsia="华文细黑" w:hAnsi="华文细黑"/>
          </w:rPr>
          <w:t>1.4.</w:t>
        </w:r>
        <w:r w:rsidRPr="00382AAF">
          <w:rPr>
            <w:rFonts w:ascii="华文细黑" w:eastAsia="华文细黑" w:hAnsi="华文细黑"/>
            <w:noProof/>
            <w:sz w:val="22"/>
          </w:rPr>
          <w:tab/>
        </w:r>
        <w:r w:rsidRPr="00382AAF">
          <w:rPr>
            <w:rStyle w:val="Hyperlink"/>
            <w:rFonts w:ascii="华文细黑" w:eastAsia="华文细黑" w:hAnsi="华文细黑"/>
          </w:rPr>
          <w:t>经济分析总结 —— 对受测关联交易的分析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_Toc256002760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10</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61" w:history="1">
        <w:r w:rsidRPr="00382AAF">
          <w:rPr>
            <w:rStyle w:val="Hyperlink"/>
            <w:rFonts w:ascii="华文细黑" w:eastAsia="华文细黑" w:hAnsi="华文细黑"/>
          </w:rPr>
          <w:t>1.5.</w:t>
        </w:r>
        <w:r w:rsidRPr="00382AAF">
          <w:rPr>
            <w:rFonts w:ascii="华文细黑" w:eastAsia="华文细黑" w:hAnsi="华文细黑"/>
            <w:noProof/>
            <w:sz w:val="22"/>
          </w:rPr>
          <w:tab/>
        </w:r>
        <w:r w:rsidRPr="00382AAF">
          <w:rPr>
            <w:rStyle w:val="Hyperlink"/>
            <w:rFonts w:ascii="华文细黑" w:eastAsia="华文细黑" w:hAnsi="华文细黑"/>
          </w:rPr>
          <w:t>局限性</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_Toc256002761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11</w:t>
        </w:r>
        <w:r w:rsidRPr="00382AAF">
          <w:rPr>
            <w:rFonts w:ascii="华文细黑" w:eastAsia="华文细黑" w:hAnsi="华文细黑"/>
          </w:rPr>
          <w:fldChar w:fldCharType="end"/>
        </w:r>
      </w:hyperlink>
    </w:p>
    <w:p w:rsidR="00152594" w:rsidRPr="00382AAF" w:rsidRDefault="00382AAF">
      <w:pPr>
        <w:pStyle w:val="TOC1"/>
        <w:tabs>
          <w:tab w:val="left" w:pos="480"/>
          <w:tab w:val="right" w:leader="dot" w:pos="9350"/>
        </w:tabs>
        <w:rPr>
          <w:rFonts w:ascii="华文细黑" w:eastAsia="华文细黑" w:hAnsi="华文细黑"/>
          <w:noProof/>
          <w:sz w:val="22"/>
        </w:rPr>
      </w:pPr>
      <w:hyperlink w:anchor="_Toc256002762" w:history="1">
        <w:r w:rsidRPr="00382AAF">
          <w:rPr>
            <w:rStyle w:val="Hyperlink"/>
            <w:rFonts w:ascii="华文细黑" w:eastAsia="华文细黑" w:hAnsi="华文细黑"/>
          </w:rPr>
          <w:t>2.</w:t>
        </w:r>
        <w:r w:rsidRPr="00382AAF">
          <w:rPr>
            <w:rFonts w:ascii="华文细黑" w:eastAsia="华文细黑" w:hAnsi="华文细黑"/>
            <w:noProof/>
            <w:sz w:val="22"/>
          </w:rPr>
          <w:tab/>
        </w:r>
        <w:r w:rsidRPr="00382AAF">
          <w:rPr>
            <w:rStyle w:val="Hyperlink"/>
            <w:rFonts w:ascii="华文细黑" w:eastAsia="华文细黑" w:hAnsi="华文细黑"/>
          </w:rPr>
          <w:t>企业概况</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_Toc256002762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13</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63" w:history="1">
        <w:r w:rsidRPr="00382AAF">
          <w:rPr>
            <w:rStyle w:val="Hyperlink"/>
            <w:rFonts w:ascii="华文细黑" w:eastAsia="华文细黑" w:hAnsi="华文细黑"/>
          </w:rPr>
          <w:t>2.1.</w:t>
        </w:r>
        <w:r w:rsidRPr="00382AAF">
          <w:rPr>
            <w:rFonts w:ascii="华文细黑" w:eastAsia="华文细黑" w:hAnsi="华文细黑"/>
            <w:noProof/>
            <w:sz w:val="22"/>
          </w:rPr>
          <w:tab/>
        </w:r>
        <w:r w:rsidRPr="00382AAF">
          <w:rPr>
            <w:rStyle w:val="Hyperlink"/>
            <w:rFonts w:ascii="华文细黑" w:eastAsia="华文细黑" w:hAnsi="华文细黑"/>
          </w:rPr>
          <w:t>集团概况</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_Toc256002763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13</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64" w:history="1">
        <w:r w:rsidRPr="00382AAF">
          <w:rPr>
            <w:rStyle w:val="Hyperlink"/>
            <w:rFonts w:ascii="华文细黑" w:eastAsia="华文细黑" w:hAnsi="华文细黑"/>
          </w:rPr>
          <w:t>2.2.</w:t>
        </w:r>
        <w:r w:rsidRPr="00382AAF">
          <w:rPr>
            <w:rFonts w:ascii="华文细黑" w:eastAsia="华文细黑" w:hAnsi="华文细黑"/>
            <w:noProof/>
            <w:sz w:val="22"/>
          </w:rPr>
          <w:tab/>
        </w:r>
        <w:r w:rsidRPr="00382AAF">
          <w:rPr>
            <w:rStyle w:val="Hyperlink"/>
            <w:rFonts w:ascii="华文细黑" w:eastAsia="华文细黑" w:hAnsi="华文细黑"/>
          </w:rPr>
          <w:t>公司概况</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_Toc256002764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13</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65" w:history="1">
        <w:r w:rsidRPr="00382AAF">
          <w:rPr>
            <w:rStyle w:val="Hyperlink"/>
            <w:rFonts w:ascii="华文细黑" w:eastAsia="华文细黑" w:hAnsi="华文细黑"/>
          </w:rPr>
          <w:t>2.3.</w:t>
        </w:r>
        <w:r w:rsidRPr="00382AAF">
          <w:rPr>
            <w:rFonts w:ascii="华文细黑" w:eastAsia="华文细黑" w:hAnsi="华文细黑"/>
            <w:noProof/>
            <w:sz w:val="22"/>
          </w:rPr>
          <w:tab/>
        </w:r>
        <w:r w:rsidRPr="00382AAF">
          <w:rPr>
            <w:rStyle w:val="Hyperlink"/>
            <w:rFonts w:ascii="华文细黑" w:eastAsia="华文细黑" w:hAnsi="华文细黑"/>
          </w:rPr>
          <w:t>主营业务及财务状况</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_Toc256002765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13</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66" w:history="1">
        <w:r w:rsidRPr="00382AAF">
          <w:rPr>
            <w:rStyle w:val="Hyperlink"/>
            <w:rFonts w:ascii="华文细黑" w:eastAsia="华文细黑" w:hAnsi="华文细黑"/>
          </w:rPr>
          <w:t>2.4.</w:t>
        </w:r>
        <w:r w:rsidRPr="00382AAF">
          <w:rPr>
            <w:rFonts w:ascii="华文细黑" w:eastAsia="华文细黑" w:hAnsi="华文细黑"/>
            <w:noProof/>
            <w:sz w:val="22"/>
          </w:rPr>
          <w:tab/>
        </w:r>
        <w:r w:rsidRPr="00382AAF">
          <w:rPr>
            <w:rStyle w:val="Hyperlink"/>
            <w:rFonts w:ascii="华文细黑" w:eastAsia="华文细黑" w:hAnsi="华文细黑"/>
          </w:rPr>
          <w:t>本年度重大变化事项</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_Toc256002766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14</w:t>
        </w:r>
        <w:r w:rsidRPr="00382AAF">
          <w:rPr>
            <w:rFonts w:ascii="华文细黑" w:eastAsia="华文细黑" w:hAnsi="华文细黑"/>
          </w:rPr>
          <w:fldChar w:fldCharType="end"/>
        </w:r>
      </w:hyperlink>
    </w:p>
    <w:p w:rsidR="00152594" w:rsidRPr="00382AAF" w:rsidRDefault="00382AAF">
      <w:pPr>
        <w:pStyle w:val="TOC1"/>
        <w:tabs>
          <w:tab w:val="left" w:pos="480"/>
          <w:tab w:val="right" w:leader="dot" w:pos="9350"/>
        </w:tabs>
        <w:rPr>
          <w:rFonts w:ascii="华文细黑" w:eastAsia="华文细黑" w:hAnsi="华文细黑"/>
          <w:noProof/>
          <w:sz w:val="22"/>
        </w:rPr>
      </w:pPr>
      <w:hyperlink w:anchor="_Toc256002767" w:history="1">
        <w:r w:rsidRPr="00382AAF">
          <w:rPr>
            <w:rStyle w:val="Hyperlink"/>
            <w:rFonts w:ascii="华文细黑" w:eastAsia="华文细黑" w:hAnsi="华文细黑"/>
          </w:rPr>
          <w:t>3.</w:t>
        </w:r>
        <w:r w:rsidRPr="00382AAF">
          <w:rPr>
            <w:rFonts w:ascii="华文细黑" w:eastAsia="华文细黑" w:hAnsi="华文细黑"/>
            <w:noProof/>
            <w:sz w:val="22"/>
          </w:rPr>
          <w:tab/>
        </w:r>
        <w:r w:rsidRPr="00382AAF">
          <w:rPr>
            <w:rStyle w:val="Hyperlink"/>
            <w:rFonts w:ascii="华文细黑" w:eastAsia="华文细黑" w:hAnsi="华文细黑"/>
          </w:rPr>
          <w:t>行业分析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_Toc256002767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15</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68" w:history="1">
        <w:r w:rsidRPr="00382AAF">
          <w:rPr>
            <w:rStyle w:val="Hyperlink"/>
            <w:rFonts w:ascii="华文细黑" w:eastAsia="华文细黑" w:hAnsi="华文细黑"/>
          </w:rPr>
          <w:t>3.1.</w:t>
        </w:r>
        <w:r w:rsidRPr="00382AAF">
          <w:rPr>
            <w:rFonts w:ascii="华文细黑" w:eastAsia="华文细黑" w:hAnsi="华文细黑"/>
            <w:noProof/>
            <w:sz w:val="22"/>
          </w:rPr>
          <w:tab/>
        </w:r>
        <w:r w:rsidRPr="00382AAF">
          <w:rPr>
            <w:rStyle w:val="Hyperlink"/>
            <w:rFonts w:ascii="华文细黑" w:eastAsia="华文细黑" w:hAnsi="华文细黑"/>
          </w:rPr>
          <w:t>行业发展趋势</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_Toc256002768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15</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69" w:history="1">
        <w:r w:rsidRPr="00382AAF">
          <w:rPr>
            <w:rStyle w:val="Hyperlink"/>
            <w:rFonts w:ascii="华文细黑" w:eastAsia="华文细黑" w:hAnsi="华文细黑"/>
          </w:rPr>
          <w:t>3.2.</w:t>
        </w:r>
        <w:r w:rsidRPr="00382AAF">
          <w:rPr>
            <w:rFonts w:ascii="华文细黑" w:eastAsia="华文细黑" w:hAnsi="华文细黑"/>
            <w:noProof/>
            <w:sz w:val="22"/>
          </w:rPr>
          <w:tab/>
        </w:r>
        <w:r w:rsidRPr="00382AAF">
          <w:rPr>
            <w:rStyle w:val="Hyperlink"/>
            <w:rFonts w:ascii="华文细黑" w:eastAsia="华文细黑" w:hAnsi="华文细黑"/>
          </w:rPr>
          <w:t>结论</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_Toc256002769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15</w:t>
        </w:r>
        <w:r w:rsidRPr="00382AAF">
          <w:rPr>
            <w:rFonts w:ascii="华文细黑" w:eastAsia="华文细黑" w:hAnsi="华文细黑"/>
          </w:rPr>
          <w:fldChar w:fldCharType="end"/>
        </w:r>
      </w:hyperlink>
    </w:p>
    <w:p w:rsidR="00152594" w:rsidRPr="00382AAF" w:rsidRDefault="00382AAF">
      <w:pPr>
        <w:pStyle w:val="TOC1"/>
        <w:tabs>
          <w:tab w:val="left" w:pos="480"/>
          <w:tab w:val="right" w:leader="dot" w:pos="9350"/>
        </w:tabs>
        <w:rPr>
          <w:rFonts w:ascii="华文细黑" w:eastAsia="华文细黑" w:hAnsi="华文细黑"/>
          <w:noProof/>
          <w:sz w:val="22"/>
        </w:rPr>
      </w:pPr>
      <w:hyperlink w:anchor="_Toc256002770" w:history="1">
        <w:r w:rsidRPr="00382AAF">
          <w:rPr>
            <w:rStyle w:val="Hyperlink"/>
            <w:rFonts w:ascii="华文细黑" w:eastAsia="华文细黑" w:hAnsi="华文细黑"/>
          </w:rPr>
          <w:t>4.</w:t>
        </w:r>
        <w:r w:rsidRPr="00382AAF">
          <w:rPr>
            <w:rFonts w:ascii="华文细黑" w:eastAsia="华文细黑" w:hAnsi="华文细黑"/>
            <w:noProof/>
            <w:sz w:val="22"/>
          </w:rPr>
          <w:tab/>
        </w:r>
        <w:r w:rsidRPr="00382AAF">
          <w:rPr>
            <w:rStyle w:val="Hyperlink"/>
            <w:rFonts w:ascii="华文细黑" w:eastAsia="华文细黑" w:hAnsi="华文细黑"/>
          </w:rPr>
          <w:t>关联交易</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_Toc256002770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17</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71" w:history="1">
        <w:r w:rsidRPr="00382AAF">
          <w:rPr>
            <w:rStyle w:val="Hyperlink"/>
            <w:rFonts w:ascii="华文细黑" w:eastAsia="华文细黑" w:hAnsi="华文细黑"/>
          </w:rPr>
          <w:t>4.1.</w:t>
        </w:r>
        <w:r w:rsidRPr="00382AAF">
          <w:rPr>
            <w:rFonts w:ascii="华文细黑" w:eastAsia="华文细黑" w:hAnsi="华文细黑"/>
            <w:noProof/>
            <w:sz w:val="22"/>
          </w:rPr>
          <w:tab/>
        </w:r>
        <w:r w:rsidRPr="00382AAF">
          <w:rPr>
            <w:rStyle w:val="Hyperlink"/>
            <w:rFonts w:ascii="华文细黑" w:eastAsia="华文细黑" w:hAnsi="华文细黑"/>
          </w:rPr>
          <w:t>关联方信息</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_Toc256002771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17</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72" w:history="1">
        <w:r w:rsidRPr="00382AAF">
          <w:rPr>
            <w:rStyle w:val="Hyperlink"/>
            <w:rFonts w:ascii="华文细黑" w:eastAsia="华文细黑" w:hAnsi="华文细黑"/>
          </w:rPr>
          <w:t>4.2.</w:t>
        </w:r>
        <w:r w:rsidRPr="00382AAF">
          <w:rPr>
            <w:rFonts w:ascii="华文细黑" w:eastAsia="华文细黑" w:hAnsi="华文细黑"/>
            <w:noProof/>
            <w:sz w:val="22"/>
          </w:rPr>
          <w:tab/>
        </w:r>
        <w:r w:rsidRPr="00382AAF">
          <w:rPr>
            <w:rStyle w:val="Hyperlink"/>
            <w:rFonts w:ascii="华文细黑" w:eastAsia="华文细黑" w:hAnsi="华文细黑"/>
          </w:rPr>
          <w:t>主要关联交易</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_Toc256002772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17</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73" w:history="1">
        <w:r w:rsidRPr="00382AAF">
          <w:rPr>
            <w:rStyle w:val="Hyperlink"/>
            <w:rFonts w:ascii="华文细黑" w:eastAsia="华文细黑" w:hAnsi="华文细黑"/>
          </w:rPr>
          <w:t>4.3.</w:t>
        </w:r>
        <w:r w:rsidRPr="00382AAF">
          <w:rPr>
            <w:rFonts w:ascii="华文细黑" w:eastAsia="华文细黑" w:hAnsi="华文细黑"/>
            <w:noProof/>
            <w:sz w:val="22"/>
          </w:rPr>
          <w:tab/>
        </w:r>
        <w:r w:rsidRPr="00382AAF">
          <w:rPr>
            <w:rStyle w:val="Hyperlink"/>
            <w:rFonts w:ascii="华文细黑" w:eastAsia="华文细黑" w:hAnsi="华文细黑"/>
          </w:rPr>
          <w:t>关联购销</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_Toc256002773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17</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774" w:history="1">
        <w:r w:rsidRPr="00382AAF">
          <w:rPr>
            <w:rStyle w:val="Hyperlink"/>
            <w:rFonts w:ascii="华文细黑" w:eastAsia="华文细黑" w:hAnsi="华文细黑"/>
          </w:rPr>
          <w:t>4.3.1.</w:t>
        </w:r>
        <w:r w:rsidRPr="00382AAF">
          <w:rPr>
            <w:rFonts w:ascii="华文细黑" w:eastAsia="华文细黑" w:hAnsi="华文细黑"/>
            <w:noProof/>
            <w:sz w:val="22"/>
          </w:rPr>
          <w:tab/>
        </w:r>
        <w:r w:rsidRPr="00382AAF">
          <w:rPr>
            <w:rStyle w:val="Hyperlink"/>
            <w:rFonts w:ascii="华文细黑" w:eastAsia="华文细黑" w:hAnsi="华文细黑"/>
          </w:rPr>
          <w:t>交易流程</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_Toc256002774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17</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775" w:history="1">
        <w:r w:rsidRPr="00382AAF">
          <w:rPr>
            <w:rStyle w:val="Hyperlink"/>
            <w:rFonts w:ascii="华文细黑" w:eastAsia="华文细黑" w:hAnsi="华文细黑"/>
          </w:rPr>
          <w:t>4.3.2.</w:t>
        </w:r>
        <w:r w:rsidRPr="00382AAF">
          <w:rPr>
            <w:rFonts w:ascii="华文细黑" w:eastAsia="华文细黑" w:hAnsi="华文细黑"/>
            <w:noProof/>
            <w:sz w:val="22"/>
          </w:rPr>
          <w:tab/>
        </w:r>
        <w:r w:rsidRPr="00382AAF">
          <w:rPr>
            <w:rStyle w:val="Hyperlink"/>
            <w:rFonts w:ascii="华文细黑" w:eastAsia="华文细黑" w:hAnsi="华文细黑"/>
          </w:rPr>
          <w:t>交易定价政策</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_Toc256002775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19</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76" w:history="1">
        <w:r w:rsidRPr="00382AAF">
          <w:rPr>
            <w:rStyle w:val="Hyperlink"/>
            <w:rFonts w:ascii="华文细黑" w:eastAsia="华文细黑" w:hAnsi="华文细黑"/>
          </w:rPr>
          <w:t>4.4.</w:t>
        </w:r>
        <w:r w:rsidRPr="00382AAF">
          <w:rPr>
            <w:rFonts w:ascii="华文细黑" w:eastAsia="华文细黑" w:hAnsi="华文细黑"/>
            <w:noProof/>
            <w:sz w:val="22"/>
          </w:rPr>
          <w:tab/>
        </w:r>
        <w:r w:rsidRPr="00382AAF">
          <w:rPr>
            <w:rStyle w:val="Hyperlink"/>
            <w:rFonts w:ascii="华文细黑" w:eastAsia="华文细黑" w:hAnsi="华文细黑"/>
          </w:rPr>
          <w:t>关联劳务</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_Toc256002776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19</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77" w:history="1">
        <w:r w:rsidRPr="00382AAF">
          <w:rPr>
            <w:rStyle w:val="Hyperlink"/>
            <w:rFonts w:ascii="华文细黑" w:eastAsia="华文细黑" w:hAnsi="华文细黑"/>
          </w:rPr>
          <w:t>4.5.</w:t>
        </w:r>
        <w:r w:rsidRPr="00382AAF">
          <w:rPr>
            <w:rFonts w:ascii="华文细黑" w:eastAsia="华文细黑" w:hAnsi="华文细黑"/>
            <w:noProof/>
            <w:sz w:val="22"/>
          </w:rPr>
          <w:tab/>
        </w:r>
        <w:r w:rsidRPr="00382AAF">
          <w:rPr>
            <w:rStyle w:val="Hyperlink"/>
            <w:rFonts w:ascii="华文细黑" w:eastAsia="华文细黑" w:hAnsi="华文细黑"/>
          </w:rPr>
          <w:t>关联交易合同及执行汇总</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_Toc256002777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19</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78" w:history="1">
        <w:r w:rsidRPr="00382AAF">
          <w:rPr>
            <w:rStyle w:val="Hyperlink"/>
            <w:rFonts w:ascii="华文细黑" w:eastAsia="华文细黑" w:hAnsi="华文细黑"/>
          </w:rPr>
          <w:t>4.6.</w:t>
        </w:r>
        <w:r w:rsidRPr="00382AAF">
          <w:rPr>
            <w:rFonts w:ascii="华文细黑" w:eastAsia="华文细黑" w:hAnsi="华文细黑"/>
            <w:noProof/>
            <w:sz w:val="22"/>
          </w:rPr>
          <w:tab/>
        </w:r>
        <w:r w:rsidRPr="00382AAF">
          <w:rPr>
            <w:rStyle w:val="Hyperlink"/>
            <w:rFonts w:ascii="华文细黑" w:eastAsia="华文细黑" w:hAnsi="华文细黑"/>
          </w:rPr>
          <w:t>与企业关联交易直接相关的预约定价安排和其他税收裁定</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_Toc256002778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19</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79" w:history="1">
        <w:r w:rsidRPr="00382AAF">
          <w:rPr>
            <w:rStyle w:val="Hyperlink"/>
            <w:rFonts w:ascii="华文细黑" w:eastAsia="华文细黑" w:hAnsi="华文细黑"/>
          </w:rPr>
          <w:t>4.7.</w:t>
        </w:r>
        <w:r w:rsidRPr="00382AAF">
          <w:rPr>
            <w:rFonts w:ascii="华文细黑" w:eastAsia="华文细黑" w:hAnsi="华文细黑"/>
            <w:noProof/>
            <w:sz w:val="22"/>
          </w:rPr>
          <w:tab/>
        </w:r>
        <w:r w:rsidRPr="00382AAF">
          <w:rPr>
            <w:rStyle w:val="Hyperlink"/>
            <w:rFonts w:ascii="华文细黑" w:eastAsia="华文细黑" w:hAnsi="华文细黑"/>
          </w:rPr>
          <w:t>关联交易财务状况</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_Toc256002779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19</w:t>
        </w:r>
        <w:r w:rsidRPr="00382AAF">
          <w:rPr>
            <w:rFonts w:ascii="华文细黑" w:eastAsia="华文细黑" w:hAnsi="华文细黑"/>
          </w:rPr>
          <w:fldChar w:fldCharType="end"/>
        </w:r>
      </w:hyperlink>
    </w:p>
    <w:p w:rsidR="00152594" w:rsidRPr="00382AAF" w:rsidRDefault="00382AAF">
      <w:pPr>
        <w:pStyle w:val="TOC1"/>
        <w:tabs>
          <w:tab w:val="left" w:pos="480"/>
          <w:tab w:val="right" w:leader="dot" w:pos="9350"/>
        </w:tabs>
        <w:rPr>
          <w:rFonts w:ascii="华文细黑" w:eastAsia="华文细黑" w:hAnsi="华文细黑"/>
          <w:noProof/>
          <w:sz w:val="22"/>
        </w:rPr>
      </w:pPr>
      <w:hyperlink w:anchor="_Toc256002780" w:history="1">
        <w:r w:rsidRPr="00382AAF">
          <w:rPr>
            <w:rStyle w:val="Hyperlink"/>
            <w:rFonts w:ascii="华文细黑" w:eastAsia="华文细黑" w:hAnsi="华文细黑"/>
          </w:rPr>
          <w:t>5.</w:t>
        </w:r>
        <w:r w:rsidRPr="00382AAF">
          <w:rPr>
            <w:rFonts w:ascii="华文细黑" w:eastAsia="华文细黑" w:hAnsi="华文细黑"/>
            <w:noProof/>
            <w:sz w:val="22"/>
          </w:rPr>
          <w:tab/>
        </w:r>
        <w:r w:rsidRPr="00382AAF">
          <w:rPr>
            <w:rStyle w:val="Hyperlink"/>
            <w:rFonts w:ascii="华文细黑" w:eastAsia="华文细黑" w:hAnsi="华文细黑"/>
          </w:rPr>
          <w:t>功能和风险分析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_Toc256002780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20</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81" w:history="1">
        <w:r w:rsidRPr="00382AAF">
          <w:rPr>
            <w:rStyle w:val="Hyperlink"/>
            <w:rFonts w:ascii="华文细黑" w:eastAsia="华文细黑" w:hAnsi="华文细黑"/>
          </w:rPr>
          <w:t>5.1.</w:t>
        </w:r>
        <w:r w:rsidRPr="00382AAF">
          <w:rPr>
            <w:rFonts w:ascii="华文细黑" w:eastAsia="华文细黑" w:hAnsi="华文细黑"/>
            <w:noProof/>
            <w:sz w:val="22"/>
          </w:rPr>
          <w:tab/>
        </w:r>
        <w:r w:rsidRPr="00382AAF">
          <w:rPr>
            <w:rStyle w:val="Hyperlink"/>
            <w:rFonts w:ascii="华文细黑" w:eastAsia="华文细黑" w:hAnsi="华文细黑"/>
          </w:rPr>
          <w:t>小结</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_Toc256002781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20</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82" w:history="1">
        <w:r w:rsidRPr="00382AAF">
          <w:rPr>
            <w:rStyle w:val="Hyperlink"/>
            <w:rFonts w:ascii="华文细黑" w:eastAsia="华文细黑" w:hAnsi="华文细黑"/>
          </w:rPr>
          <w:t>5.2.</w:t>
        </w:r>
        <w:r w:rsidRPr="00382AAF">
          <w:rPr>
            <w:rFonts w:ascii="华文细黑" w:eastAsia="华文细黑" w:hAnsi="华文细黑"/>
            <w:noProof/>
            <w:sz w:val="22"/>
          </w:rPr>
          <w:tab/>
        </w:r>
        <w:r w:rsidRPr="00382AAF">
          <w:rPr>
            <w:rStyle w:val="Hyperlink"/>
            <w:rFonts w:ascii="华文细黑" w:eastAsia="华文细黑" w:hAnsi="华文细黑"/>
          </w:rPr>
          <w:t>简介</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_Toc256002782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22</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83" w:history="1">
        <w:r w:rsidRPr="00382AAF">
          <w:rPr>
            <w:rStyle w:val="Hyperlink"/>
            <w:rFonts w:ascii="华文细黑" w:eastAsia="华文细黑" w:hAnsi="华文细黑"/>
          </w:rPr>
          <w:t>5.3.</w:t>
        </w:r>
        <w:r w:rsidRPr="00382AAF">
          <w:rPr>
            <w:rFonts w:ascii="华文细黑" w:eastAsia="华文细黑" w:hAnsi="华文细黑"/>
            <w:noProof/>
            <w:sz w:val="22"/>
          </w:rPr>
          <w:tab/>
        </w:r>
        <w:r w:rsidRPr="00382AAF">
          <w:rPr>
            <w:rStyle w:val="Hyperlink"/>
            <w:rFonts w:ascii="华文细黑" w:eastAsia="华文细黑" w:hAnsi="华文细黑"/>
          </w:rPr>
          <w:t>功能及风险分析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_Toc256002783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22</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784" w:history="1">
        <w:r w:rsidRPr="00382AAF">
          <w:rPr>
            <w:rStyle w:val="Hyperlink"/>
            <w:rFonts w:ascii="华文细黑" w:eastAsia="华文细黑" w:hAnsi="华文细黑"/>
          </w:rPr>
          <w:t>5.3.1.</w:t>
        </w:r>
        <w:r w:rsidRPr="00382AAF">
          <w:rPr>
            <w:rFonts w:ascii="华文细黑" w:eastAsia="华文细黑" w:hAnsi="华文细黑"/>
            <w:noProof/>
            <w:sz w:val="22"/>
          </w:rPr>
          <w:tab/>
        </w:r>
        <w:r w:rsidRPr="00382AAF">
          <w:rPr>
            <w:rStyle w:val="Hyperlink"/>
            <w:rFonts w:ascii="华文细黑" w:eastAsia="华文细黑" w:hAnsi="华文细黑"/>
          </w:rPr>
          <w:t>功能分析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_Toc256002784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22</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785" w:history="1">
        <w:r w:rsidRPr="00382AAF">
          <w:rPr>
            <w:rStyle w:val="Hyperlink"/>
            <w:rFonts w:ascii="华文细黑" w:eastAsia="华文细黑" w:hAnsi="华文细黑"/>
          </w:rPr>
          <w:t>5.3.2.</w:t>
        </w:r>
        <w:r w:rsidRPr="00382AAF">
          <w:rPr>
            <w:rFonts w:ascii="华文细黑" w:eastAsia="华文细黑" w:hAnsi="华文细黑"/>
            <w:noProof/>
            <w:sz w:val="22"/>
          </w:rPr>
          <w:tab/>
        </w:r>
        <w:r w:rsidRPr="00382AAF">
          <w:rPr>
            <w:rStyle w:val="Hyperlink"/>
            <w:rFonts w:ascii="华文细黑" w:eastAsia="华文细黑" w:hAnsi="华文细黑"/>
          </w:rPr>
          <w:t>风险分析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_Toc256002785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24</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86" w:history="1">
        <w:r w:rsidRPr="00382AAF">
          <w:rPr>
            <w:rStyle w:val="Hyperlink"/>
            <w:rFonts w:ascii="华文细黑" w:eastAsia="华文细黑" w:hAnsi="华文细黑"/>
          </w:rPr>
          <w:t>5.4.</w:t>
        </w:r>
        <w:r w:rsidRPr="00382AAF">
          <w:rPr>
            <w:rFonts w:ascii="华文细黑" w:eastAsia="华文细黑" w:hAnsi="华文细黑"/>
            <w:noProof/>
            <w:sz w:val="22"/>
          </w:rPr>
          <w:tab/>
        </w:r>
        <w:r w:rsidRPr="00382AAF">
          <w:rPr>
            <w:rStyle w:val="Hyperlink"/>
            <w:rFonts w:ascii="华文细黑" w:eastAsia="华文细黑" w:hAnsi="华文细黑"/>
          </w:rPr>
          <w:t>资产分析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_Toc256002786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25</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787" w:history="1">
        <w:r w:rsidRPr="00382AAF">
          <w:rPr>
            <w:rStyle w:val="Hyperlink"/>
            <w:rFonts w:ascii="华文细黑" w:eastAsia="华文细黑" w:hAnsi="华文细黑"/>
          </w:rPr>
          <w:t>5.4.1.</w:t>
        </w:r>
        <w:r w:rsidRPr="00382AAF">
          <w:rPr>
            <w:rFonts w:ascii="华文细黑" w:eastAsia="华文细黑" w:hAnsi="华文细黑"/>
            <w:noProof/>
            <w:sz w:val="22"/>
          </w:rPr>
          <w:tab/>
        </w:r>
        <w:r w:rsidRPr="00382AAF">
          <w:rPr>
            <w:rStyle w:val="Hyperlink"/>
            <w:rFonts w:ascii="华文细黑" w:eastAsia="华文细黑" w:hAnsi="华文细黑"/>
          </w:rPr>
          <w:t>有形资产</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_Toc256002787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25</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788" w:history="1">
        <w:r w:rsidRPr="00382AAF">
          <w:rPr>
            <w:rStyle w:val="Hyperlink"/>
            <w:rFonts w:ascii="华文细黑" w:eastAsia="华文细黑" w:hAnsi="华文细黑"/>
          </w:rPr>
          <w:t>5.4.2.</w:t>
        </w:r>
        <w:r w:rsidRPr="00382AAF">
          <w:rPr>
            <w:rFonts w:ascii="华文细黑" w:eastAsia="华文细黑" w:hAnsi="华文细黑"/>
            <w:noProof/>
            <w:sz w:val="22"/>
          </w:rPr>
          <w:tab/>
        </w:r>
        <w:r w:rsidRPr="00382AAF">
          <w:rPr>
            <w:rStyle w:val="Hyperlink"/>
            <w:rFonts w:ascii="华文细黑" w:eastAsia="华文细黑" w:hAnsi="华文细黑"/>
          </w:rPr>
          <w:t>无形资产</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_Toc256002788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25</w:t>
        </w:r>
        <w:r w:rsidRPr="00382AAF">
          <w:rPr>
            <w:rFonts w:ascii="华文细黑" w:eastAsia="华文细黑" w:hAnsi="华文细黑"/>
          </w:rPr>
          <w:fldChar w:fldCharType="end"/>
        </w:r>
      </w:hyperlink>
    </w:p>
    <w:p w:rsidR="00152594" w:rsidRPr="00382AAF" w:rsidRDefault="00382AAF">
      <w:pPr>
        <w:pStyle w:val="TOC1"/>
        <w:tabs>
          <w:tab w:val="left" w:pos="480"/>
          <w:tab w:val="right" w:leader="dot" w:pos="9350"/>
        </w:tabs>
        <w:rPr>
          <w:rFonts w:ascii="华文细黑" w:eastAsia="华文细黑" w:hAnsi="华文细黑"/>
          <w:noProof/>
          <w:sz w:val="22"/>
        </w:rPr>
      </w:pPr>
      <w:hyperlink w:anchor="_Toc256002789" w:history="1">
        <w:r w:rsidRPr="00382AAF">
          <w:rPr>
            <w:rStyle w:val="Hyperlink"/>
            <w:rFonts w:ascii="华文细黑" w:eastAsia="华文细黑" w:hAnsi="华文细黑"/>
          </w:rPr>
          <w:t>6.</w:t>
        </w:r>
        <w:r w:rsidRPr="00382AAF">
          <w:rPr>
            <w:rFonts w:ascii="华文细黑" w:eastAsia="华文细黑" w:hAnsi="华文细黑"/>
            <w:noProof/>
            <w:sz w:val="22"/>
          </w:rPr>
          <w:tab/>
        </w:r>
        <w:r w:rsidRPr="00382AAF">
          <w:rPr>
            <w:rStyle w:val="Hyperlink"/>
            <w:rFonts w:ascii="华文细黑" w:eastAsia="华文细黑" w:hAnsi="华文细黑"/>
          </w:rPr>
          <w:t>价值链分析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_Toc256002789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26</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90" w:history="1">
        <w:r w:rsidRPr="00382AAF">
          <w:rPr>
            <w:rStyle w:val="Hyperlink"/>
            <w:rFonts w:ascii="华文细黑" w:eastAsia="华文细黑" w:hAnsi="华文细黑"/>
          </w:rPr>
          <w:t>6.1.</w:t>
        </w:r>
        <w:r w:rsidRPr="00382AAF">
          <w:rPr>
            <w:rFonts w:ascii="华文细黑" w:eastAsia="华文细黑" w:hAnsi="华文细黑"/>
            <w:noProof/>
            <w:sz w:val="22"/>
          </w:rPr>
          <w:tab/>
        </w:r>
        <w:r w:rsidRPr="00382AAF">
          <w:rPr>
            <w:rStyle w:val="Hyperlink"/>
            <w:rFonts w:ascii="华文细黑" w:eastAsia="华文细黑" w:hAnsi="华文细黑"/>
          </w:rPr>
          <w:t>确定关键价值驱动因素</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_Toc256002790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26</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91" w:history="1">
        <w:r w:rsidRPr="00382AAF">
          <w:rPr>
            <w:rStyle w:val="Hyperlink"/>
            <w:rFonts w:ascii="华文细黑" w:eastAsia="华文细黑" w:hAnsi="华文细黑"/>
          </w:rPr>
          <w:t>6.2.</w:t>
        </w:r>
        <w:r w:rsidRPr="00382AAF">
          <w:rPr>
            <w:rFonts w:ascii="华文细黑" w:eastAsia="华文细黑" w:hAnsi="华文细黑"/>
            <w:noProof/>
            <w:sz w:val="22"/>
          </w:rPr>
          <w:tab/>
        </w:r>
        <w:r w:rsidRPr="00382AAF">
          <w:rPr>
            <w:rStyle w:val="Hyperlink"/>
            <w:rFonts w:ascii="华文细黑" w:eastAsia="华文细黑" w:hAnsi="华文细黑"/>
          </w:rPr>
          <w:t>集团价值链</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_Toc256002791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26</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92" w:history="1">
        <w:r w:rsidRPr="00382AAF">
          <w:rPr>
            <w:rStyle w:val="Hyperlink"/>
            <w:rFonts w:ascii="华文细黑" w:eastAsia="华文细黑" w:hAnsi="华文细黑"/>
          </w:rPr>
          <w:t>6.3.</w:t>
        </w:r>
        <w:r w:rsidRPr="00382AAF">
          <w:rPr>
            <w:rFonts w:ascii="华文细黑" w:eastAsia="华文细黑" w:hAnsi="华文细黑"/>
            <w:noProof/>
            <w:sz w:val="22"/>
          </w:rPr>
          <w:tab/>
        </w:r>
        <w:r w:rsidRPr="00382AAF">
          <w:rPr>
            <w:rStyle w:val="Hyperlink"/>
            <w:rFonts w:ascii="华文细黑" w:eastAsia="华文细黑" w:hAnsi="华文细黑"/>
          </w:rPr>
          <w:t>交易定价影响要素</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_Toc256002792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27</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793" w:history="1">
        <w:r w:rsidRPr="00382AAF">
          <w:rPr>
            <w:rStyle w:val="Hyperlink"/>
            <w:rFonts w:ascii="华文细黑" w:eastAsia="华文细黑" w:hAnsi="华文细黑"/>
          </w:rPr>
          <w:t>6.3.1.</w:t>
        </w:r>
        <w:r w:rsidRPr="00382AAF">
          <w:rPr>
            <w:rFonts w:ascii="华文细黑" w:eastAsia="华文细黑" w:hAnsi="华文细黑"/>
            <w:noProof/>
            <w:sz w:val="22"/>
          </w:rPr>
          <w:tab/>
        </w:r>
        <w:r w:rsidRPr="00382AAF">
          <w:rPr>
            <w:rStyle w:val="Hyperlink"/>
            <w:rFonts w:ascii="华文细黑" w:eastAsia="华文细黑" w:hAnsi="华文细黑"/>
          </w:rPr>
          <w:t>地域成本节约</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_Toc256002793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27</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794" w:history="1">
        <w:r w:rsidRPr="00382AAF">
          <w:rPr>
            <w:rStyle w:val="Hyperlink"/>
            <w:rFonts w:ascii="华文细黑" w:eastAsia="华文细黑" w:hAnsi="华文细黑"/>
          </w:rPr>
          <w:t>6.3.2.</w:t>
        </w:r>
        <w:r w:rsidRPr="00382AAF">
          <w:rPr>
            <w:rFonts w:ascii="华文细黑" w:eastAsia="华文细黑" w:hAnsi="华文细黑"/>
            <w:noProof/>
            <w:sz w:val="22"/>
          </w:rPr>
          <w:tab/>
        </w:r>
        <w:r w:rsidRPr="00382AAF">
          <w:rPr>
            <w:rStyle w:val="Hyperlink"/>
            <w:rFonts w:ascii="华文细黑" w:eastAsia="华文细黑" w:hAnsi="华文细黑"/>
          </w:rPr>
          <w:t>市场溢价</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_Toc256002794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29</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95" w:history="1">
        <w:r w:rsidRPr="00382AAF">
          <w:rPr>
            <w:rStyle w:val="Hyperlink"/>
            <w:rFonts w:ascii="华文细黑" w:eastAsia="华文细黑" w:hAnsi="华文细黑"/>
          </w:rPr>
          <w:t>6.4.</w:t>
        </w:r>
        <w:r w:rsidRPr="00382AAF">
          <w:rPr>
            <w:rFonts w:ascii="华文细黑" w:eastAsia="华文细黑" w:hAnsi="华文细黑"/>
            <w:noProof/>
            <w:sz w:val="22"/>
          </w:rPr>
          <w:tab/>
        </w:r>
        <w:r w:rsidRPr="00382AAF">
          <w:rPr>
            <w:rStyle w:val="Hyperlink"/>
            <w:rFonts w:ascii="华文细黑" w:eastAsia="华文细黑" w:hAnsi="华文细黑"/>
          </w:rPr>
          <w:t>价值链各参与方财务报表</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_Toc256002795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29</w:t>
        </w:r>
        <w:r w:rsidRPr="00382AAF">
          <w:rPr>
            <w:rFonts w:ascii="华文细黑" w:eastAsia="华文细黑" w:hAnsi="华文细黑"/>
          </w:rPr>
          <w:fldChar w:fldCharType="end"/>
        </w:r>
      </w:hyperlink>
    </w:p>
    <w:p w:rsidR="00152594" w:rsidRPr="00382AAF" w:rsidRDefault="00382AAF">
      <w:pPr>
        <w:pStyle w:val="TOC1"/>
        <w:tabs>
          <w:tab w:val="left" w:pos="480"/>
          <w:tab w:val="right" w:leader="dot" w:pos="9350"/>
        </w:tabs>
        <w:rPr>
          <w:rFonts w:ascii="华文细黑" w:eastAsia="华文细黑" w:hAnsi="华文细黑"/>
          <w:noProof/>
          <w:sz w:val="22"/>
        </w:rPr>
      </w:pPr>
      <w:hyperlink w:anchor="_Toc256002796" w:history="1">
        <w:r w:rsidRPr="00382AAF">
          <w:rPr>
            <w:rStyle w:val="Hyperlink"/>
            <w:rFonts w:ascii="华文细黑" w:eastAsia="华文细黑" w:hAnsi="华文细黑"/>
          </w:rPr>
          <w:t>7.</w:t>
        </w:r>
        <w:r w:rsidRPr="00382AAF">
          <w:rPr>
            <w:rFonts w:ascii="华文细黑" w:eastAsia="华文细黑" w:hAnsi="华文细黑"/>
            <w:noProof/>
            <w:sz w:val="22"/>
          </w:rPr>
          <w:tab/>
        </w:r>
        <w:r w:rsidRPr="00382AAF">
          <w:rPr>
            <w:rStyle w:val="Hyperlink"/>
            <w:rFonts w:ascii="华文细黑" w:eastAsia="华文细黑" w:hAnsi="华文细黑"/>
          </w:rPr>
          <w:t>可比性分析</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_Toc256002796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31</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97" w:history="1">
        <w:r w:rsidRPr="00382AAF">
          <w:rPr>
            <w:rStyle w:val="Hyperlink"/>
            <w:rFonts w:ascii="华文细黑" w:eastAsia="华文细黑" w:hAnsi="华文细黑"/>
          </w:rPr>
          <w:t>7.1.</w:t>
        </w:r>
        <w:r w:rsidRPr="00382AAF">
          <w:rPr>
            <w:rFonts w:ascii="华文细黑" w:eastAsia="华文细黑" w:hAnsi="华文细黑"/>
            <w:noProof/>
            <w:sz w:val="22"/>
          </w:rPr>
          <w:tab/>
        </w:r>
        <w:r w:rsidRPr="00382AAF">
          <w:rPr>
            <w:rStyle w:val="Hyperlink"/>
            <w:rFonts w:ascii="华文细黑" w:eastAsia="华文细黑" w:hAnsi="华文细黑"/>
          </w:rPr>
          <w:t>简介</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_Toc256002797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31</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98" w:history="1">
        <w:r w:rsidRPr="00382AAF">
          <w:rPr>
            <w:rStyle w:val="Hyperlink"/>
            <w:rFonts w:ascii="华文细黑" w:eastAsia="华文细黑" w:hAnsi="华文细黑"/>
          </w:rPr>
          <w:t>7.2.</w:t>
        </w:r>
        <w:r w:rsidRPr="00382AAF">
          <w:rPr>
            <w:rFonts w:ascii="华文细黑" w:eastAsia="华文细黑" w:hAnsi="华文细黑"/>
            <w:noProof/>
            <w:sz w:val="22"/>
          </w:rPr>
          <w:tab/>
        </w:r>
        <w:r w:rsidRPr="00382AAF">
          <w:rPr>
            <w:rStyle w:val="Hyperlink"/>
            <w:rFonts w:ascii="华文细黑" w:eastAsia="华文细黑" w:hAnsi="华文细黑"/>
          </w:rPr>
          <w:t>转让定价方法的选择</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_Toc256002798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31</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799" w:history="1">
        <w:r w:rsidRPr="00382AAF">
          <w:rPr>
            <w:rStyle w:val="Hyperlink"/>
            <w:rFonts w:ascii="华文细黑" w:eastAsia="华文细黑" w:hAnsi="华文细黑"/>
          </w:rPr>
          <w:t>7.3.</w:t>
        </w:r>
        <w:r w:rsidRPr="00382AAF">
          <w:rPr>
            <w:rFonts w:ascii="华文细黑" w:eastAsia="华文细黑" w:hAnsi="华文细黑"/>
            <w:noProof/>
            <w:sz w:val="22"/>
          </w:rPr>
          <w:tab/>
        </w:r>
        <w:r w:rsidRPr="00382AAF">
          <w:rPr>
            <w:rStyle w:val="Hyperlink"/>
            <w:rFonts w:ascii="华文细黑" w:eastAsia="华文细黑" w:hAnsi="华文细黑"/>
          </w:rPr>
          <w:t>验证对象的选择</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_Toc256002799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31</w:t>
        </w:r>
        <w:r w:rsidRPr="00382AAF">
          <w:rPr>
            <w:rFonts w:ascii="华文细黑" w:eastAsia="华文细黑" w:hAnsi="华文细黑"/>
          </w:rPr>
          <w:fldChar w:fldCharType="end"/>
        </w:r>
      </w:hyperlink>
    </w:p>
    <w:p w:rsidR="00152594" w:rsidRPr="00382AAF" w:rsidRDefault="00382AAF">
      <w:pPr>
        <w:pStyle w:val="TOC2"/>
        <w:tabs>
          <w:tab w:val="left" w:pos="1100"/>
          <w:tab w:val="right" w:leader="dot" w:pos="9350"/>
        </w:tabs>
        <w:rPr>
          <w:rFonts w:ascii="华文细黑" w:eastAsia="华文细黑" w:hAnsi="华文细黑"/>
          <w:noProof/>
          <w:sz w:val="22"/>
        </w:rPr>
      </w:pPr>
      <w:hyperlink w:anchor="_Toc256002800" w:history="1">
        <w:r w:rsidRPr="00382AAF">
          <w:rPr>
            <w:rStyle w:val="Hyperlink"/>
            <w:rFonts w:ascii="华文细黑" w:eastAsia="华文细黑" w:hAnsi="华文细黑"/>
          </w:rPr>
          <w:t>7.4.</w:t>
        </w:r>
        <w:r w:rsidRPr="00382AAF">
          <w:rPr>
            <w:rFonts w:ascii="华文细黑" w:eastAsia="华文细黑" w:hAnsi="华文细黑"/>
            <w:noProof/>
            <w:sz w:val="22"/>
          </w:rPr>
          <w:tab/>
        </w:r>
        <w:r w:rsidRPr="00382AAF">
          <w:rPr>
            <w:rStyle w:val="Hyperlink"/>
            <w:rFonts w:ascii="华文细黑" w:eastAsia="华文细黑" w:hAnsi="华文细黑"/>
          </w:rPr>
          <w:t>转让定价方法的应用</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_Toc256002800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31</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801" w:history="1">
        <w:r w:rsidRPr="00382AAF">
          <w:rPr>
            <w:rStyle w:val="Hyperlink"/>
            <w:rFonts w:ascii="华文细黑" w:eastAsia="华文细黑" w:hAnsi="华文细黑"/>
          </w:rPr>
          <w:t>7.4.1.</w:t>
        </w:r>
        <w:r w:rsidRPr="00382AAF">
          <w:rPr>
            <w:rFonts w:ascii="华文细黑" w:eastAsia="华文细黑" w:hAnsi="华文细黑"/>
            <w:noProof/>
            <w:sz w:val="22"/>
          </w:rPr>
          <w:tab/>
        </w:r>
        <w:r w:rsidRPr="00382AAF">
          <w:rPr>
            <w:rStyle w:val="Hyperlink"/>
            <w:rFonts w:ascii="华文细黑" w:eastAsia="华文细黑" w:hAnsi="华文细黑"/>
          </w:rPr>
          <w:t>概述</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_Toc256002801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31</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802" w:history="1">
        <w:r w:rsidRPr="00382AAF">
          <w:rPr>
            <w:rStyle w:val="Hyperlink"/>
            <w:rFonts w:ascii="华文细黑" w:eastAsia="华文细黑" w:hAnsi="华文细黑"/>
          </w:rPr>
          <w:t>7.4.2.</w:t>
        </w:r>
        <w:r w:rsidRPr="00382AAF">
          <w:rPr>
            <w:rFonts w:ascii="华文细黑" w:eastAsia="华文细黑" w:hAnsi="华文细黑"/>
            <w:noProof/>
            <w:sz w:val="22"/>
          </w:rPr>
          <w:tab/>
        </w:r>
        <w:r w:rsidRPr="00382AAF">
          <w:rPr>
            <w:rStyle w:val="Hyperlink"/>
            <w:rFonts w:ascii="华文细黑" w:eastAsia="华文细黑" w:hAnsi="华文细黑"/>
          </w:rPr>
          <w:t>确定与受测关联交易相关的财务数据</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_Toc256002802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31</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803" w:history="1">
        <w:r w:rsidRPr="00382AAF">
          <w:rPr>
            <w:rStyle w:val="Hyperlink"/>
            <w:rFonts w:ascii="华文细黑" w:eastAsia="华文细黑" w:hAnsi="华文细黑"/>
          </w:rPr>
          <w:t>7.4.3.</w:t>
        </w:r>
        <w:r w:rsidRPr="00382AAF">
          <w:rPr>
            <w:rFonts w:ascii="华文细黑" w:eastAsia="华文细黑" w:hAnsi="华文细黑"/>
            <w:noProof/>
            <w:sz w:val="22"/>
          </w:rPr>
          <w:tab/>
        </w:r>
        <w:r w:rsidRPr="00382AAF">
          <w:rPr>
            <w:rStyle w:val="Hyperlink"/>
            <w:rFonts w:ascii="华文细黑" w:eastAsia="华文细黑" w:hAnsi="华文细黑"/>
          </w:rPr>
          <w:t>搜寻外部可比公司</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_Toc256002803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32</w:t>
        </w:r>
        <w:r w:rsidRPr="00382AAF">
          <w:rPr>
            <w:rFonts w:ascii="华文细黑" w:eastAsia="华文细黑" w:hAnsi="华文细黑"/>
          </w:rPr>
          <w:fldChar w:fldCharType="end"/>
        </w:r>
      </w:hyperlink>
    </w:p>
    <w:p w:rsidR="00152594" w:rsidRPr="00382AAF" w:rsidRDefault="00382AAF">
      <w:pPr>
        <w:pStyle w:val="TOC3"/>
        <w:tabs>
          <w:tab w:val="left" w:pos="1540"/>
          <w:tab w:val="right" w:leader="dot" w:pos="9350"/>
        </w:tabs>
        <w:rPr>
          <w:rFonts w:ascii="华文细黑" w:eastAsia="华文细黑" w:hAnsi="华文细黑"/>
          <w:noProof/>
          <w:sz w:val="22"/>
        </w:rPr>
      </w:pPr>
      <w:hyperlink w:anchor="_Toc256002804" w:history="1">
        <w:r w:rsidRPr="00382AAF">
          <w:rPr>
            <w:rStyle w:val="Hyperlink"/>
            <w:rFonts w:ascii="华文细黑" w:eastAsia="华文细黑" w:hAnsi="华文细黑"/>
          </w:rPr>
          <w:t>7.4.4.</w:t>
        </w:r>
        <w:r w:rsidRPr="00382AAF">
          <w:rPr>
            <w:rFonts w:ascii="华文细黑" w:eastAsia="华文细黑" w:hAnsi="华文细黑"/>
            <w:noProof/>
            <w:sz w:val="22"/>
          </w:rPr>
          <w:tab/>
        </w:r>
        <w:r w:rsidRPr="00382AAF">
          <w:rPr>
            <w:rStyle w:val="Hyperlink"/>
            <w:rFonts w:ascii="华文细黑" w:eastAsia="华文细黑" w:hAnsi="华文细黑"/>
          </w:rPr>
          <w:t>可比公司利润水平</w:t>
        </w:r>
        <w:r w:rsidRPr="00382AAF">
          <w:rPr>
            <w:rFonts w:ascii="华文细黑" w:eastAsia="华文细黑" w:hAnsi="华文细黑"/>
          </w:rPr>
          <w:tab/>
        </w:r>
        <w:r w:rsidRPr="00382AAF">
          <w:rPr>
            <w:rFonts w:ascii="华文细黑" w:eastAsia="华文细黑" w:hAnsi="华文细黑"/>
          </w:rPr>
          <w:fldChar w:fldCharType="begin"/>
        </w:r>
        <w:r w:rsidRPr="00382AAF">
          <w:rPr>
            <w:rFonts w:ascii="华文细黑" w:eastAsia="华文细黑" w:hAnsi="华文细黑"/>
          </w:rPr>
          <w:instrText xml:space="preserve"> PAGEREF _Toc256002804 \h </w:instrText>
        </w:r>
        <w:r w:rsidRPr="00382AAF">
          <w:rPr>
            <w:rFonts w:ascii="华文细黑" w:eastAsia="华文细黑" w:hAnsi="华文细黑"/>
          </w:rPr>
        </w:r>
        <w:r w:rsidRPr="00382AAF">
          <w:rPr>
            <w:rFonts w:ascii="华文细黑" w:eastAsia="华文细黑" w:hAnsi="华文细黑"/>
          </w:rPr>
          <w:fldChar w:fldCharType="separate"/>
        </w:r>
        <w:r w:rsidRPr="00382AAF">
          <w:rPr>
            <w:rFonts w:ascii="华文细黑" w:eastAsia="华文细黑" w:hAnsi="华文细黑"/>
          </w:rPr>
          <w:t>33</w:t>
        </w:r>
        <w:r w:rsidRPr="00382AAF">
          <w:rPr>
            <w:rFonts w:ascii="华文细黑" w:eastAsia="华文细黑" w:hAnsi="华文细黑"/>
          </w:rPr>
          <w:fldChar w:fldCharType="end"/>
        </w:r>
      </w:hyperlink>
    </w:p>
    <w:p w:rsidR="00152594" w:rsidRPr="00382AAF" w:rsidRDefault="00382AAF">
      <w:pPr>
        <w:rPr>
          <w:rFonts w:ascii="华文细黑" w:eastAsia="华文细黑" w:hAnsi="华文细黑"/>
        </w:rPr>
        <w:sectPr w:rsidR="00152594" w:rsidRPr="00382AAF">
          <w:pgSz w:w="12240" w:h="15840"/>
          <w:pgMar w:top="1440" w:right="1800" w:bottom="1440" w:left="1800" w:header="720" w:footer="720" w:gutter="0"/>
          <w:cols w:space="720"/>
        </w:sectPr>
      </w:pPr>
      <w:r w:rsidRPr="00382AAF">
        <w:rPr>
          <w:rFonts w:ascii="华文细黑" w:eastAsia="华文细黑" w:hAnsi="华文细黑"/>
        </w:rPr>
        <w:fldChar w:fldCharType="end"/>
      </w:r>
    </w:p>
    <w:p w:rsidR="00152594" w:rsidRPr="00382AAF" w:rsidRDefault="00152594">
      <w:pPr>
        <w:pStyle w:val="BodyText"/>
        <w:rPr>
          <w:rFonts w:ascii="华文细黑" w:eastAsia="华文细黑" w:hAnsi="华文细黑"/>
        </w:rPr>
      </w:pPr>
    </w:p>
    <w:p w:rsidR="00152594" w:rsidRPr="00382AAF" w:rsidRDefault="00382AAF">
      <w:pPr>
        <w:pStyle w:val="Heading1"/>
        <w:jc w:val="center"/>
        <w:rPr>
          <w:rFonts w:ascii="华文细黑" w:eastAsia="华文细黑" w:hAnsi="华文细黑"/>
          <w:lang w:eastAsia="zh-CN"/>
        </w:rPr>
      </w:pPr>
      <w:bookmarkStart w:id="2" w:name="_Toc256002754"/>
      <w:r w:rsidRPr="00382AAF">
        <w:rPr>
          <w:rFonts w:ascii="华文细黑" w:eastAsia="华文细黑" w:hAnsi="华文细黑" w:cs="微软雅黑"/>
          <w:sz w:val="40"/>
          <w:lang w:eastAsia="zh-CN"/>
        </w:rPr>
        <w:t>服务范围与责任声明</w:t>
      </w:r>
      <w:bookmarkEnd w:id="2"/>
    </w:p>
    <w:p w:rsidR="00152594" w:rsidRPr="00382AAF" w:rsidRDefault="00382AAF">
      <w:pPr>
        <w:spacing w:before="240" w:after="240"/>
        <w:ind w:firstLine="480"/>
        <w:rPr>
          <w:rFonts w:ascii="华文细黑" w:eastAsia="华文细黑" w:hAnsi="华文细黑"/>
          <w:lang w:eastAsia="zh-CN"/>
        </w:rPr>
      </w:pPr>
      <w:r w:rsidRPr="00382AAF">
        <w:rPr>
          <w:rFonts w:ascii="华文细黑" w:eastAsia="华文细黑" w:hAnsi="华文细黑" w:cs="仿宋_GB2312"/>
          <w:sz w:val="23"/>
          <w:szCs w:val="23"/>
          <w:lang w:eastAsia="zh-CN"/>
        </w:rPr>
        <w:t>以下是斯必克（上海）流体技术有限公司</w:t>
      </w:r>
      <w:r w:rsidRPr="00382AAF">
        <w:rPr>
          <w:rFonts w:ascii="华文细黑" w:eastAsia="华文细黑" w:hAnsi="华文细黑" w:cs="Arial"/>
          <w:sz w:val="23"/>
          <w:szCs w:val="23"/>
          <w:lang w:eastAsia="zh-CN"/>
        </w:rPr>
        <w:t>24</w:t>
      </w:r>
      <w:r w:rsidRPr="00382AAF">
        <w:rPr>
          <w:rFonts w:ascii="华文细黑" w:eastAsia="华文细黑" w:hAnsi="华文细黑" w:cs="仿宋_GB2312"/>
          <w:sz w:val="23"/>
          <w:szCs w:val="23"/>
          <w:lang w:eastAsia="zh-CN"/>
        </w:rPr>
        <w:t>年度关联交易同期资料本地文档报告内容与</w:t>
      </w:r>
      <w:r w:rsidRPr="00382AAF">
        <w:rPr>
          <w:rFonts w:ascii="华文细黑" w:eastAsia="华文细黑" w:hAnsi="华文细黑" w:cs="Arial"/>
          <w:sz w:val="23"/>
          <w:szCs w:val="23"/>
          <w:lang w:eastAsia="zh-CN"/>
        </w:rPr>
        <w:t>[2016]42</w:t>
      </w:r>
      <w:r w:rsidRPr="00382AAF">
        <w:rPr>
          <w:rFonts w:ascii="华文细黑" w:eastAsia="华文细黑" w:hAnsi="华文细黑" w:cs="仿宋_GB2312"/>
          <w:sz w:val="23"/>
          <w:szCs w:val="23"/>
          <w:lang w:eastAsia="zh-CN"/>
        </w:rPr>
        <w:t>号公告第十四条规定的本地文档内容对照表。</w:t>
      </w:r>
    </w:p>
    <w:tbl>
      <w:tblPr>
        <w:tblW w:w="0" w:type="auto"/>
        <w:tblCellSpacing w:w="0" w:type="dxa"/>
        <w:tblInd w:w="105" w:type="dxa"/>
        <w:tblCellMar>
          <w:left w:w="0" w:type="dxa"/>
          <w:right w:w="0" w:type="dxa"/>
        </w:tblCellMar>
        <w:tblLook w:val="04A0" w:firstRow="1" w:lastRow="0" w:firstColumn="1" w:lastColumn="0" w:noHBand="0" w:noVBand="1"/>
      </w:tblPr>
      <w:tblGrid>
        <w:gridCol w:w="1030"/>
        <w:gridCol w:w="5457"/>
        <w:gridCol w:w="2183"/>
      </w:tblGrid>
      <w:tr w:rsidR="00152594" w:rsidRPr="00382AAF">
        <w:trPr>
          <w:trHeight w:val="420"/>
          <w:tblHeader/>
          <w:tblCellSpacing w:w="0" w:type="dxa"/>
        </w:trPr>
        <w:tc>
          <w:tcPr>
            <w:tcW w:w="1200" w:type="dxa"/>
            <w:tcBorders>
              <w:bottom w:val="single" w:sz="6" w:space="0" w:color="000000"/>
            </w:tcBorders>
            <w:shd w:val="clear" w:color="auto" w:fill="002060"/>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rPr>
            </w:pPr>
            <w:r w:rsidRPr="00382AAF">
              <w:rPr>
                <w:rFonts w:ascii="华文细黑" w:eastAsia="华文细黑" w:hAnsi="华文细黑" w:cs="仿宋_GB2312"/>
                <w:b/>
                <w:bCs/>
                <w:color w:val="FFFFFF"/>
                <w:sz w:val="20"/>
                <w:szCs w:val="20"/>
              </w:rPr>
              <w:t>条文</w:t>
            </w:r>
          </w:p>
        </w:tc>
        <w:tc>
          <w:tcPr>
            <w:tcW w:w="8970" w:type="dxa"/>
            <w:tcBorders>
              <w:bottom w:val="single" w:sz="6" w:space="0" w:color="000000"/>
            </w:tcBorders>
            <w:shd w:val="clear" w:color="auto" w:fill="002060"/>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rPr>
            </w:pPr>
            <w:r w:rsidRPr="00382AAF">
              <w:rPr>
                <w:rFonts w:ascii="华文细黑" w:eastAsia="华文细黑" w:hAnsi="华文细黑" w:cs="仿宋_GB2312"/>
                <w:b/>
                <w:bCs/>
                <w:color w:val="FFFFFF"/>
                <w:sz w:val="20"/>
                <w:szCs w:val="20"/>
              </w:rPr>
              <w:t>法规要求</w:t>
            </w:r>
          </w:p>
        </w:tc>
        <w:tc>
          <w:tcPr>
            <w:tcW w:w="945" w:type="dxa"/>
            <w:tcBorders>
              <w:bottom w:val="single" w:sz="6" w:space="0" w:color="000000"/>
            </w:tcBorders>
            <w:shd w:val="clear" w:color="auto" w:fill="002060"/>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rPr>
            </w:pPr>
            <w:r w:rsidRPr="00382AAF">
              <w:rPr>
                <w:rFonts w:ascii="华文细黑" w:eastAsia="华文细黑" w:hAnsi="华文细黑" w:cs="仿宋_GB2312"/>
                <w:b/>
                <w:bCs/>
                <w:color w:val="FFFFFF"/>
                <w:sz w:val="20"/>
                <w:szCs w:val="20"/>
              </w:rPr>
              <w:t>报告索引</w:t>
            </w:r>
          </w:p>
        </w:tc>
      </w:tr>
      <w:tr w:rsidR="00152594" w:rsidRPr="00382AAF">
        <w:trPr>
          <w:tblCellSpacing w:w="0" w:type="dxa"/>
        </w:trPr>
        <w:tc>
          <w:tcPr>
            <w:tcW w:w="1215" w:type="dxa"/>
            <w:vMerge w:val="restart"/>
            <w:tcBorders>
              <w:left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rPr>
            </w:pPr>
            <w:r w:rsidRPr="00382AAF">
              <w:rPr>
                <w:rFonts w:ascii="华文细黑" w:eastAsia="华文细黑" w:hAnsi="华文细黑" w:cs="仿宋_GB2312"/>
                <w:b/>
                <w:bCs/>
                <w:sz w:val="20"/>
                <w:szCs w:val="20"/>
              </w:rPr>
              <w:t>（一）企业概况</w:t>
            </w:r>
          </w:p>
        </w:tc>
        <w:tc>
          <w:tcPr>
            <w:tcW w:w="915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585"/>
              <w:rPr>
                <w:rFonts w:ascii="华文细黑" w:eastAsia="华文细黑" w:hAnsi="华文细黑"/>
                <w:lang w:eastAsia="zh-CN"/>
              </w:rPr>
            </w:pPr>
            <w:r w:rsidRPr="00382AAF">
              <w:rPr>
                <w:rFonts w:ascii="华文细黑" w:eastAsia="华文细黑" w:hAnsi="华文细黑" w:cs="Arial"/>
                <w:sz w:val="20"/>
                <w:szCs w:val="20"/>
                <w:lang w:eastAsia="zh-CN"/>
              </w:rPr>
              <w:t>1.</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组织结构，包括企业各职能部门的设置、职责范围和雇员数量等；</w:t>
            </w:r>
          </w:p>
        </w:tc>
        <w:tc>
          <w:tcPr>
            <w:tcW w:w="952"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2.2</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585"/>
              <w:rPr>
                <w:rFonts w:ascii="华文细黑" w:eastAsia="华文细黑" w:hAnsi="华文细黑"/>
                <w:lang w:eastAsia="zh-CN"/>
              </w:rPr>
            </w:pPr>
            <w:r w:rsidRPr="00382AAF">
              <w:rPr>
                <w:rFonts w:ascii="华文细黑" w:eastAsia="华文细黑" w:hAnsi="华文细黑" w:cs="Arial"/>
                <w:sz w:val="20"/>
                <w:szCs w:val="20"/>
                <w:lang w:eastAsia="zh-CN"/>
              </w:rPr>
              <w:t>2.</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管理架构，包括企业各级管理层的汇报对象以及汇报对象主要办公所在地等；</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2.2</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585"/>
              <w:rPr>
                <w:rFonts w:ascii="华文细黑" w:eastAsia="华文细黑" w:hAnsi="华文细黑"/>
                <w:lang w:eastAsia="zh-CN"/>
              </w:rPr>
            </w:pPr>
            <w:r w:rsidRPr="00382AAF">
              <w:rPr>
                <w:rFonts w:ascii="华文细黑" w:eastAsia="华文细黑" w:hAnsi="华文细黑" w:cs="Arial"/>
                <w:sz w:val="20"/>
                <w:szCs w:val="20"/>
                <w:lang w:eastAsia="zh-CN"/>
              </w:rPr>
              <w:t>3.</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业务描述，包括企业所属行业的发展概况、产业政策、行业限制等影响企业和行业的主要经济和法律问题，主要竞争者等；</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2.2</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3</w:t>
            </w:r>
          </w:p>
        </w:tc>
      </w:tr>
      <w:tr w:rsidR="00152594" w:rsidRPr="00382AAF">
        <w:trPr>
          <w:trHeight w:val="735"/>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585"/>
              <w:rPr>
                <w:rFonts w:ascii="华文细黑" w:eastAsia="华文细黑" w:hAnsi="华文细黑"/>
                <w:lang w:eastAsia="zh-CN"/>
              </w:rPr>
            </w:pPr>
            <w:r w:rsidRPr="00382AAF">
              <w:rPr>
                <w:rFonts w:ascii="华文细黑" w:eastAsia="华文细黑" w:hAnsi="华文细黑" w:cs="Arial"/>
                <w:sz w:val="20"/>
                <w:szCs w:val="20"/>
                <w:lang w:eastAsia="zh-CN"/>
              </w:rPr>
              <w:t>4.</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经营策略，包括企业各部门、各环节的业务流程，运营模式，价值贡献因素等；</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2.2</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6</w:t>
            </w:r>
          </w:p>
        </w:tc>
        <w:bookmarkStart w:id="3" w:name="_GoBack"/>
        <w:bookmarkEnd w:id="3"/>
      </w:tr>
      <w:tr w:rsidR="00152594" w:rsidRPr="00382AAF">
        <w:trPr>
          <w:trHeight w:val="600"/>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585"/>
              <w:rPr>
                <w:rFonts w:ascii="华文细黑" w:eastAsia="华文细黑" w:hAnsi="华文细黑"/>
                <w:lang w:eastAsia="zh-CN"/>
              </w:rPr>
            </w:pPr>
            <w:r w:rsidRPr="00382AAF">
              <w:rPr>
                <w:rFonts w:ascii="华文细黑" w:eastAsia="华文细黑" w:hAnsi="华文细黑" w:cs="Arial"/>
                <w:sz w:val="20"/>
                <w:szCs w:val="20"/>
                <w:lang w:eastAsia="zh-CN"/>
              </w:rPr>
              <w:t>5.</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财务数据，包括企业不同类型业务及产品的收入、成本、费用及利润；</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2.3</w:t>
            </w:r>
          </w:p>
        </w:tc>
      </w:tr>
      <w:tr w:rsidR="00152594" w:rsidRPr="00382AAF">
        <w:trPr>
          <w:trHeight w:val="645"/>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585"/>
              <w:rPr>
                <w:rFonts w:ascii="华文细黑" w:eastAsia="华文细黑" w:hAnsi="华文细黑"/>
                <w:lang w:eastAsia="zh-CN"/>
              </w:rPr>
            </w:pPr>
            <w:r w:rsidRPr="00382AAF">
              <w:rPr>
                <w:rFonts w:ascii="华文细黑" w:eastAsia="华文细黑" w:hAnsi="华文细黑" w:cs="Arial"/>
                <w:sz w:val="20"/>
                <w:szCs w:val="20"/>
                <w:lang w:eastAsia="zh-CN"/>
              </w:rPr>
              <w:t>6.</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涉及本企业或者对本企业产生影响的重组或者无形资产转让情况，以及对本企业的影响分析；</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2.4</w:t>
            </w:r>
          </w:p>
        </w:tc>
      </w:tr>
      <w:tr w:rsidR="00152594" w:rsidRPr="00382AAF">
        <w:trPr>
          <w:tblCellSpacing w:w="0" w:type="dxa"/>
        </w:trPr>
        <w:tc>
          <w:tcPr>
            <w:tcW w:w="1215" w:type="dxa"/>
            <w:vMerge w:val="restart"/>
            <w:tcBorders>
              <w:left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rPr>
            </w:pPr>
            <w:r w:rsidRPr="00382AAF">
              <w:rPr>
                <w:rFonts w:ascii="华文细黑" w:eastAsia="华文细黑" w:hAnsi="华文细黑" w:cs="仿宋_GB2312"/>
                <w:b/>
                <w:bCs/>
                <w:sz w:val="20"/>
                <w:szCs w:val="20"/>
              </w:rPr>
              <w:t>（二）关联关系</w:t>
            </w:r>
          </w:p>
        </w:tc>
        <w:tc>
          <w:tcPr>
            <w:tcW w:w="915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1.</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52"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4.1</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2.</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上述关联方适用的具有所得税性质的税种、税率及相应可享受的税收优惠。</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4.1</w:t>
            </w:r>
          </w:p>
        </w:tc>
      </w:tr>
      <w:tr w:rsidR="00152594" w:rsidRPr="00382AAF">
        <w:trPr>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3.</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本会计年度内，企业关联关系的变化情况。</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keepNext/>
              <w:spacing w:before="60" w:after="60"/>
              <w:rPr>
                <w:rFonts w:ascii="华文细黑" w:eastAsia="华文细黑" w:hAnsi="华文细黑"/>
              </w:rPr>
            </w:pPr>
            <w:r w:rsidRPr="00382AAF">
              <w:rPr>
                <w:rFonts w:ascii="华文细黑" w:eastAsia="华文细黑" w:hAnsi="华文细黑" w:cs="Arial"/>
                <w:sz w:val="20"/>
                <w:szCs w:val="20"/>
              </w:rPr>
              <w:t>4.1</w:t>
            </w:r>
          </w:p>
        </w:tc>
      </w:tr>
      <w:tr w:rsidR="00152594" w:rsidRPr="00382AAF">
        <w:trPr>
          <w:tblCellSpacing w:w="0" w:type="dxa"/>
        </w:trPr>
        <w:tc>
          <w:tcPr>
            <w:tcW w:w="1215" w:type="dxa"/>
            <w:vMerge w:val="restart"/>
            <w:tcBorders>
              <w:left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lang w:eastAsia="zh-CN"/>
              </w:rPr>
            </w:pPr>
            <w:r w:rsidRPr="00382AAF">
              <w:rPr>
                <w:rFonts w:ascii="华文细黑" w:eastAsia="华文细黑" w:hAnsi="华文细黑" w:cs="仿宋_GB2312"/>
                <w:b/>
                <w:bCs/>
                <w:color w:val="000000"/>
                <w:sz w:val="20"/>
                <w:szCs w:val="20"/>
                <w:lang w:eastAsia="zh-CN"/>
              </w:rPr>
              <w:t>（三）关联交易</w:t>
            </w:r>
          </w:p>
          <w:p w:rsidR="00152594" w:rsidRPr="00382AAF" w:rsidRDefault="00382AAF">
            <w:pPr>
              <w:jc w:val="center"/>
              <w:rPr>
                <w:rFonts w:ascii="华文细黑" w:eastAsia="华文细黑" w:hAnsi="华文细黑"/>
                <w:lang w:eastAsia="zh-CN"/>
              </w:rPr>
            </w:pPr>
            <w:r w:rsidRPr="00382AAF">
              <w:rPr>
                <w:rFonts w:ascii="华文细黑" w:eastAsia="华文细黑" w:hAnsi="华文细黑" w:cs="Arial"/>
                <w:b/>
                <w:bCs/>
                <w:color w:val="000000"/>
                <w:sz w:val="20"/>
                <w:szCs w:val="20"/>
                <w:lang w:eastAsia="zh-CN"/>
              </w:rPr>
              <w:t>1.</w:t>
            </w:r>
            <w:r w:rsidRPr="00382AAF">
              <w:rPr>
                <w:rFonts w:ascii="华文细黑" w:eastAsia="华文细黑" w:hAnsi="华文细黑" w:cs="仿宋_GB2312"/>
                <w:b/>
                <w:bCs/>
                <w:color w:val="000000"/>
                <w:sz w:val="20"/>
                <w:szCs w:val="20"/>
                <w:lang w:eastAsia="zh-CN"/>
              </w:rPr>
              <w:t>关联交易概况</w:t>
            </w:r>
          </w:p>
        </w:tc>
        <w:tc>
          <w:tcPr>
            <w:tcW w:w="915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1)</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52"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4.2</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4.3</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4.4</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4.5</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2)</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关联交易流程，包括关联交易的信息流、物流和资金流，与非关联交易业务流程的异同；</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4.3</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4.4</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3)</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功能风险描述，包括企业及其关联方在各类关联交易中执行的功能、承担的风险和使用的资产；</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5</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4)</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交易定价影响要素，包括关联交易涉及的无形资产及其影响，成本节约、市场溢价等地域特殊因素。地域特殊因素应从劳动力成本、环境成本、市场</w:t>
            </w:r>
            <w:r w:rsidRPr="00382AAF">
              <w:rPr>
                <w:rFonts w:ascii="华文细黑" w:eastAsia="华文细黑" w:hAnsi="华文细黑" w:cs="仿宋_GB2312"/>
                <w:sz w:val="20"/>
                <w:szCs w:val="20"/>
                <w:lang w:eastAsia="zh-CN"/>
              </w:rPr>
              <w:lastRenderedPageBreak/>
              <w:t>规模、市场竞争程度、消费者购买力、商品或者劳务的可替代性、政府管制等方面进行分析；</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lastRenderedPageBreak/>
              <w:t>6.3</w:t>
            </w:r>
          </w:p>
        </w:tc>
      </w:tr>
      <w:tr w:rsidR="00152594" w:rsidRPr="00382AAF">
        <w:trPr>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5)</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4.2</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4.3</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4.4</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4.5</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4.6</w:t>
            </w:r>
          </w:p>
          <w:p w:rsidR="00152594" w:rsidRPr="00382AAF" w:rsidRDefault="00382AAF">
            <w:pPr>
              <w:spacing w:before="60" w:after="60"/>
              <w:rPr>
                <w:rFonts w:ascii="华文细黑" w:eastAsia="华文细黑" w:hAnsi="华文细黑"/>
              </w:rPr>
            </w:pPr>
            <w:r w:rsidRPr="00382AAF">
              <w:rPr>
                <w:rFonts w:ascii="华文细黑" w:eastAsia="华文细黑" w:hAnsi="华文细黑" w:cs="仿宋_GB2312"/>
                <w:color w:val="000000"/>
                <w:sz w:val="20"/>
                <w:szCs w:val="20"/>
              </w:rPr>
              <w:t>附件</w:t>
            </w:r>
            <w:r w:rsidRPr="00382AAF">
              <w:rPr>
                <w:rFonts w:ascii="华文细黑" w:eastAsia="华文细黑" w:hAnsi="华文细黑" w:cs="Arial"/>
                <w:color w:val="000000"/>
                <w:sz w:val="20"/>
                <w:szCs w:val="20"/>
              </w:rPr>
              <w:t>2</w:t>
            </w:r>
          </w:p>
        </w:tc>
      </w:tr>
      <w:tr w:rsidR="00152594" w:rsidRPr="00382AAF">
        <w:trPr>
          <w:tblCellSpacing w:w="0" w:type="dxa"/>
        </w:trPr>
        <w:tc>
          <w:tcPr>
            <w:tcW w:w="1215" w:type="dxa"/>
            <w:vMerge w:val="restart"/>
            <w:tcBorders>
              <w:left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lang w:eastAsia="zh-CN"/>
              </w:rPr>
            </w:pPr>
            <w:r w:rsidRPr="00382AAF">
              <w:rPr>
                <w:rFonts w:ascii="华文细黑" w:eastAsia="华文细黑" w:hAnsi="华文细黑" w:cs="仿宋_GB2312"/>
                <w:b/>
                <w:bCs/>
                <w:sz w:val="20"/>
                <w:szCs w:val="20"/>
                <w:lang w:eastAsia="zh-CN"/>
              </w:rPr>
              <w:t>（三）关联交易</w:t>
            </w:r>
          </w:p>
          <w:p w:rsidR="00152594" w:rsidRPr="00382AAF" w:rsidRDefault="00382AAF">
            <w:pPr>
              <w:jc w:val="center"/>
              <w:rPr>
                <w:rFonts w:ascii="华文细黑" w:eastAsia="华文细黑" w:hAnsi="华文细黑"/>
                <w:lang w:eastAsia="zh-CN"/>
              </w:rPr>
            </w:pPr>
            <w:r w:rsidRPr="00382AAF">
              <w:rPr>
                <w:rFonts w:ascii="华文细黑" w:eastAsia="华文细黑" w:hAnsi="华文细黑" w:cs="Arial"/>
                <w:b/>
                <w:bCs/>
                <w:sz w:val="20"/>
                <w:szCs w:val="20"/>
                <w:lang w:eastAsia="zh-CN"/>
              </w:rPr>
              <w:t>2.</w:t>
            </w:r>
            <w:r w:rsidRPr="00382AAF">
              <w:rPr>
                <w:rFonts w:ascii="华文细黑" w:eastAsia="华文细黑" w:hAnsi="华文细黑" w:cs="仿宋_GB2312"/>
                <w:b/>
                <w:bCs/>
                <w:sz w:val="20"/>
                <w:szCs w:val="20"/>
                <w:lang w:eastAsia="zh-CN"/>
              </w:rPr>
              <w:t>价值链分析</w:t>
            </w:r>
          </w:p>
        </w:tc>
        <w:tc>
          <w:tcPr>
            <w:tcW w:w="915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1)</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企业集团内业务流、物流和资金流，包括商品、劳务或者其他交易标的从设计、开发、生产制造、营销、销售、交货、结算、消费、售后服务、循环利用等各环节及其参与方；</w:t>
            </w:r>
          </w:p>
        </w:tc>
        <w:tc>
          <w:tcPr>
            <w:tcW w:w="952"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4</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6</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2)</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上述各环节参与方最近会计年度的财务报表；</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lang w:eastAsia="zh-CN"/>
              </w:rPr>
            </w:pPr>
            <w:r w:rsidRPr="00382AAF">
              <w:rPr>
                <w:rFonts w:ascii="华文细黑" w:eastAsia="华文细黑" w:hAnsi="华文细黑" w:cs="仿宋_GB2312"/>
                <w:color w:val="000000"/>
                <w:sz w:val="20"/>
                <w:szCs w:val="20"/>
                <w:lang w:eastAsia="zh-CN"/>
              </w:rPr>
              <w:t>待税局要求后配合提供</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color w:val="000000"/>
                <w:sz w:val="20"/>
                <w:szCs w:val="20"/>
                <w:lang w:eastAsia="zh-CN"/>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3)</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地域特殊因素对企业创造价值贡献的计量及其归属；</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6</w:t>
            </w:r>
          </w:p>
        </w:tc>
      </w:tr>
      <w:tr w:rsidR="00152594" w:rsidRPr="00382AAF">
        <w:trPr>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4)</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企业集团利润在全球价值链条中的分配原则和分配结果；</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6</w:t>
            </w:r>
          </w:p>
        </w:tc>
      </w:tr>
      <w:tr w:rsidR="00152594" w:rsidRPr="00382AAF">
        <w:trPr>
          <w:tblCellSpacing w:w="0" w:type="dxa"/>
        </w:trPr>
        <w:tc>
          <w:tcPr>
            <w:tcW w:w="1215" w:type="dxa"/>
            <w:vMerge w:val="restart"/>
            <w:tcBorders>
              <w:left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lang w:eastAsia="zh-CN"/>
              </w:rPr>
            </w:pPr>
            <w:r w:rsidRPr="00382AAF">
              <w:rPr>
                <w:rFonts w:ascii="华文细黑" w:eastAsia="华文细黑" w:hAnsi="华文细黑" w:cs="仿宋_GB2312"/>
                <w:b/>
                <w:bCs/>
                <w:sz w:val="20"/>
                <w:szCs w:val="20"/>
                <w:lang w:eastAsia="zh-CN"/>
              </w:rPr>
              <w:t>（三）关联交易</w:t>
            </w:r>
          </w:p>
          <w:p w:rsidR="00152594" w:rsidRPr="00382AAF" w:rsidRDefault="00382AAF">
            <w:pPr>
              <w:jc w:val="center"/>
              <w:rPr>
                <w:rFonts w:ascii="华文细黑" w:eastAsia="华文细黑" w:hAnsi="华文细黑"/>
                <w:lang w:eastAsia="zh-CN"/>
              </w:rPr>
            </w:pPr>
            <w:r w:rsidRPr="00382AAF">
              <w:rPr>
                <w:rFonts w:ascii="华文细黑" w:eastAsia="华文细黑" w:hAnsi="华文细黑" w:cs="Arial"/>
                <w:b/>
                <w:bCs/>
                <w:sz w:val="20"/>
                <w:szCs w:val="20"/>
                <w:lang w:eastAsia="zh-CN"/>
              </w:rPr>
              <w:t>3.</w:t>
            </w:r>
            <w:r w:rsidRPr="00382AAF">
              <w:rPr>
                <w:rFonts w:ascii="华文细黑" w:eastAsia="华文细黑" w:hAnsi="华文细黑" w:cs="仿宋_GB2312"/>
                <w:b/>
                <w:bCs/>
                <w:sz w:val="20"/>
                <w:szCs w:val="20"/>
                <w:lang w:eastAsia="zh-CN"/>
              </w:rPr>
              <w:t>对外投资</w:t>
            </w:r>
          </w:p>
        </w:tc>
        <w:tc>
          <w:tcPr>
            <w:tcW w:w="915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1)</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对外投资基本信息，包括对外投资项目的投资地区、金额、主营业务及战略规划。</w:t>
            </w:r>
          </w:p>
        </w:tc>
        <w:tc>
          <w:tcPr>
            <w:tcW w:w="952" w:type="dxa"/>
            <w:vMerge w:val="restart"/>
            <w:tcBorders>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2.4</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2)</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对外投资项目概况，包括对外投资项目的股权架构、组织结构，高级管理人员的雇佣方式，项目决策权限的归属。</w:t>
            </w:r>
          </w:p>
        </w:tc>
        <w:tc>
          <w:tcPr>
            <w:tcW w:w="0" w:type="auto"/>
            <w:vMerge/>
            <w:tcBorders>
              <w:right w:val="single" w:sz="6" w:space="0" w:color="000000"/>
            </w:tcBorders>
            <w:vAlign w:val="center"/>
            <w:hideMark/>
          </w:tcPr>
          <w:p w:rsidR="00152594" w:rsidRPr="00382AAF" w:rsidRDefault="00152594">
            <w:pPr>
              <w:rPr>
                <w:rFonts w:ascii="华文细黑" w:eastAsia="华文细黑" w:hAnsi="华文细黑" w:cs="仿宋_GB2312"/>
                <w:color w:val="000000"/>
                <w:sz w:val="20"/>
                <w:szCs w:val="20"/>
                <w:lang w:eastAsia="zh-CN"/>
              </w:rPr>
            </w:pPr>
          </w:p>
        </w:tc>
      </w:tr>
      <w:tr w:rsidR="00152594" w:rsidRPr="00382AAF">
        <w:trPr>
          <w:trHeight w:val="285"/>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color w:val="000000"/>
                <w:sz w:val="20"/>
                <w:szCs w:val="20"/>
                <w:lang w:eastAsia="zh-CN"/>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3)</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对外投资项目数据，包括对外投资项目的营运数据。</w:t>
            </w:r>
          </w:p>
        </w:tc>
        <w:tc>
          <w:tcPr>
            <w:tcW w:w="0" w:type="auto"/>
            <w:vMerge/>
            <w:tcBorders>
              <w:bottom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color w:val="000000"/>
                <w:sz w:val="20"/>
                <w:szCs w:val="20"/>
                <w:lang w:eastAsia="zh-CN"/>
              </w:rPr>
            </w:pPr>
          </w:p>
        </w:tc>
      </w:tr>
      <w:tr w:rsidR="00152594" w:rsidRPr="00382AAF">
        <w:trPr>
          <w:tblCellSpacing w:w="0" w:type="dxa"/>
        </w:trPr>
        <w:tc>
          <w:tcPr>
            <w:tcW w:w="1215" w:type="dxa"/>
            <w:vMerge w:val="restart"/>
            <w:tcBorders>
              <w:left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lang w:eastAsia="zh-CN"/>
              </w:rPr>
            </w:pPr>
            <w:r w:rsidRPr="00382AAF">
              <w:rPr>
                <w:rFonts w:ascii="华文细黑" w:eastAsia="华文细黑" w:hAnsi="华文细黑" w:cs="仿宋_GB2312"/>
                <w:b/>
                <w:bCs/>
                <w:color w:val="000000"/>
                <w:sz w:val="20"/>
                <w:szCs w:val="20"/>
                <w:lang w:eastAsia="zh-CN"/>
              </w:rPr>
              <w:t>（三）关联交易</w:t>
            </w:r>
          </w:p>
          <w:p w:rsidR="00152594" w:rsidRPr="00382AAF" w:rsidRDefault="00382AAF">
            <w:pPr>
              <w:jc w:val="center"/>
              <w:rPr>
                <w:rFonts w:ascii="华文细黑" w:eastAsia="华文细黑" w:hAnsi="华文细黑"/>
                <w:lang w:eastAsia="zh-CN"/>
              </w:rPr>
            </w:pPr>
            <w:r w:rsidRPr="00382AAF">
              <w:rPr>
                <w:rFonts w:ascii="华文细黑" w:eastAsia="华文细黑" w:hAnsi="华文细黑" w:cs="Arial"/>
                <w:b/>
                <w:bCs/>
                <w:color w:val="000000"/>
                <w:sz w:val="20"/>
                <w:szCs w:val="20"/>
                <w:lang w:eastAsia="zh-CN"/>
              </w:rPr>
              <w:t>4.</w:t>
            </w:r>
            <w:r w:rsidRPr="00382AAF">
              <w:rPr>
                <w:rFonts w:ascii="华文细黑" w:eastAsia="华文细黑" w:hAnsi="华文细黑" w:cs="仿宋_GB2312"/>
                <w:b/>
                <w:bCs/>
                <w:color w:val="000000"/>
                <w:sz w:val="20"/>
                <w:szCs w:val="20"/>
                <w:lang w:eastAsia="zh-CN"/>
              </w:rPr>
              <w:t>关联股权转让</w:t>
            </w:r>
          </w:p>
        </w:tc>
        <w:tc>
          <w:tcPr>
            <w:tcW w:w="915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1)</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股权转让概况，包括转让背景、参与方、时间、价格、支付方式，以及影响股权转让的其他因素。</w:t>
            </w:r>
          </w:p>
        </w:tc>
        <w:tc>
          <w:tcPr>
            <w:tcW w:w="952" w:type="dxa"/>
            <w:vMerge w:val="restart"/>
            <w:tcBorders>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2.4</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2)</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股权转让标的的相关信息，包括股权转让标的所在地，出让方获取该股权的时间、方式和成本，股权转让收益等信息。</w:t>
            </w:r>
          </w:p>
        </w:tc>
        <w:tc>
          <w:tcPr>
            <w:tcW w:w="0" w:type="auto"/>
            <w:vMerge/>
            <w:tcBorders>
              <w:right w:val="single" w:sz="6" w:space="0" w:color="000000"/>
            </w:tcBorders>
            <w:vAlign w:val="center"/>
            <w:hideMark/>
          </w:tcPr>
          <w:p w:rsidR="00152594" w:rsidRPr="00382AAF" w:rsidRDefault="00152594">
            <w:pPr>
              <w:rPr>
                <w:rFonts w:ascii="华文细黑" w:eastAsia="华文细黑" w:hAnsi="华文细黑" w:cs="仿宋_GB2312"/>
                <w:sz w:val="20"/>
                <w:szCs w:val="20"/>
                <w:lang w:eastAsia="zh-CN"/>
              </w:rPr>
            </w:pPr>
          </w:p>
        </w:tc>
      </w:tr>
      <w:tr w:rsidR="00152594" w:rsidRPr="00382AAF">
        <w:trPr>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sz w:val="20"/>
                <w:szCs w:val="20"/>
                <w:lang w:eastAsia="zh-CN"/>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3)</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尽职调查报告或者资产评估报告等与股权转让相关的其他信息。</w:t>
            </w:r>
          </w:p>
        </w:tc>
        <w:tc>
          <w:tcPr>
            <w:tcW w:w="0" w:type="auto"/>
            <w:vMerge/>
            <w:tcBorders>
              <w:bottom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color w:val="000000"/>
                <w:sz w:val="20"/>
                <w:szCs w:val="20"/>
                <w:lang w:eastAsia="zh-CN"/>
              </w:rPr>
            </w:pPr>
          </w:p>
        </w:tc>
      </w:tr>
      <w:tr w:rsidR="00152594" w:rsidRPr="00382AAF">
        <w:trPr>
          <w:tblCellSpacing w:w="0" w:type="dxa"/>
        </w:trPr>
        <w:tc>
          <w:tcPr>
            <w:tcW w:w="1215" w:type="dxa"/>
            <w:vMerge w:val="restart"/>
            <w:tcBorders>
              <w:left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lang w:eastAsia="zh-CN"/>
              </w:rPr>
            </w:pPr>
            <w:r w:rsidRPr="00382AAF">
              <w:rPr>
                <w:rFonts w:ascii="华文细黑" w:eastAsia="华文细黑" w:hAnsi="华文细黑" w:cs="仿宋_GB2312"/>
                <w:b/>
                <w:bCs/>
                <w:sz w:val="20"/>
                <w:szCs w:val="20"/>
                <w:lang w:eastAsia="zh-CN"/>
              </w:rPr>
              <w:t>（三）关联交易</w:t>
            </w:r>
          </w:p>
          <w:p w:rsidR="00152594" w:rsidRPr="00382AAF" w:rsidRDefault="00382AAF">
            <w:pPr>
              <w:jc w:val="center"/>
              <w:rPr>
                <w:rFonts w:ascii="华文细黑" w:eastAsia="华文细黑" w:hAnsi="华文细黑"/>
                <w:lang w:eastAsia="zh-CN"/>
              </w:rPr>
            </w:pPr>
            <w:r w:rsidRPr="00382AAF">
              <w:rPr>
                <w:rFonts w:ascii="华文细黑" w:eastAsia="华文细黑" w:hAnsi="华文细黑" w:cs="Arial"/>
                <w:b/>
                <w:bCs/>
                <w:sz w:val="20"/>
                <w:szCs w:val="20"/>
                <w:lang w:eastAsia="zh-CN"/>
              </w:rPr>
              <w:t>5.</w:t>
            </w:r>
            <w:r w:rsidRPr="00382AAF">
              <w:rPr>
                <w:rFonts w:ascii="华文细黑" w:eastAsia="华文细黑" w:hAnsi="华文细黑" w:cs="仿宋_GB2312"/>
                <w:b/>
                <w:bCs/>
                <w:sz w:val="20"/>
                <w:szCs w:val="20"/>
                <w:lang w:eastAsia="zh-CN"/>
              </w:rPr>
              <w:t>关联劳务</w:t>
            </w:r>
          </w:p>
        </w:tc>
        <w:tc>
          <w:tcPr>
            <w:tcW w:w="915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1.</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关联劳务概况，包括劳务提供方和接受方，劳务的具体内容、特性、开展方式、定价原则、支付形式，以及劳务发生后各方受益情况等。</w:t>
            </w:r>
          </w:p>
        </w:tc>
        <w:tc>
          <w:tcPr>
            <w:tcW w:w="952" w:type="dxa"/>
            <w:vMerge w:val="restart"/>
            <w:tcBorders>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仿宋_GB2312"/>
                <w:sz w:val="20"/>
                <w:szCs w:val="20"/>
              </w:rPr>
              <w:t>不适用</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2.</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color w:val="000000"/>
                <w:sz w:val="20"/>
                <w:szCs w:val="20"/>
                <w:lang w:eastAsia="zh-CN"/>
              </w:rPr>
              <w:t>劳务成本费用的归集方法、项目、金额、分配标准、计算过程及结果等。</w:t>
            </w:r>
          </w:p>
        </w:tc>
        <w:tc>
          <w:tcPr>
            <w:tcW w:w="0" w:type="auto"/>
            <w:vMerge/>
            <w:tcBorders>
              <w:right w:val="single" w:sz="6" w:space="0" w:color="000000"/>
            </w:tcBorders>
            <w:vAlign w:val="center"/>
            <w:hideMark/>
          </w:tcPr>
          <w:p w:rsidR="00152594" w:rsidRPr="00382AAF" w:rsidRDefault="00152594">
            <w:pPr>
              <w:rPr>
                <w:rFonts w:ascii="华文细黑" w:eastAsia="华文细黑" w:hAnsi="华文细黑" w:cs="仿宋_GB2312"/>
                <w:color w:val="000000"/>
                <w:sz w:val="20"/>
                <w:szCs w:val="20"/>
                <w:lang w:eastAsia="zh-CN"/>
              </w:rPr>
            </w:pPr>
          </w:p>
        </w:tc>
      </w:tr>
      <w:tr w:rsidR="00152594" w:rsidRPr="00382AAF">
        <w:trPr>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color w:val="000000"/>
                <w:sz w:val="20"/>
                <w:szCs w:val="20"/>
                <w:lang w:eastAsia="zh-CN"/>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600"/>
              <w:rPr>
                <w:rFonts w:ascii="华文细黑" w:eastAsia="华文细黑" w:hAnsi="华文细黑"/>
                <w:lang w:eastAsia="zh-CN"/>
              </w:rPr>
            </w:pPr>
            <w:r w:rsidRPr="00382AAF">
              <w:rPr>
                <w:rFonts w:ascii="华文细黑" w:eastAsia="华文细黑" w:hAnsi="华文细黑" w:cs="Arial"/>
                <w:sz w:val="20"/>
                <w:szCs w:val="20"/>
                <w:lang w:eastAsia="zh-CN"/>
              </w:rPr>
              <w:t>3.</w:t>
            </w:r>
            <w:r w:rsidRPr="00382AAF">
              <w:rPr>
                <w:rFonts w:ascii="华文细黑" w:eastAsia="华文细黑" w:hAnsi="华文细黑"/>
                <w:sz w:val="14"/>
                <w:szCs w:val="14"/>
                <w:lang w:eastAsia="zh-CN"/>
              </w:rPr>
              <w:t xml:space="preserve">            </w:t>
            </w:r>
            <w:r w:rsidRPr="00382AAF">
              <w:rPr>
                <w:rFonts w:ascii="华文细黑" w:eastAsia="华文细黑" w:hAnsi="华文细黑" w:cs="仿宋_GB2312"/>
                <w:sz w:val="20"/>
                <w:szCs w:val="20"/>
                <w:lang w:eastAsia="zh-CN"/>
              </w:rPr>
              <w:t>企业及其所属企业集团与非关联方存在相同或者类似劳务交易的，还应当详细说明关联劳务与非关联劳务在定价原则和交易结果上的异同。</w:t>
            </w:r>
          </w:p>
        </w:tc>
        <w:tc>
          <w:tcPr>
            <w:tcW w:w="0" w:type="auto"/>
            <w:vMerge/>
            <w:tcBorders>
              <w:bottom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sz w:val="20"/>
                <w:szCs w:val="20"/>
                <w:lang w:eastAsia="zh-CN"/>
              </w:rPr>
            </w:pPr>
          </w:p>
        </w:tc>
      </w:tr>
      <w:tr w:rsidR="00152594" w:rsidRPr="00382AAF">
        <w:trPr>
          <w:trHeight w:val="1260"/>
          <w:tblCellSpacing w:w="0" w:type="dxa"/>
        </w:trPr>
        <w:tc>
          <w:tcPr>
            <w:tcW w:w="1215" w:type="dxa"/>
            <w:tcBorders>
              <w:left w:val="single" w:sz="6" w:space="0" w:color="000000"/>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lang w:eastAsia="zh-CN"/>
              </w:rPr>
            </w:pPr>
            <w:r w:rsidRPr="00382AAF">
              <w:rPr>
                <w:rFonts w:ascii="华文细黑" w:eastAsia="华文细黑" w:hAnsi="华文细黑" w:cs="仿宋_GB2312"/>
                <w:b/>
                <w:bCs/>
                <w:color w:val="000000"/>
                <w:sz w:val="20"/>
                <w:szCs w:val="20"/>
                <w:lang w:eastAsia="zh-CN"/>
              </w:rPr>
              <w:lastRenderedPageBreak/>
              <w:t>（三）关联交易</w:t>
            </w:r>
          </w:p>
          <w:p w:rsidR="00152594" w:rsidRPr="00382AAF" w:rsidRDefault="00382AAF">
            <w:pPr>
              <w:jc w:val="center"/>
              <w:rPr>
                <w:rFonts w:ascii="华文细黑" w:eastAsia="华文细黑" w:hAnsi="华文细黑"/>
                <w:lang w:eastAsia="zh-CN"/>
              </w:rPr>
            </w:pPr>
            <w:r w:rsidRPr="00382AAF">
              <w:rPr>
                <w:rFonts w:ascii="华文细黑" w:eastAsia="华文细黑" w:hAnsi="华文细黑" w:cs="Arial"/>
                <w:b/>
                <w:bCs/>
                <w:color w:val="000000"/>
                <w:sz w:val="20"/>
                <w:szCs w:val="20"/>
                <w:lang w:eastAsia="zh-CN"/>
              </w:rPr>
              <w:t>6.</w:t>
            </w:r>
            <w:r w:rsidRPr="00382AAF">
              <w:rPr>
                <w:rFonts w:ascii="华文细黑" w:eastAsia="华文细黑" w:hAnsi="华文细黑" w:cs="仿宋_GB2312"/>
                <w:b/>
                <w:bCs/>
                <w:color w:val="000000"/>
                <w:sz w:val="20"/>
                <w:szCs w:val="20"/>
                <w:lang w:eastAsia="zh-CN"/>
              </w:rPr>
              <w:t>预约定价安排和作出的其他税收裁定</w:t>
            </w:r>
          </w:p>
        </w:tc>
        <w:tc>
          <w:tcPr>
            <w:tcW w:w="915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rPr>
                <w:rFonts w:ascii="华文细黑" w:eastAsia="华文细黑" w:hAnsi="华文细黑"/>
                <w:lang w:eastAsia="zh-CN"/>
              </w:rPr>
            </w:pPr>
            <w:r w:rsidRPr="00382AAF">
              <w:rPr>
                <w:rFonts w:ascii="华文细黑" w:eastAsia="华文细黑" w:hAnsi="华文细黑" w:cs="仿宋_GB2312"/>
                <w:color w:val="000000"/>
                <w:sz w:val="20"/>
                <w:szCs w:val="20"/>
                <w:lang w:eastAsia="zh-CN"/>
              </w:rPr>
              <w:t>与企业关联交易直接相关的，中国以外其他国家税务主管当局签订的预约定价安排和作出的其他税收裁定</w:t>
            </w:r>
          </w:p>
        </w:tc>
        <w:tc>
          <w:tcPr>
            <w:tcW w:w="952"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4.5</w:t>
            </w:r>
          </w:p>
        </w:tc>
      </w:tr>
      <w:tr w:rsidR="00152594" w:rsidRPr="00382AAF">
        <w:trPr>
          <w:trHeight w:val="720"/>
          <w:tblCellSpacing w:w="0" w:type="dxa"/>
        </w:trPr>
        <w:tc>
          <w:tcPr>
            <w:tcW w:w="1215" w:type="dxa"/>
            <w:vMerge w:val="restart"/>
            <w:tcBorders>
              <w:left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rPr>
            </w:pPr>
            <w:r w:rsidRPr="00382AAF">
              <w:rPr>
                <w:rFonts w:ascii="华文细黑" w:eastAsia="华文细黑" w:hAnsi="华文细黑" w:cs="仿宋_GB2312"/>
                <w:b/>
                <w:bCs/>
                <w:sz w:val="20"/>
                <w:szCs w:val="20"/>
              </w:rPr>
              <w:t>（四）可比性分析</w:t>
            </w:r>
          </w:p>
        </w:tc>
        <w:tc>
          <w:tcPr>
            <w:tcW w:w="915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1.</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可比性分析考虑的因素，包括交易资产或者劳务特性，交易各方功能、风险和资产，合同条款，经济环境，经营策略等。</w:t>
            </w:r>
          </w:p>
        </w:tc>
        <w:tc>
          <w:tcPr>
            <w:tcW w:w="952"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7</w:t>
            </w:r>
          </w:p>
        </w:tc>
      </w:tr>
      <w:tr w:rsidR="00152594" w:rsidRPr="00382AAF">
        <w:trPr>
          <w:trHeight w:val="495"/>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2.</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可比企业执行的功能、承担的风险以及使用的资产等相关信息。</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5</w:t>
            </w:r>
          </w:p>
          <w:p w:rsidR="00152594" w:rsidRPr="00382AAF" w:rsidRDefault="00382AAF">
            <w:pPr>
              <w:spacing w:before="60" w:after="60"/>
              <w:rPr>
                <w:rFonts w:ascii="华文细黑" w:eastAsia="华文细黑" w:hAnsi="华文细黑"/>
              </w:rPr>
            </w:pPr>
            <w:r w:rsidRPr="00382AAF">
              <w:rPr>
                <w:rFonts w:ascii="华文细黑" w:eastAsia="华文细黑" w:hAnsi="华文细黑" w:cs="仿宋_GB2312"/>
                <w:color w:val="000000"/>
                <w:sz w:val="20"/>
                <w:szCs w:val="20"/>
              </w:rPr>
              <w:t>附件</w:t>
            </w:r>
            <w:r w:rsidRPr="00382AAF">
              <w:rPr>
                <w:rFonts w:ascii="华文细黑" w:eastAsia="华文细黑" w:hAnsi="华文细黑" w:cs="Arial"/>
                <w:color w:val="000000"/>
                <w:sz w:val="20"/>
                <w:szCs w:val="20"/>
              </w:rPr>
              <w:t>3</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3.</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可比对象搜索方法、信息来源、选择条件及理由。</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7.5</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4.</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所选取的内部或者外部可比非受控交易信息和可比企业的财务信息。</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仿宋_GB2312"/>
                <w:color w:val="000000"/>
                <w:sz w:val="20"/>
                <w:szCs w:val="20"/>
              </w:rPr>
              <w:t>附件</w:t>
            </w:r>
            <w:r w:rsidRPr="00382AAF">
              <w:rPr>
                <w:rFonts w:ascii="华文细黑" w:eastAsia="华文细黑" w:hAnsi="华文细黑" w:cs="Arial"/>
                <w:color w:val="000000"/>
                <w:sz w:val="20"/>
                <w:szCs w:val="20"/>
              </w:rPr>
              <w:t>4</w:t>
            </w:r>
          </w:p>
        </w:tc>
      </w:tr>
      <w:tr w:rsidR="00152594" w:rsidRPr="00382AAF">
        <w:trPr>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5.</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可比数据的差异调整及理由。</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7.5</w:t>
            </w:r>
          </w:p>
        </w:tc>
      </w:tr>
      <w:tr w:rsidR="00152594" w:rsidRPr="00382AAF">
        <w:trPr>
          <w:tblCellSpacing w:w="0" w:type="dxa"/>
        </w:trPr>
        <w:tc>
          <w:tcPr>
            <w:tcW w:w="1215" w:type="dxa"/>
            <w:vMerge w:val="restart"/>
            <w:tcBorders>
              <w:left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lang w:eastAsia="zh-CN"/>
              </w:rPr>
            </w:pPr>
            <w:r w:rsidRPr="00382AAF">
              <w:rPr>
                <w:rFonts w:ascii="华文细黑" w:eastAsia="华文细黑" w:hAnsi="华文细黑" w:cs="仿宋_GB2312"/>
                <w:b/>
                <w:bCs/>
                <w:color w:val="000000"/>
                <w:sz w:val="20"/>
                <w:szCs w:val="20"/>
                <w:lang w:eastAsia="zh-CN"/>
              </w:rPr>
              <w:t>（五）转让定价方法的选择和适用</w:t>
            </w:r>
          </w:p>
        </w:tc>
        <w:tc>
          <w:tcPr>
            <w:tcW w:w="915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1.</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被测试方的选择及理由。</w:t>
            </w:r>
          </w:p>
        </w:tc>
        <w:tc>
          <w:tcPr>
            <w:tcW w:w="952"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7</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2.</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转让定价方法的选用及理由，无论选择何种转让定价方法，均须说明企业对集团整体利润或者剩余利润所做的贡献。</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6</w:t>
            </w:r>
          </w:p>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7</w:t>
            </w:r>
          </w:p>
          <w:p w:rsidR="00152594" w:rsidRPr="00382AAF" w:rsidRDefault="00382AAF">
            <w:pPr>
              <w:spacing w:before="60" w:after="60"/>
              <w:rPr>
                <w:rFonts w:ascii="华文细黑" w:eastAsia="华文细黑" w:hAnsi="华文细黑"/>
              </w:rPr>
            </w:pPr>
            <w:r w:rsidRPr="00382AAF">
              <w:rPr>
                <w:rFonts w:ascii="华文细黑" w:eastAsia="华文细黑" w:hAnsi="华文细黑" w:cs="仿宋_GB2312"/>
                <w:sz w:val="20"/>
                <w:szCs w:val="20"/>
              </w:rPr>
              <w:t>附件</w:t>
            </w:r>
            <w:r w:rsidRPr="00382AAF">
              <w:rPr>
                <w:rFonts w:ascii="华文细黑" w:eastAsia="华文细黑" w:hAnsi="华文细黑" w:cs="Arial"/>
                <w:sz w:val="20"/>
                <w:szCs w:val="20"/>
              </w:rPr>
              <w:t>1</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3.</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确定可比非关联交易价格或者利润的过程中所做的假设和判断。</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color w:val="000000"/>
                <w:sz w:val="20"/>
                <w:szCs w:val="20"/>
              </w:rPr>
              <w:t>7.5</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4.</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运用合理的转让定价方法和可比性分析结果，确定可比非关联交易价格或者利润。</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7.5</w:t>
            </w:r>
          </w:p>
        </w:tc>
      </w:tr>
      <w:tr w:rsidR="00152594" w:rsidRPr="00382AAF">
        <w:trPr>
          <w:tblCellSpacing w:w="0" w:type="dxa"/>
        </w:trPr>
        <w:tc>
          <w:tcPr>
            <w:tcW w:w="0" w:type="auto"/>
            <w:vMerge/>
            <w:tcBorders>
              <w:left w:val="single" w:sz="6" w:space="0" w:color="000000"/>
              <w:right w:val="single" w:sz="6" w:space="0" w:color="000000"/>
            </w:tcBorders>
            <w:vAlign w:val="center"/>
            <w:hideMark/>
          </w:tcPr>
          <w:p w:rsidR="00152594" w:rsidRPr="00382AAF" w:rsidRDefault="00152594">
            <w:pPr>
              <w:rPr>
                <w:rFonts w:ascii="华文细黑" w:eastAsia="华文细黑" w:hAnsi="华文细黑" w:cs="Arial"/>
                <w:sz w:val="20"/>
                <w:szCs w:val="20"/>
              </w:rPr>
            </w:pPr>
          </w:p>
        </w:tc>
        <w:tc>
          <w:tcPr>
            <w:tcW w:w="630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5.</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其他支持所选用转让定价方法的资料。</w:t>
            </w:r>
          </w:p>
        </w:tc>
        <w:tc>
          <w:tcPr>
            <w:tcW w:w="3818" w:type="dxa"/>
            <w:tcBorders>
              <w:bottom w:val="single" w:sz="6" w:space="0" w:color="000000"/>
              <w:right w:val="single" w:sz="6" w:space="0" w:color="000000"/>
            </w:tcBorders>
            <w:shd w:val="clear" w:color="auto" w:fill="DDEBF7"/>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仿宋_GB2312"/>
                <w:color w:val="000000"/>
                <w:sz w:val="20"/>
                <w:szCs w:val="20"/>
              </w:rPr>
              <w:t>不适用</w:t>
            </w:r>
          </w:p>
        </w:tc>
      </w:tr>
      <w:tr w:rsidR="00152594" w:rsidRPr="00382AAF">
        <w:trPr>
          <w:tblCellSpacing w:w="0" w:type="dxa"/>
        </w:trPr>
        <w:tc>
          <w:tcPr>
            <w:tcW w:w="0" w:type="auto"/>
            <w:vMerge/>
            <w:tcBorders>
              <w:left w:val="single" w:sz="6" w:space="0" w:color="000000"/>
              <w:bottom w:val="single" w:sz="6" w:space="0" w:color="000000"/>
              <w:right w:val="single" w:sz="6" w:space="0" w:color="000000"/>
            </w:tcBorders>
            <w:vAlign w:val="center"/>
            <w:hideMark/>
          </w:tcPr>
          <w:p w:rsidR="00152594" w:rsidRPr="00382AAF" w:rsidRDefault="00152594">
            <w:pPr>
              <w:rPr>
                <w:rFonts w:ascii="华文细黑" w:eastAsia="华文细黑" w:hAnsi="华文细黑" w:cs="仿宋_GB2312"/>
                <w:color w:val="000000"/>
                <w:sz w:val="20"/>
                <w:szCs w:val="20"/>
              </w:rPr>
            </w:pPr>
          </w:p>
        </w:tc>
        <w:tc>
          <w:tcPr>
            <w:tcW w:w="630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ind w:left="495"/>
              <w:rPr>
                <w:rFonts w:ascii="华文细黑" w:eastAsia="华文细黑" w:hAnsi="华文细黑"/>
                <w:lang w:eastAsia="zh-CN"/>
              </w:rPr>
            </w:pPr>
            <w:r w:rsidRPr="00382AAF">
              <w:rPr>
                <w:rFonts w:ascii="华文细黑" w:eastAsia="华文细黑" w:hAnsi="华文细黑" w:cs="Arial"/>
                <w:color w:val="000000"/>
                <w:sz w:val="20"/>
                <w:szCs w:val="20"/>
                <w:lang w:eastAsia="zh-CN"/>
              </w:rPr>
              <w:t>6.</w:t>
            </w:r>
            <w:r w:rsidRPr="00382AAF">
              <w:rPr>
                <w:rFonts w:ascii="华文细黑" w:eastAsia="华文细黑" w:hAnsi="华文细黑"/>
                <w:color w:val="000000"/>
                <w:sz w:val="14"/>
                <w:szCs w:val="14"/>
                <w:lang w:eastAsia="zh-CN"/>
              </w:rPr>
              <w:t xml:space="preserve">     </w:t>
            </w:r>
            <w:r w:rsidRPr="00382AAF">
              <w:rPr>
                <w:rFonts w:ascii="华文细黑" w:eastAsia="华文细黑" w:hAnsi="华文细黑" w:cs="仿宋_GB2312"/>
                <w:color w:val="000000"/>
                <w:sz w:val="20"/>
                <w:szCs w:val="20"/>
                <w:lang w:eastAsia="zh-CN"/>
              </w:rPr>
              <w:t>关联交易定价是否符合独立交易原则的分析及结论。</w:t>
            </w:r>
          </w:p>
        </w:tc>
        <w:tc>
          <w:tcPr>
            <w:tcW w:w="3818" w:type="dxa"/>
            <w:tcBorders>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spacing w:before="60" w:after="60"/>
              <w:rPr>
                <w:rFonts w:ascii="华文细黑" w:eastAsia="华文细黑" w:hAnsi="华文细黑"/>
              </w:rPr>
            </w:pPr>
            <w:r w:rsidRPr="00382AAF">
              <w:rPr>
                <w:rFonts w:ascii="华文细黑" w:eastAsia="华文细黑" w:hAnsi="华文细黑" w:cs="Arial"/>
                <w:sz w:val="20"/>
                <w:szCs w:val="20"/>
              </w:rPr>
              <w:t>8</w:t>
            </w:r>
          </w:p>
        </w:tc>
      </w:tr>
    </w:tbl>
    <w:p w:rsidR="00152594" w:rsidRPr="00382AAF" w:rsidRDefault="00152594">
      <w:pPr>
        <w:rPr>
          <w:rFonts w:ascii="华文细黑" w:eastAsia="华文细黑" w:hAnsi="华文细黑"/>
        </w:rPr>
        <w:sectPr w:rsidR="00152594" w:rsidRPr="00382AAF">
          <w:pgSz w:w="12240" w:h="15840"/>
          <w:pgMar w:top="1440" w:right="1800" w:bottom="1440" w:left="1800" w:header="720" w:footer="720" w:gutter="0"/>
          <w:cols w:space="720"/>
        </w:sectPr>
      </w:pPr>
    </w:p>
    <w:p w:rsidR="00152594" w:rsidRPr="00382AAF" w:rsidRDefault="00152594">
      <w:pPr>
        <w:pStyle w:val="BodyText"/>
        <w:rPr>
          <w:rFonts w:ascii="华文细黑" w:eastAsia="华文细黑" w:hAnsi="华文细黑"/>
        </w:rPr>
      </w:pPr>
    </w:p>
    <w:p w:rsidR="00152594" w:rsidRPr="00382AAF" w:rsidRDefault="00382AAF">
      <w:pPr>
        <w:pStyle w:val="Heading1"/>
        <w:jc w:val="center"/>
        <w:rPr>
          <w:rFonts w:ascii="华文细黑" w:eastAsia="华文细黑" w:hAnsi="华文细黑"/>
        </w:rPr>
      </w:pPr>
      <w:bookmarkStart w:id="4" w:name="_Toc256002755"/>
      <w:r w:rsidRPr="00382AAF">
        <w:rPr>
          <w:rFonts w:ascii="华文细黑" w:eastAsia="华文细黑" w:hAnsi="华文细黑" w:cs="微软雅黑"/>
          <w:sz w:val="40"/>
        </w:rPr>
        <w:t>简称或术语</w:t>
      </w:r>
      <w:bookmarkEnd w:id="4"/>
    </w:p>
    <w:tbl>
      <w:tblPr>
        <w:tblW w:w="0" w:type="auto"/>
        <w:tblCellSpacing w:w="0" w:type="dxa"/>
        <w:tblInd w:w="112" w:type="dxa"/>
        <w:tblCellMar>
          <w:left w:w="0" w:type="dxa"/>
          <w:right w:w="0" w:type="dxa"/>
        </w:tblCellMar>
        <w:tblLook w:val="04A0" w:firstRow="1" w:lastRow="0" w:firstColumn="1" w:lastColumn="0" w:noHBand="0" w:noVBand="1"/>
      </w:tblPr>
      <w:tblGrid>
        <w:gridCol w:w="2893"/>
        <w:gridCol w:w="5875"/>
      </w:tblGrid>
      <w:tr w:rsidR="00152594" w:rsidRPr="00382AAF">
        <w:trPr>
          <w:trHeight w:val="555"/>
          <w:tblHeader/>
          <w:tblCellSpacing w:w="0" w:type="dxa"/>
        </w:trPr>
        <w:tc>
          <w:tcPr>
            <w:tcW w:w="3480" w:type="dxa"/>
            <w:tcBorders>
              <w:top w:val="single" w:sz="6" w:space="0" w:color="000000"/>
              <w:left w:val="single" w:sz="6" w:space="0" w:color="000000"/>
              <w:bottom w:val="single" w:sz="6" w:space="0" w:color="000000"/>
              <w:right w:val="single" w:sz="6" w:space="0" w:color="000000"/>
            </w:tcBorders>
            <w:shd w:val="clear" w:color="auto" w:fill="002060"/>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rPr>
            </w:pPr>
            <w:r w:rsidRPr="00382AAF">
              <w:rPr>
                <w:rFonts w:ascii="华文细黑" w:eastAsia="华文细黑" w:hAnsi="华文细黑" w:cs="仿宋_GB2312"/>
                <w:b/>
                <w:bCs/>
                <w:color w:val="FFFFFF"/>
                <w:sz w:val="23"/>
                <w:szCs w:val="23"/>
              </w:rPr>
              <w:t>缩略语</w:t>
            </w:r>
          </w:p>
        </w:tc>
        <w:tc>
          <w:tcPr>
            <w:tcW w:w="7665" w:type="dxa"/>
            <w:tcBorders>
              <w:top w:val="single" w:sz="6" w:space="0" w:color="000000"/>
              <w:left w:val="single" w:sz="6" w:space="0" w:color="000000"/>
              <w:bottom w:val="single" w:sz="6" w:space="0" w:color="000000"/>
              <w:right w:val="single" w:sz="6" w:space="0" w:color="000000"/>
            </w:tcBorders>
            <w:shd w:val="clear" w:color="auto" w:fill="002060"/>
            <w:tcMar>
              <w:top w:w="0" w:type="dxa"/>
              <w:left w:w="105" w:type="dxa"/>
              <w:bottom w:w="0" w:type="dxa"/>
              <w:right w:w="105" w:type="dxa"/>
            </w:tcMar>
            <w:vAlign w:val="center"/>
            <w:hideMark/>
          </w:tcPr>
          <w:p w:rsidR="00152594" w:rsidRPr="00382AAF" w:rsidRDefault="00382AAF">
            <w:pPr>
              <w:jc w:val="center"/>
              <w:rPr>
                <w:rFonts w:ascii="华文细黑" w:eastAsia="华文细黑" w:hAnsi="华文细黑"/>
              </w:rPr>
            </w:pPr>
            <w:r w:rsidRPr="00382AAF">
              <w:rPr>
                <w:rFonts w:ascii="华文细黑" w:eastAsia="华文细黑" w:hAnsi="华文细黑" w:cs="仿宋_GB2312"/>
                <w:b/>
                <w:bCs/>
                <w:color w:val="FFFFFF"/>
                <w:sz w:val="23"/>
                <w:szCs w:val="23"/>
              </w:rPr>
              <w:t>全称</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仿宋_GB2312"/>
                <w:sz w:val="23"/>
                <w:szCs w:val="23"/>
              </w:rPr>
              <w:t>立信税务或我们</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lang w:eastAsia="zh-CN"/>
              </w:rPr>
            </w:pPr>
            <w:r w:rsidRPr="00382AAF">
              <w:rPr>
                <w:rFonts w:ascii="华文细黑" w:eastAsia="华文细黑" w:hAnsi="华文细黑" w:cs="仿宋_GB2312"/>
                <w:sz w:val="23"/>
                <w:szCs w:val="23"/>
                <w:lang w:eastAsia="zh-CN"/>
              </w:rPr>
              <w:t>立信税务师事务所有限公司</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仿宋_GB2312"/>
                <w:sz w:val="23"/>
                <w:szCs w:val="23"/>
              </w:rPr>
              <w:t>斯必克流体或贵公司</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lang w:eastAsia="zh-CN"/>
              </w:rPr>
              <w:t>斯必克（上海）流体技术有限公司</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t>Markwins</w:t>
            </w:r>
            <w:r w:rsidRPr="00382AAF">
              <w:rPr>
                <w:rFonts w:ascii="华文细黑" w:eastAsia="华文细黑" w:hAnsi="华文细黑" w:cs="仿宋_GB2312"/>
                <w:sz w:val="23"/>
                <w:szCs w:val="23"/>
              </w:rPr>
              <w:t>集团</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rPr>
            </w:pPr>
            <w:r w:rsidRPr="00382AAF">
              <w:rPr>
                <w:rFonts w:ascii="华文细黑" w:eastAsia="华文细黑" w:hAnsi="华文细黑" w:cs="Arial"/>
                <w:sz w:val="23"/>
                <w:szCs w:val="23"/>
              </w:rPr>
              <w:t>Markwins Beauty Brands Inc.</w:t>
            </w:r>
            <w:r w:rsidRPr="00382AAF">
              <w:rPr>
                <w:rFonts w:ascii="华文细黑" w:eastAsia="华文细黑" w:hAnsi="华文细黑" w:cs="仿宋_GB2312"/>
                <w:sz w:val="23"/>
                <w:szCs w:val="23"/>
              </w:rPr>
              <w:t>及其关联公司</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t>Markwins US</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rPr>
            </w:pPr>
            <w:r w:rsidRPr="00382AAF">
              <w:rPr>
                <w:rFonts w:ascii="华文细黑" w:eastAsia="华文细黑" w:hAnsi="华文细黑" w:cs="Arial"/>
                <w:sz w:val="23"/>
                <w:szCs w:val="23"/>
              </w:rPr>
              <w:t>Markwins Beauty Brands, Inc.</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t>Markwins HK</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rPr>
            </w:pPr>
            <w:r w:rsidRPr="00382AAF">
              <w:rPr>
                <w:rFonts w:ascii="华文细黑" w:eastAsia="华文细黑" w:hAnsi="华文细黑" w:cs="Arial"/>
                <w:sz w:val="23"/>
                <w:szCs w:val="23"/>
              </w:rPr>
              <w:t>Markwins International Corporation Limited</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t>Markwins Pro Art</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rPr>
            </w:pPr>
            <w:r w:rsidRPr="00382AAF">
              <w:rPr>
                <w:rFonts w:ascii="华文细黑" w:eastAsia="华文细黑" w:hAnsi="华文细黑" w:cs="Arial"/>
                <w:sz w:val="23"/>
                <w:szCs w:val="23"/>
              </w:rPr>
              <w:t>Pro Art Cosmetics Limited</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仿宋_GB2312"/>
                <w:sz w:val="23"/>
                <w:szCs w:val="23"/>
              </w:rPr>
              <w:t>评估期间或</w:t>
            </w:r>
            <w:r w:rsidRPr="00382AAF">
              <w:rPr>
                <w:rFonts w:ascii="华文细黑" w:eastAsia="华文细黑" w:hAnsi="华文细黑" w:cs="Arial"/>
                <w:sz w:val="23"/>
                <w:szCs w:val="23"/>
              </w:rPr>
              <w:t>24</w:t>
            </w:r>
            <w:r w:rsidRPr="00382AAF">
              <w:rPr>
                <w:rFonts w:ascii="华文细黑" w:eastAsia="华文细黑" w:hAnsi="华文细黑" w:cs="仿宋_GB2312"/>
                <w:sz w:val="23"/>
                <w:szCs w:val="23"/>
              </w:rPr>
              <w:t>年度</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rPr>
            </w:pPr>
            <w:r w:rsidRPr="00382AAF">
              <w:rPr>
                <w:rFonts w:ascii="华文细黑" w:eastAsia="华文细黑" w:hAnsi="华文细黑" w:cs="Arial"/>
                <w:sz w:val="23"/>
                <w:szCs w:val="23"/>
              </w:rPr>
              <w:t>24</w:t>
            </w:r>
            <w:r w:rsidRPr="00382AAF">
              <w:rPr>
                <w:rFonts w:ascii="华文细黑" w:eastAsia="华文细黑" w:hAnsi="华文细黑" w:cs="仿宋_GB2312"/>
                <w:sz w:val="23"/>
                <w:szCs w:val="23"/>
              </w:rPr>
              <w:t>年</w:t>
            </w:r>
            <w:r w:rsidRPr="00382AAF">
              <w:rPr>
                <w:rFonts w:ascii="华文细黑" w:eastAsia="华文细黑" w:hAnsi="华文细黑" w:cs="Arial"/>
                <w:sz w:val="23"/>
                <w:szCs w:val="23"/>
              </w:rPr>
              <w:t>1</w:t>
            </w:r>
            <w:r w:rsidRPr="00382AAF">
              <w:rPr>
                <w:rFonts w:ascii="华文细黑" w:eastAsia="华文细黑" w:hAnsi="华文细黑" w:cs="仿宋_GB2312"/>
                <w:sz w:val="23"/>
                <w:szCs w:val="23"/>
              </w:rPr>
              <w:t>月</w:t>
            </w:r>
            <w:r w:rsidRPr="00382AAF">
              <w:rPr>
                <w:rFonts w:ascii="华文细黑" w:eastAsia="华文细黑" w:hAnsi="华文细黑" w:cs="Arial"/>
                <w:sz w:val="23"/>
                <w:szCs w:val="23"/>
              </w:rPr>
              <w:t>1</w:t>
            </w:r>
            <w:r w:rsidRPr="00382AAF">
              <w:rPr>
                <w:rFonts w:ascii="华文细黑" w:eastAsia="华文细黑" w:hAnsi="华文细黑" w:cs="仿宋_GB2312"/>
                <w:sz w:val="23"/>
                <w:szCs w:val="23"/>
              </w:rPr>
              <w:t>日至</w:t>
            </w:r>
            <w:r w:rsidRPr="00382AAF">
              <w:rPr>
                <w:rFonts w:ascii="华文细黑" w:eastAsia="华文细黑" w:hAnsi="华文细黑" w:cs="Arial"/>
                <w:sz w:val="23"/>
                <w:szCs w:val="23"/>
              </w:rPr>
              <w:t>24</w:t>
            </w:r>
            <w:r w:rsidRPr="00382AAF">
              <w:rPr>
                <w:rFonts w:ascii="华文细黑" w:eastAsia="华文细黑" w:hAnsi="华文细黑" w:cs="仿宋_GB2312"/>
                <w:sz w:val="23"/>
                <w:szCs w:val="23"/>
              </w:rPr>
              <w:t>年</w:t>
            </w:r>
            <w:r w:rsidRPr="00382AAF">
              <w:rPr>
                <w:rFonts w:ascii="华文细黑" w:eastAsia="华文细黑" w:hAnsi="华文细黑" w:cs="Arial"/>
                <w:sz w:val="23"/>
                <w:szCs w:val="23"/>
              </w:rPr>
              <w:t>12</w:t>
            </w:r>
            <w:r w:rsidRPr="00382AAF">
              <w:rPr>
                <w:rFonts w:ascii="华文细黑" w:eastAsia="华文细黑" w:hAnsi="华文细黑" w:cs="仿宋_GB2312"/>
                <w:sz w:val="23"/>
                <w:szCs w:val="23"/>
              </w:rPr>
              <w:t>月</w:t>
            </w:r>
            <w:r w:rsidRPr="00382AAF">
              <w:rPr>
                <w:rFonts w:ascii="华文细黑" w:eastAsia="华文细黑" w:hAnsi="华文细黑" w:cs="Arial"/>
                <w:sz w:val="23"/>
                <w:szCs w:val="23"/>
              </w:rPr>
              <w:t>31</w:t>
            </w:r>
            <w:r w:rsidRPr="00382AAF">
              <w:rPr>
                <w:rFonts w:ascii="华文细黑" w:eastAsia="华文细黑" w:hAnsi="华文细黑" w:cs="仿宋_GB2312"/>
                <w:sz w:val="23"/>
                <w:szCs w:val="23"/>
              </w:rPr>
              <w:t>日</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仿宋_GB2312"/>
                <w:sz w:val="23"/>
                <w:szCs w:val="23"/>
              </w:rPr>
              <w:t>国税总局</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sz w:val="23"/>
                <w:szCs w:val="23"/>
                <w:lang w:eastAsia="zh-CN"/>
              </w:rPr>
              <w:t>中华人民共和国国家税务总局</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仿宋_GB2312"/>
                <w:sz w:val="23"/>
                <w:szCs w:val="23"/>
              </w:rPr>
              <w:t>企业所得税法</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sz w:val="23"/>
                <w:szCs w:val="23"/>
                <w:lang w:eastAsia="zh-CN"/>
              </w:rPr>
              <w:t>《中华人民共和国企业所得税法》及其实施条例</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仿宋_GB2312"/>
                <w:sz w:val="23"/>
                <w:szCs w:val="23"/>
              </w:rPr>
              <w:t>税收征管法</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sz w:val="23"/>
                <w:szCs w:val="23"/>
                <w:lang w:eastAsia="zh-CN"/>
              </w:rPr>
              <w:t>《中华人民共和国税收征收管理法》及其实施细则</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t>[2016]42</w:t>
            </w:r>
            <w:r w:rsidRPr="00382AAF">
              <w:rPr>
                <w:rFonts w:ascii="华文细黑" w:eastAsia="华文细黑" w:hAnsi="华文细黑" w:cs="仿宋_GB2312"/>
                <w:sz w:val="23"/>
                <w:szCs w:val="23"/>
              </w:rPr>
              <w:t>号公告</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sz w:val="23"/>
                <w:szCs w:val="23"/>
                <w:lang w:eastAsia="zh-CN"/>
              </w:rPr>
              <w:t>国家税务总局公告</w:t>
            </w:r>
            <w:r w:rsidRPr="00382AAF">
              <w:rPr>
                <w:rFonts w:ascii="华文细黑" w:eastAsia="华文细黑" w:hAnsi="华文细黑" w:cs="Arial"/>
                <w:sz w:val="23"/>
                <w:szCs w:val="23"/>
                <w:lang w:eastAsia="zh-CN"/>
              </w:rPr>
              <w:t>2016</w:t>
            </w:r>
            <w:r w:rsidRPr="00382AAF">
              <w:rPr>
                <w:rFonts w:ascii="华文细黑" w:eastAsia="华文细黑" w:hAnsi="华文细黑" w:cs="仿宋_GB2312"/>
                <w:sz w:val="23"/>
                <w:szCs w:val="23"/>
                <w:lang w:eastAsia="zh-CN"/>
              </w:rPr>
              <w:t>年第</w:t>
            </w:r>
            <w:r w:rsidRPr="00382AAF">
              <w:rPr>
                <w:rFonts w:ascii="华文细黑" w:eastAsia="华文细黑" w:hAnsi="华文细黑" w:cs="Arial"/>
                <w:sz w:val="23"/>
                <w:szCs w:val="23"/>
                <w:lang w:eastAsia="zh-CN"/>
              </w:rPr>
              <w:t>42</w:t>
            </w:r>
            <w:r w:rsidRPr="00382AAF">
              <w:rPr>
                <w:rFonts w:ascii="华文细黑" w:eastAsia="华文细黑" w:hAnsi="华文细黑" w:cs="仿宋_GB2312"/>
                <w:sz w:val="23"/>
                <w:szCs w:val="23"/>
                <w:lang w:eastAsia="zh-CN"/>
              </w:rPr>
              <w:t>号《关于完善关联申报和同期资料管理有关事项的公告》</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t>[2017]6</w:t>
            </w:r>
            <w:r w:rsidRPr="00382AAF">
              <w:rPr>
                <w:rFonts w:ascii="华文细黑" w:eastAsia="华文细黑" w:hAnsi="华文细黑" w:cs="仿宋_GB2312"/>
                <w:sz w:val="23"/>
                <w:szCs w:val="23"/>
              </w:rPr>
              <w:t>号公告</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sz w:val="23"/>
                <w:szCs w:val="23"/>
                <w:lang w:eastAsia="zh-CN"/>
              </w:rPr>
              <w:t>国家税务总局公告</w:t>
            </w:r>
            <w:r w:rsidRPr="00382AAF">
              <w:rPr>
                <w:rFonts w:ascii="华文细黑" w:eastAsia="华文细黑" w:hAnsi="华文细黑" w:cs="Arial"/>
                <w:sz w:val="23"/>
                <w:szCs w:val="23"/>
                <w:lang w:eastAsia="zh-CN"/>
              </w:rPr>
              <w:t>2017</w:t>
            </w:r>
            <w:r w:rsidRPr="00382AAF">
              <w:rPr>
                <w:rFonts w:ascii="华文细黑" w:eastAsia="华文细黑" w:hAnsi="华文细黑" w:cs="仿宋_GB2312"/>
                <w:sz w:val="23"/>
                <w:szCs w:val="23"/>
                <w:lang w:eastAsia="zh-CN"/>
              </w:rPr>
              <w:t>年第</w:t>
            </w:r>
            <w:r w:rsidRPr="00382AAF">
              <w:rPr>
                <w:rFonts w:ascii="华文细黑" w:eastAsia="华文细黑" w:hAnsi="华文细黑" w:cs="Arial"/>
                <w:sz w:val="23"/>
                <w:szCs w:val="23"/>
                <w:lang w:eastAsia="zh-CN"/>
              </w:rPr>
              <w:t>6</w:t>
            </w:r>
            <w:r w:rsidRPr="00382AAF">
              <w:rPr>
                <w:rFonts w:ascii="华文细黑" w:eastAsia="华文细黑" w:hAnsi="华文细黑" w:cs="仿宋_GB2312"/>
                <w:sz w:val="23"/>
                <w:szCs w:val="23"/>
                <w:lang w:eastAsia="zh-CN"/>
              </w:rPr>
              <w:t>号关于发布《特别纳税调查调整及相互协商程序管理办法》的公告</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t>OECD</w:t>
            </w:r>
            <w:r w:rsidRPr="00382AAF">
              <w:rPr>
                <w:rFonts w:ascii="华文细黑" w:eastAsia="华文细黑" w:hAnsi="华文细黑" w:cs="仿宋_GB2312"/>
                <w:sz w:val="23"/>
                <w:szCs w:val="23"/>
              </w:rPr>
              <w:t>或经合组织</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rPr>
            </w:pPr>
            <w:r w:rsidRPr="00382AAF">
              <w:rPr>
                <w:rFonts w:ascii="华文细黑" w:eastAsia="华文细黑" w:hAnsi="华文细黑" w:cs="仿宋_GB2312"/>
                <w:sz w:val="23"/>
                <w:szCs w:val="23"/>
              </w:rPr>
              <w:t>经济合作与发展组织</w:t>
            </w:r>
          </w:p>
        </w:tc>
      </w:tr>
      <w:tr w:rsidR="00152594" w:rsidRPr="00382AAF">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t>OECD</w:t>
            </w:r>
            <w:r w:rsidRPr="00382AAF">
              <w:rPr>
                <w:rFonts w:ascii="华文细黑" w:eastAsia="华文细黑" w:hAnsi="华文细黑" w:cs="仿宋_GB2312"/>
                <w:sz w:val="23"/>
                <w:szCs w:val="23"/>
              </w:rPr>
              <w:t>指南</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sz w:val="23"/>
                <w:szCs w:val="23"/>
                <w:lang w:eastAsia="zh-CN"/>
              </w:rPr>
              <w:t>《</w:t>
            </w:r>
            <w:r w:rsidRPr="00382AAF">
              <w:rPr>
                <w:rFonts w:ascii="华文细黑" w:eastAsia="华文细黑" w:hAnsi="华文细黑" w:cs="Arial"/>
                <w:sz w:val="23"/>
                <w:szCs w:val="23"/>
                <w:lang w:eastAsia="zh-CN"/>
              </w:rPr>
              <w:t>OECD</w:t>
            </w:r>
            <w:r w:rsidRPr="00382AAF">
              <w:rPr>
                <w:rFonts w:ascii="华文细黑" w:eastAsia="华文细黑" w:hAnsi="华文细黑" w:cs="仿宋_GB2312"/>
                <w:sz w:val="23"/>
                <w:szCs w:val="23"/>
                <w:lang w:eastAsia="zh-CN"/>
              </w:rPr>
              <w:t>跨国企业与税务机关转让定价指南》</w:t>
            </w:r>
          </w:p>
        </w:tc>
      </w:tr>
      <w:tr w:rsidR="00152594" w:rsidRPr="00382AAF">
        <w:trPr>
          <w:trHeight w:val="1710"/>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lang w:eastAsia="zh-CN"/>
              </w:rPr>
            </w:pPr>
            <w:r w:rsidRPr="00382AAF">
              <w:rPr>
                <w:rFonts w:ascii="华文细黑" w:eastAsia="华文细黑" w:hAnsi="华文细黑" w:cs="仿宋_GB2312"/>
                <w:sz w:val="23"/>
                <w:szCs w:val="23"/>
                <w:lang w:eastAsia="zh-CN"/>
              </w:rPr>
              <w:t>中国转让定价法律、法规</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sz w:val="23"/>
                <w:szCs w:val="23"/>
                <w:lang w:eastAsia="zh-CN"/>
              </w:rPr>
              <w:t>《中华人民共和国企业所得税法》及其实施条例第六章</w:t>
            </w:r>
            <w:r w:rsidRPr="00382AAF">
              <w:rPr>
                <w:rFonts w:ascii="华文细黑" w:eastAsia="华文细黑" w:hAnsi="华文细黑" w:cs="Arial"/>
                <w:sz w:val="23"/>
                <w:szCs w:val="23"/>
                <w:lang w:eastAsia="zh-CN"/>
              </w:rPr>
              <w:t>“</w:t>
            </w:r>
            <w:r w:rsidRPr="00382AAF">
              <w:rPr>
                <w:rFonts w:ascii="华文细黑" w:eastAsia="华文细黑" w:hAnsi="华文细黑" w:cs="仿宋_GB2312"/>
                <w:sz w:val="23"/>
                <w:szCs w:val="23"/>
                <w:lang w:eastAsia="zh-CN"/>
              </w:rPr>
              <w:t>特别纳税调整</w:t>
            </w:r>
            <w:r w:rsidRPr="00382AAF">
              <w:rPr>
                <w:rFonts w:ascii="华文细黑" w:eastAsia="华文细黑" w:hAnsi="华文细黑" w:cs="Arial"/>
                <w:sz w:val="23"/>
                <w:szCs w:val="23"/>
                <w:lang w:eastAsia="zh-CN"/>
              </w:rPr>
              <w:t>”</w:t>
            </w:r>
            <w:r w:rsidRPr="00382AAF">
              <w:rPr>
                <w:rFonts w:ascii="华文细黑" w:eastAsia="华文细黑" w:hAnsi="华文细黑" w:cs="仿宋_GB2312"/>
                <w:sz w:val="23"/>
                <w:szCs w:val="23"/>
                <w:lang w:eastAsia="zh-CN"/>
              </w:rPr>
              <w:t>，《中华人民共和国税收征收管理法》第三十六条，国税总局颁布</w:t>
            </w:r>
            <w:r w:rsidRPr="00382AAF">
              <w:rPr>
                <w:rFonts w:ascii="华文细黑" w:eastAsia="华文细黑" w:hAnsi="华文细黑" w:cs="Arial"/>
                <w:sz w:val="23"/>
                <w:szCs w:val="23"/>
                <w:lang w:eastAsia="zh-CN"/>
              </w:rPr>
              <w:t>[2016]42</w:t>
            </w:r>
            <w:r w:rsidRPr="00382AAF">
              <w:rPr>
                <w:rFonts w:ascii="华文细黑" w:eastAsia="华文细黑" w:hAnsi="华文细黑" w:cs="仿宋_GB2312"/>
                <w:sz w:val="23"/>
                <w:szCs w:val="23"/>
                <w:lang w:eastAsia="zh-CN"/>
              </w:rPr>
              <w:t>号公告、</w:t>
            </w:r>
            <w:r w:rsidRPr="00382AAF">
              <w:rPr>
                <w:rFonts w:ascii="华文细黑" w:eastAsia="华文细黑" w:hAnsi="华文细黑" w:cs="Arial"/>
                <w:sz w:val="23"/>
                <w:szCs w:val="23"/>
                <w:lang w:eastAsia="zh-CN"/>
              </w:rPr>
              <w:t>[2017]6</w:t>
            </w:r>
            <w:r w:rsidRPr="00382AAF">
              <w:rPr>
                <w:rFonts w:ascii="华文细黑" w:eastAsia="华文细黑" w:hAnsi="华文细黑" w:cs="仿宋_GB2312"/>
                <w:sz w:val="23"/>
                <w:szCs w:val="23"/>
                <w:lang w:eastAsia="zh-CN"/>
              </w:rPr>
              <w:t>号公告及其他有关转让定价管理的规章和规范性文件</w:t>
            </w:r>
          </w:p>
        </w:tc>
      </w:tr>
      <w:tr w:rsidR="00152594" w:rsidRPr="00382AAF">
        <w:trPr>
          <w:trHeight w:val="645"/>
          <w:tblCellSpacing w:w="0" w:type="dxa"/>
        </w:trPr>
        <w:tc>
          <w:tcPr>
            <w:tcW w:w="358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rPr>
                <w:rFonts w:ascii="华文细黑" w:eastAsia="华文细黑" w:hAnsi="华文细黑"/>
              </w:rPr>
            </w:pPr>
            <w:r w:rsidRPr="00382AAF">
              <w:rPr>
                <w:rFonts w:ascii="华文细黑" w:eastAsia="华文细黑" w:hAnsi="华文细黑" w:cs="Arial"/>
                <w:sz w:val="23"/>
                <w:szCs w:val="23"/>
              </w:rPr>
              <w:lastRenderedPageBreak/>
              <w:t>SIC</w:t>
            </w:r>
            <w:r w:rsidRPr="00382AAF">
              <w:rPr>
                <w:rFonts w:ascii="华文细黑" w:eastAsia="华文细黑" w:hAnsi="华文细黑" w:cs="仿宋_GB2312"/>
                <w:sz w:val="23"/>
                <w:szCs w:val="23"/>
              </w:rPr>
              <w:t>代码</w:t>
            </w:r>
          </w:p>
        </w:tc>
        <w:tc>
          <w:tcPr>
            <w:tcW w:w="766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rsidR="00152594" w:rsidRPr="00382AAF" w:rsidRDefault="00382AAF">
            <w:pPr>
              <w:jc w:val="both"/>
              <w:rPr>
                <w:rFonts w:ascii="华文细黑" w:eastAsia="华文细黑" w:hAnsi="华文细黑"/>
                <w:lang w:eastAsia="zh-CN"/>
              </w:rPr>
            </w:pPr>
            <w:r w:rsidRPr="00382AAF">
              <w:rPr>
                <w:rFonts w:ascii="华文细黑" w:eastAsia="华文细黑" w:hAnsi="华文细黑" w:cs="仿宋_GB2312"/>
                <w:sz w:val="23"/>
                <w:szCs w:val="23"/>
                <w:lang w:eastAsia="zh-CN"/>
              </w:rPr>
              <w:t>美国标准行业分类代码</w:t>
            </w:r>
          </w:p>
        </w:tc>
      </w:tr>
    </w:tbl>
    <w:p w:rsidR="00152594" w:rsidRPr="00382AAF" w:rsidRDefault="00152594">
      <w:pPr>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382AAF">
      <w:pPr>
        <w:pStyle w:val="Heading1"/>
        <w:numPr>
          <w:ilvl w:val="0"/>
          <w:numId w:val="1"/>
        </w:numPr>
        <w:rPr>
          <w:rFonts w:ascii="华文细黑" w:eastAsia="华文细黑" w:hAnsi="华文细黑"/>
        </w:rPr>
      </w:pPr>
      <w:bookmarkStart w:id="5" w:name="_Toc256002756"/>
      <w:r w:rsidRPr="00382AAF">
        <w:rPr>
          <w:rFonts w:ascii="华文细黑" w:eastAsia="华文细黑" w:hAnsi="华文细黑"/>
        </w:rPr>
        <w:lastRenderedPageBreak/>
        <w:t>报告摘要</w:t>
      </w:r>
      <w:bookmarkEnd w:id="5"/>
    </w:p>
    <w:p w:rsidR="00152594" w:rsidRPr="00382AAF" w:rsidRDefault="00382AAF">
      <w:pPr>
        <w:pStyle w:val="Heading2"/>
        <w:numPr>
          <w:ilvl w:val="1"/>
          <w:numId w:val="1"/>
        </w:numPr>
        <w:rPr>
          <w:rFonts w:ascii="华文细黑" w:eastAsia="华文细黑" w:hAnsi="华文细黑"/>
        </w:rPr>
      </w:pPr>
      <w:bookmarkStart w:id="6" w:name="_Toc256002757"/>
      <w:r w:rsidRPr="00382AAF">
        <w:rPr>
          <w:rFonts w:ascii="华文细黑" w:eastAsia="华文细黑" w:hAnsi="华文细黑"/>
        </w:rPr>
        <w:t>范围和目的</w:t>
      </w:r>
      <w:bookmarkEnd w:id="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立信税务</w:t>
      </w:r>
      <w:r w:rsidRPr="00382AAF">
        <w:rPr>
          <w:rFonts w:ascii="华文细黑" w:eastAsia="华文细黑" w:hAnsi="华文细黑" w:cs="微软雅黑"/>
          <w:sz w:val="22"/>
          <w:szCs w:val="22"/>
          <w:lang w:eastAsia="zh-CN"/>
        </w:rPr>
        <w:t>师事务所有限公司（以下简称</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立信</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或</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我们</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）接受</w:t>
      </w:r>
      <w:r w:rsidRPr="00382AAF">
        <w:rPr>
          <w:rFonts w:ascii="华文细黑" w:eastAsia="华文细黑" w:hAnsi="华文细黑" w:cs="Arial"/>
          <w:sz w:val="22"/>
          <w:szCs w:val="22"/>
          <w:lang w:eastAsia="zh-CN"/>
        </w:rPr>
        <w:t>斯必克（上海）流体技术有限公司</w:t>
      </w:r>
      <w:r w:rsidRPr="00382AAF">
        <w:rPr>
          <w:rFonts w:ascii="华文细黑" w:eastAsia="华文细黑" w:hAnsi="华文细黑" w:cs="微软雅黑"/>
          <w:sz w:val="22"/>
          <w:szCs w:val="22"/>
          <w:lang w:eastAsia="zh-CN"/>
        </w:rPr>
        <w:t>（以下简称</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或</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本公司</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）的委托，协助准备</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财务年度（以下简称</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或</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）的关联交易同期资料的本地文档报告（以下简称</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本报告</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技术和其境内外关联方（以下合称</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关联企业</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）进行了一系列关联交易，交易内容包括关联购销、关联劳务以及关联资金融通。由于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技术与关联方之间的购销交易合计金额为</w:t>
      </w:r>
      <w:r w:rsidRPr="00382AAF">
        <w:rPr>
          <w:rFonts w:ascii="华文细黑" w:eastAsia="华文细黑" w:hAnsi="华文细黑" w:cs="Arial"/>
          <w:sz w:val="22"/>
          <w:szCs w:val="22"/>
          <w:lang w:eastAsia="zh-CN"/>
        </w:rPr>
        <w:t>461,460,873.88</w:t>
      </w:r>
      <w:r w:rsidRPr="00382AAF">
        <w:rPr>
          <w:rFonts w:ascii="华文细黑" w:eastAsia="华文细黑" w:hAnsi="华文细黑" w:cs="微软雅黑"/>
          <w:sz w:val="22"/>
          <w:szCs w:val="22"/>
          <w:lang w:eastAsia="zh-CN"/>
        </w:rPr>
        <w:t>元，关联劳务交易合计金额为</w:t>
      </w:r>
      <w:r w:rsidRPr="00382AAF">
        <w:rPr>
          <w:rFonts w:ascii="华文细黑" w:eastAsia="华文细黑" w:hAnsi="华文细黑" w:cs="Arial"/>
          <w:sz w:val="22"/>
          <w:szCs w:val="22"/>
          <w:lang w:eastAsia="zh-CN"/>
        </w:rPr>
        <w:t>57,061,901.88</w:t>
      </w:r>
      <w:r w:rsidRPr="00382AAF">
        <w:rPr>
          <w:rFonts w:ascii="华文细黑" w:eastAsia="华文细黑" w:hAnsi="华文细黑" w:cs="微软雅黑"/>
          <w:sz w:val="22"/>
          <w:szCs w:val="22"/>
          <w:lang w:eastAsia="zh-CN"/>
        </w:rPr>
        <w:t>元，因此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技术除应按规定遵守中国转让定价相关的所得税法规，包括须遵循国务院令</w:t>
      </w:r>
      <w:r w:rsidRPr="00382AAF">
        <w:rPr>
          <w:rFonts w:ascii="华文细黑" w:eastAsia="华文细黑" w:hAnsi="华文细黑" w:cs="Arial"/>
          <w:sz w:val="22"/>
          <w:szCs w:val="22"/>
          <w:lang w:eastAsia="zh-CN"/>
        </w:rPr>
        <w:t>[2007]512</w:t>
      </w:r>
      <w:r w:rsidRPr="00382AAF">
        <w:rPr>
          <w:rFonts w:ascii="华文细黑" w:eastAsia="华文细黑" w:hAnsi="华文细黑" w:cs="微软雅黑"/>
          <w:sz w:val="22"/>
          <w:szCs w:val="22"/>
          <w:lang w:eastAsia="zh-CN"/>
        </w:rPr>
        <w:t>号文（即《企业所得税法实施条例》）第</w:t>
      </w:r>
      <w:r w:rsidRPr="00382AAF">
        <w:rPr>
          <w:rFonts w:ascii="华文细黑" w:eastAsia="华文细黑" w:hAnsi="华文细黑" w:cs="Arial"/>
          <w:sz w:val="22"/>
          <w:szCs w:val="22"/>
          <w:lang w:eastAsia="zh-CN"/>
        </w:rPr>
        <w:t>110</w:t>
      </w:r>
      <w:r w:rsidRPr="00382AAF">
        <w:rPr>
          <w:rFonts w:ascii="华文细黑" w:eastAsia="华文细黑" w:hAnsi="华文细黑" w:cs="微软雅黑"/>
          <w:sz w:val="22"/>
          <w:szCs w:val="22"/>
          <w:lang w:eastAsia="zh-CN"/>
        </w:rPr>
        <w:t>条所规定的独立交易原则，还须按</w:t>
      </w:r>
      <w:r w:rsidRPr="00382AAF">
        <w:rPr>
          <w:rFonts w:ascii="华文细黑" w:eastAsia="华文细黑" w:hAnsi="华文细黑" w:cs="Arial"/>
          <w:sz w:val="22"/>
          <w:szCs w:val="22"/>
          <w:lang w:eastAsia="zh-CN"/>
        </w:rPr>
        <w:t>[2016]42</w:t>
      </w:r>
      <w:r w:rsidRPr="00382AAF">
        <w:rPr>
          <w:rFonts w:ascii="华文细黑" w:eastAsia="华文细黑" w:hAnsi="华文细黑" w:cs="微软雅黑"/>
          <w:sz w:val="22"/>
          <w:szCs w:val="22"/>
          <w:lang w:eastAsia="zh-CN"/>
        </w:rPr>
        <w:t>号公告第</w:t>
      </w:r>
      <w:r w:rsidRPr="00382AAF">
        <w:rPr>
          <w:rFonts w:ascii="华文细黑" w:eastAsia="华文细黑" w:hAnsi="华文细黑" w:cs="Arial"/>
          <w:sz w:val="22"/>
          <w:szCs w:val="22"/>
          <w:lang w:eastAsia="zh-CN"/>
        </w:rPr>
        <w:t>14</w:t>
      </w:r>
      <w:r w:rsidRPr="00382AAF">
        <w:rPr>
          <w:rFonts w:ascii="华文细黑" w:eastAsia="华文细黑" w:hAnsi="华文细黑" w:cs="微软雅黑"/>
          <w:sz w:val="22"/>
          <w:szCs w:val="22"/>
          <w:lang w:eastAsia="zh-CN"/>
        </w:rPr>
        <w:t>条及第</w:t>
      </w:r>
      <w:r w:rsidRPr="00382AAF">
        <w:rPr>
          <w:rFonts w:ascii="华文细黑" w:eastAsia="华文细黑" w:hAnsi="华文细黑" w:cs="Arial"/>
          <w:sz w:val="22"/>
          <w:szCs w:val="22"/>
          <w:lang w:eastAsia="zh-CN"/>
        </w:rPr>
        <w:t>19</w:t>
      </w:r>
      <w:r w:rsidRPr="00382AAF">
        <w:rPr>
          <w:rFonts w:ascii="华文细黑" w:eastAsia="华文细黑" w:hAnsi="华文细黑" w:cs="微软雅黑"/>
          <w:sz w:val="22"/>
          <w:szCs w:val="22"/>
          <w:lang w:eastAsia="zh-CN"/>
        </w:rPr>
        <w:t>条所列明的详细要求以及有关规定准备同期资料及其他相关材料。</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依照</w:t>
      </w:r>
      <w:r w:rsidRPr="00382AAF">
        <w:rPr>
          <w:rFonts w:ascii="华文细黑" w:eastAsia="华文细黑" w:hAnsi="华文细黑" w:cs="Arial"/>
          <w:sz w:val="22"/>
          <w:szCs w:val="22"/>
          <w:lang w:eastAsia="zh-CN"/>
        </w:rPr>
        <w:t>[2016]42</w:t>
      </w:r>
      <w:r w:rsidRPr="00382AAF">
        <w:rPr>
          <w:rFonts w:ascii="华文细黑" w:eastAsia="华文细黑" w:hAnsi="华文细黑" w:cs="微软雅黑"/>
          <w:sz w:val="22"/>
          <w:szCs w:val="22"/>
          <w:lang w:eastAsia="zh-CN"/>
        </w:rPr>
        <w:t>号公告第</w:t>
      </w:r>
      <w:r w:rsidRPr="00382AAF">
        <w:rPr>
          <w:rFonts w:ascii="华文细黑" w:eastAsia="华文细黑" w:hAnsi="华文细黑" w:cs="Arial"/>
          <w:sz w:val="22"/>
          <w:szCs w:val="22"/>
          <w:lang w:eastAsia="zh-CN"/>
        </w:rPr>
        <w:t>14</w:t>
      </w:r>
      <w:r w:rsidRPr="00382AAF">
        <w:rPr>
          <w:rFonts w:ascii="华文细黑" w:eastAsia="华文细黑" w:hAnsi="华文细黑" w:cs="微软雅黑"/>
          <w:sz w:val="22"/>
          <w:szCs w:val="22"/>
          <w:lang w:eastAsia="zh-CN"/>
        </w:rPr>
        <w:t>条的相关规定，本报告将作为</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年度的同期资料，旨在对其与其关联方在截至</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w:t>
      </w:r>
      <w:r w:rsidRPr="00382AAF">
        <w:rPr>
          <w:rFonts w:ascii="华文细黑" w:eastAsia="华文细黑" w:hAnsi="华文细黑" w:cs="Arial"/>
          <w:sz w:val="22"/>
          <w:szCs w:val="22"/>
          <w:lang w:eastAsia="zh-CN"/>
        </w:rPr>
        <w:t>12</w:t>
      </w:r>
      <w:r w:rsidRPr="00382AAF">
        <w:rPr>
          <w:rFonts w:ascii="华文细黑" w:eastAsia="华文细黑" w:hAnsi="华文细黑" w:cs="微软雅黑"/>
          <w:sz w:val="22"/>
          <w:szCs w:val="22"/>
          <w:lang w:eastAsia="zh-CN"/>
        </w:rPr>
        <w:t>月</w:t>
      </w:r>
      <w:r w:rsidRPr="00382AAF">
        <w:rPr>
          <w:rFonts w:ascii="华文细黑" w:eastAsia="华文细黑" w:hAnsi="华文细黑" w:cs="Arial"/>
          <w:sz w:val="22"/>
          <w:szCs w:val="22"/>
          <w:lang w:eastAsia="zh-CN"/>
        </w:rPr>
        <w:t>31</w:t>
      </w:r>
      <w:r w:rsidRPr="00382AAF">
        <w:rPr>
          <w:rFonts w:ascii="华文细黑" w:eastAsia="华文细黑" w:hAnsi="华文细黑" w:cs="微软雅黑"/>
          <w:sz w:val="22"/>
          <w:szCs w:val="22"/>
          <w:lang w:eastAsia="zh-CN"/>
        </w:rPr>
        <w:t>日前发生的受测关联交易进行分析和说明。</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本报告仅旨在说明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技术受测关联交易的转让定价安排是否符合独立交易原则且</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或没有造成其应纳税收入或应纳税所得额的不合理的减少等相关税务问题。其他任何税务事宜（例如消费税、增值税，或是由受测关联交易所引起的其他单个或多重纳税义务）不在本报告的分析范围内。</w:t>
      </w:r>
    </w:p>
    <w:p w:rsidR="00152594" w:rsidRPr="00382AAF" w:rsidRDefault="00382AAF">
      <w:pPr>
        <w:pStyle w:val="Heading2"/>
        <w:numPr>
          <w:ilvl w:val="1"/>
          <w:numId w:val="1"/>
        </w:numPr>
        <w:rPr>
          <w:rFonts w:ascii="华文细黑" w:eastAsia="华文细黑" w:hAnsi="华文细黑"/>
        </w:rPr>
      </w:pPr>
      <w:bookmarkStart w:id="7" w:name="_Toc256002758"/>
      <w:r w:rsidRPr="00382AAF">
        <w:rPr>
          <w:rFonts w:ascii="华文细黑" w:eastAsia="华文细黑" w:hAnsi="华文细黑"/>
        </w:rPr>
        <w:t>受测关联交易</w:t>
      </w:r>
      <w:bookmarkEnd w:id="7"/>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技术的主要关联交易为：</w:t>
      </w:r>
    </w:p>
    <w:p w:rsidR="00152594" w:rsidRPr="00382AAF" w:rsidRDefault="00382AAF">
      <w:pPr>
        <w:pStyle w:val="BodyText"/>
        <w:numPr>
          <w:ilvl w:val="0"/>
          <w:numId w:val="2"/>
        </w:numPr>
        <w:tabs>
          <w:tab w:val="left" w:pos="1008"/>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技术从关联方采购以及向关联方销售货物；</w:t>
      </w:r>
    </w:p>
    <w:p w:rsidR="00152594" w:rsidRPr="00382AAF" w:rsidRDefault="00382AAF">
      <w:pPr>
        <w:pStyle w:val="BodyText"/>
        <w:numPr>
          <w:ilvl w:val="0"/>
          <w:numId w:val="2"/>
        </w:numPr>
        <w:tabs>
          <w:tab w:val="left" w:pos="1008"/>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 xml:space="preserve">技术从关联方接受服务以及向关联方提供服务； </w:t>
      </w:r>
    </w:p>
    <w:p w:rsidR="00152594" w:rsidRPr="00382AAF" w:rsidRDefault="00382AAF">
      <w:pPr>
        <w:pStyle w:val="BodyText"/>
        <w:numPr>
          <w:ilvl w:val="0"/>
          <w:numId w:val="2"/>
        </w:numPr>
        <w:tabs>
          <w:tab w:val="left" w:pos="1008"/>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技术参与集团现金池。</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上述关联交易，以下简称</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受测关联交易</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。其他任何涉及</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技术和其他关联公司或分支机构的关联交易不在本报告的分析范围内。</w:t>
      </w:r>
    </w:p>
    <w:p w:rsidR="00152594" w:rsidRPr="00382AAF" w:rsidRDefault="00382AAF">
      <w:pPr>
        <w:pStyle w:val="Heading2"/>
        <w:numPr>
          <w:ilvl w:val="1"/>
          <w:numId w:val="1"/>
        </w:numPr>
        <w:rPr>
          <w:rFonts w:ascii="华文细黑" w:eastAsia="华文细黑" w:hAnsi="华文细黑"/>
          <w:lang w:eastAsia="zh-CN"/>
        </w:rPr>
      </w:pPr>
      <w:bookmarkStart w:id="8" w:name="_Toc256002759"/>
      <w:r w:rsidRPr="00382AAF">
        <w:rPr>
          <w:rFonts w:ascii="华文细黑" w:eastAsia="华文细黑" w:hAnsi="华文细黑"/>
          <w:lang w:eastAsia="zh-CN"/>
        </w:rPr>
        <w:t>功能和风险分析及价值链分析总结</w:t>
      </w:r>
      <w:bookmarkEnd w:id="8"/>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从功能和风险角度判断，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技术在关联销售中主要承担有限的研发功能、采购功能、生产功能、质量控制功能、存货管理功能以及一般行政管理功能；</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技术主要承担有限的市场风险、有限的研发风险、有限的生产风险、有限的存货风险、产品责任风险以及汇率风险。因此，在关联销售中，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技术承担一定的风险。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lastRenderedPageBreak/>
        <w:t>在第三方销售中，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技术承担了相对更多的功能风险，履行的功能包括市场营销和销售、工程设计、售后服务以及付款请求和回收，同时承担主要的市场风险和债权回收风险。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技术并不拥有非常规营销类无形资产和由其境外关联方创造的非常规制造类无形资产的所有权。评估期间，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技术进行产品的本地化技术改良以及设计工作，并且拥有与产品本地化相关的技术。因此，在非关联销售中，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技术承担较多风险。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在整个集团经营活动中，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技术作为履行上述功能并且承担上述风险的生产制造商，利润水平和其承担的功能风险相匹配。</w:t>
      </w:r>
    </w:p>
    <w:p w:rsidR="00152594" w:rsidRPr="00382AAF" w:rsidRDefault="00382AAF">
      <w:pPr>
        <w:pStyle w:val="Heading2"/>
        <w:numPr>
          <w:ilvl w:val="1"/>
          <w:numId w:val="1"/>
        </w:numPr>
        <w:rPr>
          <w:rFonts w:ascii="华文细黑" w:eastAsia="华文细黑" w:hAnsi="华文细黑"/>
          <w:lang w:eastAsia="zh-CN"/>
        </w:rPr>
      </w:pPr>
      <w:bookmarkStart w:id="9" w:name="_Toc256002760"/>
      <w:r w:rsidRPr="00382AAF">
        <w:rPr>
          <w:rFonts w:ascii="华文细黑" w:eastAsia="华文细黑" w:hAnsi="华文细黑"/>
          <w:lang w:eastAsia="zh-CN"/>
        </w:rPr>
        <w:t>经济分析总结 —— 对受测关联交易的分析</w:t>
      </w:r>
      <w:bookmarkEnd w:id="9"/>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我们基于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技术对集团整体利润或者剩余利润所做的贡献，以及其所承担的功能风险，对中国转让定价法规以及</w:t>
      </w:r>
      <w:bookmarkStart w:id="10" w:name="OLE_LINK1"/>
      <w:r w:rsidRPr="00382AAF">
        <w:rPr>
          <w:rFonts w:ascii="华文细黑" w:eastAsia="华文细黑" w:hAnsi="华文细黑" w:cs="Arial"/>
          <w:sz w:val="22"/>
          <w:szCs w:val="22"/>
          <w:lang w:eastAsia="zh-CN"/>
        </w:rPr>
        <w:t>OECD</w:t>
      </w:r>
      <w:r w:rsidRPr="00382AAF">
        <w:rPr>
          <w:rFonts w:ascii="华文细黑" w:eastAsia="华文细黑" w:hAnsi="华文细黑" w:cs="微软雅黑"/>
          <w:sz w:val="22"/>
          <w:szCs w:val="22"/>
          <w:lang w:eastAsia="zh-CN"/>
        </w:rPr>
        <w:t>转让定价指南</w:t>
      </w:r>
      <w:bookmarkEnd w:id="10"/>
      <w:r w:rsidRPr="00382AAF">
        <w:rPr>
          <w:rFonts w:ascii="华文细黑" w:eastAsia="华文细黑" w:hAnsi="华文细黑" w:cs="微软雅黑"/>
          <w:sz w:val="22"/>
          <w:szCs w:val="22"/>
          <w:lang w:eastAsia="zh-CN"/>
        </w:rPr>
        <w:t>中列明的常用转让定价评估方法进行了比较和研究。我们最终选择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技术作为验证对象，选用交易净利润法作为分析方法，以完全成本加成率作为利润水平指标对</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技术的受测关联交易和转让定价进行了评估。</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我们选择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技术作为本报告的被验证对象从而分析其完全成本加成率。原因如下：</w:t>
      </w:r>
      <w:r w:rsidRPr="00382AAF">
        <w:rPr>
          <w:rFonts w:ascii="华文细黑" w:eastAsia="华文细黑" w:hAnsi="华文细黑" w:cs="Arial"/>
          <w:sz w:val="22"/>
          <w:szCs w:val="22"/>
          <w:lang w:eastAsia="zh-CN"/>
        </w:rPr>
        <w:t>1</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技术相对于关联方承担相对简单的制造相关的功能和风险；</w:t>
      </w:r>
      <w:r w:rsidRPr="00382AAF">
        <w:rPr>
          <w:rFonts w:ascii="华文细黑" w:eastAsia="华文细黑" w:hAnsi="华文细黑" w:cs="Arial"/>
          <w:sz w:val="22"/>
          <w:szCs w:val="22"/>
          <w:lang w:eastAsia="zh-CN"/>
        </w:rPr>
        <w:t>2</w:t>
      </w:r>
      <w:r w:rsidRPr="00382AAF">
        <w:rPr>
          <w:rFonts w:ascii="华文细黑" w:eastAsia="华文细黑" w:hAnsi="华文细黑" w:cs="微软雅黑"/>
          <w:sz w:val="22"/>
          <w:szCs w:val="22"/>
          <w:lang w:eastAsia="zh-CN"/>
        </w:rPr>
        <w:t>）在关联交易中，相对于关联方，</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技术的利润水平可以被更为有效地确定。因此，我们选择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技术作为本报告的被验证对象。我们通过选取与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技术在受测关联交易中从事相似业务的非受控公司，分析其财务数据，建立了一组符合独立交易原则的利润率区间。</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选取的可比非受控公司样本在</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财务年度（</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财年</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）实现的加权平均完全成本加成率水平总结如下：</w:t>
      </w:r>
    </w:p>
    <w:p w:rsidR="00152594" w:rsidRPr="00382AAF" w:rsidRDefault="00382AAF">
      <w:pPr>
        <w:pStyle w:val="BodyText"/>
        <w:spacing w:after="0"/>
        <w:rPr>
          <w:rFonts w:ascii="华文细黑" w:eastAsia="华文细黑" w:hAnsi="华文细黑"/>
          <w:sz w:val="22"/>
          <w:szCs w:val="22"/>
          <w:lang w:eastAsia="zh-CN"/>
        </w:rPr>
      </w:pPr>
      <w:r w:rsidRPr="00382AAF">
        <w:rPr>
          <w:rFonts w:ascii="华文细黑" w:eastAsia="华文细黑" w:hAnsi="华文细黑"/>
          <w:sz w:val="22"/>
          <w:szCs w:val="22"/>
          <w:lang w:eastAsia="zh-CN"/>
        </w:rPr>
        <w:br w:type="page"/>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w:t>
      </w:r>
      <w:r w:rsidRPr="00382AAF">
        <w:rPr>
          <w:rFonts w:ascii="华文细黑" w:eastAsia="华文细黑" w:hAnsi="华文细黑" w:cs="微软雅黑"/>
          <w:b/>
          <w:bCs/>
          <w:sz w:val="18"/>
          <w:szCs w:val="18"/>
          <w:lang w:eastAsia="zh-CN"/>
        </w:rPr>
        <w:t>：完全成本加成率的独立交易区间（</w:t>
      </w:r>
      <w:r w:rsidRPr="00382AAF">
        <w:rPr>
          <w:rFonts w:ascii="华文细黑" w:eastAsia="华文细黑" w:hAnsi="华文细黑" w:cs="Arial"/>
          <w:b/>
          <w:bCs/>
          <w:sz w:val="18"/>
          <w:szCs w:val="18"/>
          <w:lang w:eastAsia="zh-CN"/>
        </w:rPr>
        <w:t>2021</w:t>
      </w:r>
      <w:r w:rsidRPr="00382AAF">
        <w:rPr>
          <w:rFonts w:ascii="华文细黑" w:eastAsia="华文细黑" w:hAnsi="华文细黑" w:cs="微软雅黑"/>
          <w:b/>
          <w:bCs/>
          <w:sz w:val="18"/>
          <w:szCs w:val="18"/>
          <w:lang w:eastAsia="zh-CN"/>
        </w:rPr>
        <w:t>财年到</w:t>
      </w:r>
      <w:r w:rsidRPr="00382AAF">
        <w:rPr>
          <w:rFonts w:ascii="华文细黑" w:eastAsia="华文细黑" w:hAnsi="华文细黑" w:cs="Arial"/>
          <w:b/>
          <w:bCs/>
          <w:sz w:val="18"/>
          <w:szCs w:val="18"/>
          <w:lang w:eastAsia="zh-CN"/>
        </w:rPr>
        <w:t>2023</w:t>
      </w:r>
      <w:r w:rsidRPr="00382AAF">
        <w:rPr>
          <w:rFonts w:ascii="华文细黑" w:eastAsia="华文细黑" w:hAnsi="华文细黑" w:cs="微软雅黑"/>
          <w:b/>
          <w:bCs/>
          <w:sz w:val="18"/>
          <w:szCs w:val="18"/>
          <w:lang w:eastAsia="zh-CN"/>
        </w:rPr>
        <w:t>财年）</w:t>
      </w:r>
    </w:p>
    <w:p w:rsidR="00152594" w:rsidRPr="00382AAF" w:rsidRDefault="00382AAF">
      <w:pPr>
        <w:pStyle w:val="BodyText"/>
        <w:spacing w:before="120"/>
        <w:ind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如上图表所示，</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财年加权平均完全成本加成率独立交易四分位区间为</w:t>
      </w:r>
      <w:r w:rsidRPr="00382AAF">
        <w:rPr>
          <w:rFonts w:ascii="华文细黑" w:eastAsia="华文细黑" w:hAnsi="华文细黑" w:cs="Arial"/>
          <w:sz w:val="22"/>
          <w:szCs w:val="22"/>
          <w:lang w:eastAsia="zh-CN"/>
        </w:rPr>
        <w:t>3.00%</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12.74%</w:t>
      </w:r>
      <w:r w:rsidRPr="00382AAF">
        <w:rPr>
          <w:rFonts w:ascii="华文细黑" w:eastAsia="华文细黑" w:hAnsi="华文细黑" w:cs="微软雅黑"/>
          <w:sz w:val="22"/>
          <w:szCs w:val="22"/>
          <w:lang w:eastAsia="zh-CN"/>
        </w:rPr>
        <w:t>，中位值为</w:t>
      </w:r>
      <w:r w:rsidRPr="00382AAF">
        <w:rPr>
          <w:rFonts w:ascii="华文细黑" w:eastAsia="华文细黑" w:hAnsi="华文细黑" w:cs="Arial"/>
          <w:sz w:val="22"/>
          <w:szCs w:val="22"/>
          <w:lang w:eastAsia="zh-CN"/>
        </w:rPr>
        <w:t>8.41%</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年度关联销售交易和非关联销售交易中取得的完全成本加成率分别为</w:t>
      </w:r>
      <w:r w:rsidRPr="00382AAF">
        <w:rPr>
          <w:rFonts w:ascii="华文细黑" w:eastAsia="华文细黑" w:hAnsi="华文细黑" w:cs="Arial"/>
          <w:sz w:val="22"/>
          <w:szCs w:val="22"/>
          <w:lang w:eastAsia="zh-CN"/>
        </w:rPr>
        <w:t>22.93%</w:t>
      </w:r>
      <w:r w:rsidRPr="00382AAF">
        <w:rPr>
          <w:rFonts w:ascii="华文细黑" w:eastAsia="华文细黑" w:hAnsi="华文细黑" w:cs="微软雅黑"/>
          <w:sz w:val="22"/>
          <w:szCs w:val="22"/>
          <w:lang w:eastAsia="zh-CN"/>
        </w:rPr>
        <w:t>和</w:t>
      </w:r>
      <w:r w:rsidRPr="00382AAF">
        <w:rPr>
          <w:rFonts w:ascii="华文细黑" w:eastAsia="华文细黑" w:hAnsi="华文细黑" w:cs="Arial"/>
          <w:sz w:val="22"/>
          <w:szCs w:val="22"/>
          <w:lang w:eastAsia="zh-CN"/>
        </w:rPr>
        <w:t>21.63%</w:t>
      </w:r>
      <w:r w:rsidRPr="00382AAF">
        <w:rPr>
          <w:rFonts w:ascii="华文细黑" w:eastAsia="华文细黑" w:hAnsi="华文细黑" w:cs="微软雅黑"/>
          <w:sz w:val="22"/>
          <w:szCs w:val="22"/>
          <w:lang w:eastAsia="zh-CN"/>
        </w:rPr>
        <w:t>，均高于可比非受控公司在</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财年三年加权平均完全成本加成率的独立交易区间的中位值。因此，从中国转让定价角度，</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年受测关联交易中的转让定价安排未减少其应申报的应纳税收入或所得额。</w:t>
      </w:r>
    </w:p>
    <w:p w:rsidR="00152594" w:rsidRPr="00382AAF" w:rsidRDefault="00382AAF">
      <w:pPr>
        <w:pStyle w:val="Heading2"/>
        <w:numPr>
          <w:ilvl w:val="1"/>
          <w:numId w:val="1"/>
        </w:numPr>
        <w:rPr>
          <w:rFonts w:ascii="华文细黑" w:eastAsia="华文细黑" w:hAnsi="华文细黑"/>
        </w:rPr>
      </w:pPr>
      <w:bookmarkStart w:id="11" w:name="_Toc256002761"/>
      <w:r w:rsidRPr="00382AAF">
        <w:rPr>
          <w:rFonts w:ascii="华文细黑" w:eastAsia="华文细黑" w:hAnsi="华文细黑"/>
        </w:rPr>
        <w:t>局限性</w:t>
      </w:r>
      <w:bookmarkEnd w:id="1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技术及其关联方在转让定价调查中免于税务调整的保证。但本报告应可以为</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技术提供良好的文件支持以应对中国税务机关对</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技术转让定价安排的初步质询，并有助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技术向税务机关展示其严肃对待纳税义务的努力。本报告所引用的</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技术的数据均来源于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技术所提供的文件或信息。</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在本报告中，我们并未对任何消费税、增值税或其他国家及地方税的纳税义务（无论该纳税义务是否由我们的转让定价分析意见所引起）进行审查。</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本报告是由立信根据截止于报告提交日由</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技术公司提供的相关事实而准备的。本报告以特定的事实和情况为基础，可能不适用于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技术公司之外的第三方。我们在准备本报告时仅从与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技术公司相关的问题角度出发，未计划或考虑将本报告提供给任何第三方使用。因此，立信及其合伙人、雇员和</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本报告是依照</w:t>
      </w:r>
      <w:r w:rsidRPr="00382AAF">
        <w:rPr>
          <w:rFonts w:ascii="华文细黑" w:eastAsia="华文细黑" w:hAnsi="华文细黑" w:cs="Arial"/>
          <w:sz w:val="22"/>
          <w:szCs w:val="22"/>
          <w:lang w:eastAsia="zh-CN"/>
        </w:rPr>
        <w:t>[2016]42</w:t>
      </w:r>
      <w:r w:rsidRPr="00382AAF">
        <w:rPr>
          <w:rFonts w:ascii="华文细黑" w:eastAsia="华文细黑" w:hAnsi="华文细黑" w:cs="微软雅黑"/>
          <w:sz w:val="22"/>
          <w:szCs w:val="22"/>
          <w:lang w:eastAsia="zh-CN"/>
        </w:rPr>
        <w:t>号公告第</w:t>
      </w:r>
      <w:r w:rsidRPr="00382AAF">
        <w:rPr>
          <w:rFonts w:ascii="华文细黑" w:eastAsia="华文细黑" w:hAnsi="华文细黑" w:cs="Arial"/>
          <w:sz w:val="22"/>
          <w:szCs w:val="22"/>
          <w:lang w:eastAsia="zh-CN"/>
        </w:rPr>
        <w:t>14</w:t>
      </w:r>
      <w:r w:rsidRPr="00382AAF">
        <w:rPr>
          <w:rFonts w:ascii="华文细黑" w:eastAsia="华文细黑" w:hAnsi="华文细黑" w:cs="微软雅黑"/>
          <w:sz w:val="22"/>
          <w:szCs w:val="22"/>
          <w:lang w:eastAsia="zh-CN"/>
        </w:rPr>
        <w:t>条对同期资料的相关规定而准备，</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技术公司可以在中国税务机关要求的情况下将本报告提交给中国税务机关。</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任何包括在我们的服务合同中的限制性条款将同样适用于本报告。</w:t>
      </w:r>
      <w:r w:rsidRPr="00382AAF">
        <w:rPr>
          <w:rFonts w:ascii="华文细黑" w:eastAsia="华文细黑" w:hAnsi="华文细黑"/>
          <w:sz w:val="22"/>
          <w:szCs w:val="22"/>
          <w:lang w:eastAsia="zh-CN"/>
        </w:rPr>
        <w:br w:type="page"/>
      </w:r>
    </w:p>
    <w:p w:rsidR="00152594" w:rsidRPr="00382AAF" w:rsidRDefault="00152594">
      <w:pPr>
        <w:pStyle w:val="BodyText"/>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382AAF">
      <w:pPr>
        <w:pStyle w:val="Heading1"/>
        <w:numPr>
          <w:ilvl w:val="0"/>
          <w:numId w:val="1"/>
        </w:numPr>
        <w:rPr>
          <w:rFonts w:ascii="华文细黑" w:eastAsia="华文细黑" w:hAnsi="华文细黑"/>
        </w:rPr>
      </w:pPr>
      <w:bookmarkStart w:id="12" w:name="_Toc256002762"/>
      <w:r w:rsidRPr="00382AAF">
        <w:rPr>
          <w:rFonts w:ascii="华文细黑" w:eastAsia="华文细黑" w:hAnsi="华文细黑"/>
        </w:rPr>
        <w:lastRenderedPageBreak/>
        <w:t>企业概况</w:t>
      </w:r>
      <w:bookmarkEnd w:id="12"/>
    </w:p>
    <w:p w:rsidR="00152594" w:rsidRPr="00382AAF" w:rsidRDefault="00382AAF">
      <w:pPr>
        <w:pStyle w:val="Heading2"/>
        <w:numPr>
          <w:ilvl w:val="1"/>
          <w:numId w:val="1"/>
        </w:numPr>
        <w:rPr>
          <w:rFonts w:ascii="华文细黑" w:eastAsia="华文细黑" w:hAnsi="华文细黑"/>
        </w:rPr>
      </w:pPr>
      <w:bookmarkStart w:id="13" w:name="_Toc256002763"/>
      <w:r w:rsidRPr="00382AAF">
        <w:rPr>
          <w:rFonts w:ascii="华文细黑" w:eastAsia="华文细黑" w:hAnsi="华文细黑"/>
        </w:rPr>
        <w:t>集团概况</w:t>
      </w:r>
      <w:bookmarkEnd w:id="13"/>
    </w:p>
    <w:p w:rsidR="00152594" w:rsidRPr="00382AAF" w:rsidRDefault="00382AAF">
      <w:pPr>
        <w:pStyle w:val="BodyText"/>
        <w:spacing w:before="120"/>
        <w:ind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SPX FLOW, Inc.</w:t>
      </w:r>
      <w:r w:rsidRPr="00382AAF">
        <w:rPr>
          <w:rFonts w:ascii="华文细黑" w:eastAsia="华文细黑" w:hAnsi="华文细黑" w:cs="微软雅黑"/>
          <w:sz w:val="22"/>
          <w:szCs w:val="22"/>
          <w:lang w:eastAsia="zh-CN"/>
        </w:rPr>
        <w:t>（以下简称</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）是一家提供高度专业化和工程化解决方案的全球供应商，总部位于美国北卡罗来纳州的夏洛特市。在超过</w:t>
      </w:r>
      <w:r w:rsidRPr="00382AAF">
        <w:rPr>
          <w:rFonts w:ascii="华文细黑" w:eastAsia="华文细黑" w:hAnsi="华文细黑" w:cs="Arial"/>
          <w:sz w:val="22"/>
          <w:szCs w:val="22"/>
          <w:lang w:eastAsia="zh-CN"/>
        </w:rPr>
        <w:t>30</w:t>
      </w:r>
      <w:r w:rsidRPr="00382AAF">
        <w:rPr>
          <w:rFonts w:ascii="华文细黑" w:eastAsia="华文细黑" w:hAnsi="华文细黑" w:cs="微软雅黑"/>
          <w:sz w:val="22"/>
          <w:szCs w:val="22"/>
          <w:lang w:eastAsia="zh-CN"/>
        </w:rPr>
        <w:t>个国家拥有分支机构，产品行销全球</w:t>
      </w:r>
      <w:r w:rsidRPr="00382AAF">
        <w:rPr>
          <w:rFonts w:ascii="华文细黑" w:eastAsia="华文细黑" w:hAnsi="华文细黑" w:cs="Arial"/>
          <w:sz w:val="22"/>
          <w:szCs w:val="22"/>
          <w:lang w:eastAsia="zh-CN"/>
        </w:rPr>
        <w:t>140</w:t>
      </w:r>
      <w:r w:rsidRPr="00382AAF">
        <w:rPr>
          <w:rFonts w:ascii="华文细黑" w:eastAsia="华文细黑" w:hAnsi="华文细黑" w:cs="微软雅黑"/>
          <w:sz w:val="22"/>
          <w:szCs w:val="22"/>
          <w:lang w:eastAsia="zh-CN"/>
        </w:rPr>
        <w:t>多个国家。</w:t>
      </w:r>
      <w:r w:rsidRPr="00382AAF">
        <w:rPr>
          <w:rFonts w:ascii="华文细黑" w:eastAsia="华文细黑" w:hAnsi="华文细黑" w:cs="Arial"/>
          <w:color w:val="000000"/>
          <w:sz w:val="11"/>
          <w:szCs w:val="11"/>
          <w:vertAlign w:val="superscript"/>
        </w:rPr>
        <w:footnoteReference w:id="1"/>
      </w:r>
      <w:r w:rsidRPr="00382AAF">
        <w:rPr>
          <w:rFonts w:ascii="华文细黑" w:eastAsia="华文细黑" w:hAnsi="华文细黑" w:cs="微软雅黑"/>
          <w:sz w:val="22"/>
          <w:szCs w:val="22"/>
          <w:lang w:eastAsia="zh-CN"/>
        </w:rPr>
        <w:t xml:space="preserve"> </w:t>
      </w:r>
    </w:p>
    <w:p w:rsidR="00152594" w:rsidRPr="00382AAF" w:rsidRDefault="00382AAF">
      <w:pPr>
        <w:pStyle w:val="BodyText"/>
        <w:spacing w:before="120"/>
        <w:ind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rsidR="00152594" w:rsidRPr="00382AAF" w:rsidRDefault="00382AAF">
      <w:pPr>
        <w:pStyle w:val="BodyText"/>
        <w:spacing w:before="120"/>
        <w:ind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 xml:space="preserve">集团与客户共同创新，持续为世界提供技术并致力于改善世界。 </w:t>
      </w:r>
    </w:p>
    <w:p w:rsidR="00152594" w:rsidRPr="00382AAF" w:rsidRDefault="00382AAF">
      <w:pPr>
        <w:pStyle w:val="Heading2"/>
        <w:numPr>
          <w:ilvl w:val="1"/>
          <w:numId w:val="1"/>
        </w:numPr>
        <w:rPr>
          <w:rFonts w:ascii="华文细黑" w:eastAsia="华文细黑" w:hAnsi="华文细黑"/>
        </w:rPr>
      </w:pPr>
      <w:bookmarkStart w:id="14" w:name="_Toc256002764"/>
      <w:r w:rsidRPr="00382AAF">
        <w:rPr>
          <w:rFonts w:ascii="华文细黑" w:eastAsia="华文细黑" w:hAnsi="华文细黑"/>
        </w:rPr>
        <w:t>公司概况</w:t>
      </w:r>
      <w:bookmarkEnd w:id="14"/>
    </w:p>
    <w:p w:rsidR="00152594" w:rsidRPr="00382AAF" w:rsidRDefault="00382AAF">
      <w:pPr>
        <w:pStyle w:val="BodyText"/>
        <w:numPr>
          <w:ilvl w:val="0"/>
          <w:numId w:val="3"/>
        </w:numPr>
        <w:tabs>
          <w:tab w:val="left" w:pos="720"/>
        </w:tabs>
        <w:spacing w:before="120"/>
        <w:ind w:left="0" w:firstLine="0"/>
        <w:rPr>
          <w:rFonts w:ascii="华文细黑" w:eastAsia="华文细黑" w:hAnsi="华文细黑" w:cs="Arial"/>
          <w:color w:val="4F81BD"/>
          <w:sz w:val="22"/>
          <w:szCs w:val="22"/>
        </w:rPr>
      </w:pPr>
      <w:bookmarkStart w:id="15" w:name="_Toc256000011"/>
      <w:bookmarkStart w:id="16" w:name="_Toc1191"/>
      <w:bookmarkStart w:id="17" w:name="_Toc23576"/>
      <w:bookmarkStart w:id="18" w:name="_Toc76668376"/>
      <w:bookmarkStart w:id="19" w:name="_Toc47700007"/>
      <w:r w:rsidRPr="00382AAF">
        <w:rPr>
          <w:rFonts w:ascii="华文细黑" w:eastAsia="华文细黑" w:hAnsi="华文细黑" w:cs="微软雅黑"/>
          <w:color w:val="4F81BD"/>
          <w:sz w:val="22"/>
          <w:szCs w:val="22"/>
        </w:rPr>
        <w:t>公司基本信息</w:t>
      </w:r>
      <w:bookmarkEnd w:id="15"/>
      <w:bookmarkEnd w:id="16"/>
      <w:bookmarkEnd w:id="17"/>
      <w:bookmarkEnd w:id="18"/>
      <w:bookmarkEnd w:id="19"/>
      <w:r w:rsidRPr="00382AAF">
        <w:rPr>
          <w:rFonts w:ascii="华文细黑" w:eastAsia="华文细黑" w:hAnsi="华文细黑" w:cs="Arial"/>
          <w:color w:val="000000"/>
          <w:sz w:val="11"/>
          <w:szCs w:val="11"/>
          <w:vertAlign w:val="superscript"/>
        </w:rPr>
        <w:footnoteReference w:id="2"/>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技术成立于</w:t>
      </w:r>
      <w:r w:rsidRPr="00382AAF">
        <w:rPr>
          <w:rFonts w:ascii="华文细黑" w:eastAsia="华文细黑" w:hAnsi="华文细黑" w:cs="Arial"/>
          <w:sz w:val="22"/>
          <w:szCs w:val="22"/>
          <w:lang w:eastAsia="zh-CN"/>
        </w:rPr>
        <w:t>2006</w:t>
      </w:r>
      <w:r w:rsidRPr="00382AAF">
        <w:rPr>
          <w:rFonts w:ascii="华文细黑" w:eastAsia="华文细黑" w:hAnsi="华文细黑" w:cs="微软雅黑"/>
          <w:sz w:val="22"/>
          <w:szCs w:val="22"/>
          <w:lang w:eastAsia="zh-CN"/>
        </w:rPr>
        <w:t>年</w:t>
      </w:r>
      <w:r w:rsidRPr="00382AAF">
        <w:rPr>
          <w:rFonts w:ascii="华文细黑" w:eastAsia="华文细黑" w:hAnsi="华文细黑" w:cs="Arial"/>
          <w:sz w:val="22"/>
          <w:szCs w:val="22"/>
          <w:lang w:eastAsia="zh-CN"/>
        </w:rPr>
        <w:t>1</w:t>
      </w:r>
      <w:r w:rsidRPr="00382AAF">
        <w:rPr>
          <w:rFonts w:ascii="华文细黑" w:eastAsia="华文细黑" w:hAnsi="华文细黑" w:cs="微软雅黑"/>
          <w:sz w:val="22"/>
          <w:szCs w:val="22"/>
          <w:lang w:eastAsia="zh-CN"/>
        </w:rPr>
        <w:t>月</w:t>
      </w:r>
      <w:r w:rsidRPr="00382AAF">
        <w:rPr>
          <w:rFonts w:ascii="华文细黑" w:eastAsia="华文细黑" w:hAnsi="华文细黑" w:cs="Arial"/>
          <w:sz w:val="22"/>
          <w:szCs w:val="22"/>
          <w:lang w:eastAsia="zh-CN"/>
        </w:rPr>
        <w:t>17</w:t>
      </w:r>
      <w:r w:rsidRPr="00382AAF">
        <w:rPr>
          <w:rFonts w:ascii="华文细黑" w:eastAsia="华文细黑" w:hAnsi="华文细黑" w:cs="微软雅黑"/>
          <w:sz w:val="22"/>
          <w:szCs w:val="22"/>
          <w:lang w:eastAsia="zh-CN"/>
        </w:rPr>
        <w:t>日，经营期限为</w:t>
      </w:r>
      <w:r w:rsidRPr="00382AAF">
        <w:rPr>
          <w:rFonts w:ascii="华文细黑" w:eastAsia="华文细黑" w:hAnsi="华文细黑" w:cs="Arial"/>
          <w:sz w:val="22"/>
          <w:szCs w:val="22"/>
          <w:lang w:eastAsia="zh-CN"/>
        </w:rPr>
        <w:t>20</w:t>
      </w:r>
      <w:r w:rsidRPr="00382AAF">
        <w:rPr>
          <w:rFonts w:ascii="华文细黑" w:eastAsia="华文细黑" w:hAnsi="华文细黑" w:cs="微软雅黑"/>
          <w:sz w:val="22"/>
          <w:szCs w:val="22"/>
          <w:lang w:eastAsia="zh-CN"/>
        </w:rPr>
        <w:t>年。公司主要从事研究、开发、生产、组装食品机械和饮料机械及其配套设备，销售公司自产产品并提供产品的售后服务。经过一系列合并、增资事项后，评估期间，公司注册资本为美元</w:t>
      </w:r>
      <w:r w:rsidRPr="00382AAF">
        <w:rPr>
          <w:rFonts w:ascii="华文细黑" w:eastAsia="华文细黑" w:hAnsi="华文细黑" w:cs="Arial"/>
          <w:sz w:val="22"/>
          <w:szCs w:val="22"/>
          <w:lang w:eastAsia="zh-CN"/>
        </w:rPr>
        <w:t>1,600</w:t>
      </w:r>
      <w:r w:rsidRPr="00382AAF">
        <w:rPr>
          <w:rFonts w:ascii="华文细黑" w:eastAsia="华文细黑" w:hAnsi="华文细黑" w:cs="微软雅黑"/>
          <w:sz w:val="22"/>
          <w:szCs w:val="22"/>
          <w:lang w:eastAsia="zh-CN"/>
        </w:rPr>
        <w:t>万元。</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技术的基本信息详见下表。</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2</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斯必克流体</w:t>
      </w:r>
      <w:r w:rsidRPr="00382AAF">
        <w:rPr>
          <w:rFonts w:ascii="华文细黑" w:eastAsia="华文细黑" w:hAnsi="华文细黑" w:cs="微软雅黑"/>
          <w:b/>
          <w:bCs/>
          <w:sz w:val="18"/>
          <w:szCs w:val="18"/>
          <w:lang w:eastAsia="zh-CN"/>
        </w:rPr>
        <w:t>技术基本信息</w:t>
      </w:r>
    </w:p>
    <w:p w:rsidR="00152594" w:rsidRPr="00382AAF" w:rsidRDefault="00382AAF">
      <w:pPr>
        <w:pStyle w:val="BodyText"/>
        <w:numPr>
          <w:ilvl w:val="0"/>
          <w:numId w:val="4"/>
        </w:numPr>
        <w:tabs>
          <w:tab w:val="left" w:pos="720"/>
        </w:tabs>
        <w:spacing w:before="163" w:after="163"/>
        <w:ind w:left="0" w:firstLine="0"/>
        <w:rPr>
          <w:rFonts w:ascii="华文细黑" w:eastAsia="华文细黑" w:hAnsi="华文细黑" w:cs="Arial"/>
          <w:color w:val="4F81BD"/>
          <w:sz w:val="22"/>
          <w:szCs w:val="22"/>
          <w:lang w:eastAsia="zh-CN"/>
        </w:rPr>
      </w:pPr>
      <w:bookmarkStart w:id="20" w:name="_Toc256000012"/>
      <w:bookmarkStart w:id="21" w:name="_Toc2243"/>
      <w:bookmarkStart w:id="22" w:name="_Toc11960"/>
      <w:bookmarkStart w:id="23" w:name="_Toc47700008"/>
      <w:bookmarkStart w:id="24" w:name="_Toc76668377"/>
      <w:r w:rsidRPr="00382AAF">
        <w:rPr>
          <w:rFonts w:ascii="华文细黑" w:eastAsia="华文细黑" w:hAnsi="华文细黑" w:cs="微软雅黑"/>
          <w:color w:val="4F81BD"/>
          <w:sz w:val="22"/>
          <w:szCs w:val="22"/>
          <w:lang w:eastAsia="zh-CN"/>
        </w:rPr>
        <w:t>公司组织结构图和主要部门</w:t>
      </w:r>
      <w:bookmarkEnd w:id="20"/>
      <w:bookmarkEnd w:id="21"/>
      <w:bookmarkEnd w:id="22"/>
      <w:bookmarkEnd w:id="23"/>
      <w:bookmarkEnd w:id="24"/>
      <w:r w:rsidRPr="00382AAF">
        <w:rPr>
          <w:rFonts w:ascii="华文细黑" w:eastAsia="华文细黑" w:hAnsi="华文细黑" w:cs="Arial"/>
          <w:color w:val="000000"/>
          <w:sz w:val="11"/>
          <w:szCs w:val="11"/>
          <w:vertAlign w:val="superscript"/>
        </w:rPr>
        <w:footnoteReference w:id="3"/>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截至</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w:t>
      </w:r>
      <w:r w:rsidRPr="00382AAF">
        <w:rPr>
          <w:rFonts w:ascii="华文细黑" w:eastAsia="华文细黑" w:hAnsi="华文细黑" w:cs="Arial"/>
          <w:sz w:val="22"/>
          <w:szCs w:val="22"/>
          <w:lang w:eastAsia="zh-CN"/>
        </w:rPr>
        <w:t>12</w:t>
      </w:r>
      <w:r w:rsidRPr="00382AAF">
        <w:rPr>
          <w:rFonts w:ascii="华文细黑" w:eastAsia="华文细黑" w:hAnsi="华文细黑" w:cs="微软雅黑"/>
          <w:sz w:val="22"/>
          <w:szCs w:val="22"/>
          <w:lang w:eastAsia="zh-CN"/>
        </w:rPr>
        <w:t>月</w:t>
      </w:r>
      <w:r w:rsidRPr="00382AAF">
        <w:rPr>
          <w:rFonts w:ascii="华文细黑" w:eastAsia="华文细黑" w:hAnsi="华文细黑" w:cs="Arial"/>
          <w:sz w:val="22"/>
          <w:szCs w:val="22"/>
          <w:lang w:eastAsia="zh-CN"/>
        </w:rPr>
        <w:t>31</w:t>
      </w:r>
      <w:r w:rsidRPr="00382AAF">
        <w:rPr>
          <w:rFonts w:ascii="华文细黑" w:eastAsia="华文细黑" w:hAnsi="华文细黑" w:cs="微软雅黑"/>
          <w:sz w:val="22"/>
          <w:szCs w:val="22"/>
          <w:lang w:eastAsia="zh-CN"/>
        </w:rPr>
        <w:t>日，</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技术的管理组织结构显示如下：</w:t>
      </w:r>
    </w:p>
    <w:p w:rsidR="00152594" w:rsidRPr="00382AAF" w:rsidRDefault="00382AAF">
      <w:pPr>
        <w:pStyle w:val="BodyText"/>
        <w:jc w:val="center"/>
        <w:rPr>
          <w:rFonts w:ascii="华文细黑" w:eastAsia="华文细黑" w:hAnsi="华文细黑"/>
          <w:sz w:val="18"/>
          <w:szCs w:val="18"/>
          <w:lang w:eastAsia="zh-CN"/>
        </w:rPr>
      </w:pPr>
      <w:bookmarkStart w:id="25" w:name="_Toc12286303"/>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3</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斯必克流体</w:t>
      </w:r>
      <w:r w:rsidRPr="00382AAF">
        <w:rPr>
          <w:rFonts w:ascii="华文细黑" w:eastAsia="华文细黑" w:hAnsi="华文细黑" w:cs="微软雅黑"/>
          <w:b/>
          <w:bCs/>
          <w:sz w:val="18"/>
          <w:szCs w:val="18"/>
          <w:lang w:eastAsia="zh-CN"/>
        </w:rPr>
        <w:t>技术的组织结构图</w:t>
      </w:r>
      <w:bookmarkEnd w:id="25"/>
    </w:p>
    <w:p w:rsidR="00152594" w:rsidRPr="00382AAF" w:rsidRDefault="00382AAF">
      <w:pPr>
        <w:pStyle w:val="BodyText"/>
        <w:widowControl w:val="0"/>
        <w:spacing w:after="0"/>
        <w:jc w:val="center"/>
        <w:rPr>
          <w:rFonts w:ascii="华文细黑" w:eastAsia="华文细黑" w:hAnsi="华文细黑"/>
          <w:sz w:val="16"/>
          <w:szCs w:val="16"/>
        </w:rPr>
      </w:pPr>
      <w:r w:rsidRPr="00382AAF">
        <w:rPr>
          <w:rFonts w:ascii="华文细黑" w:eastAsia="华文细黑" w:hAnsi="华文细黑"/>
          <w:noProof/>
          <w:sz w:val="16"/>
          <w:szCs w:val="16"/>
          <w:lang w:eastAsia="zh-CN"/>
        </w:rPr>
        <w:lastRenderedPageBreak/>
        <w:drawing>
          <wp:inline distT="0" distB="0" distL="0" distR="0">
            <wp:extent cx="5429250" cy="23907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5429250" cy="2390775"/>
                    </a:xfrm>
                    <a:prstGeom prst="rect">
                      <a:avLst/>
                    </a:prstGeom>
                  </pic:spPr>
                </pic:pic>
              </a:graphicData>
            </a:graphic>
          </wp:inline>
        </w:drawing>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截至</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w:t>
      </w:r>
      <w:r w:rsidRPr="00382AAF">
        <w:rPr>
          <w:rFonts w:ascii="华文细黑" w:eastAsia="华文细黑" w:hAnsi="华文细黑" w:cs="Arial"/>
          <w:sz w:val="22"/>
          <w:szCs w:val="22"/>
          <w:lang w:eastAsia="zh-CN"/>
        </w:rPr>
        <w:t>12</w:t>
      </w:r>
      <w:r w:rsidRPr="00382AAF">
        <w:rPr>
          <w:rFonts w:ascii="华文细黑" w:eastAsia="华文细黑" w:hAnsi="华文细黑" w:cs="微软雅黑"/>
          <w:sz w:val="22"/>
          <w:szCs w:val="22"/>
          <w:lang w:eastAsia="zh-CN"/>
        </w:rPr>
        <w:t>月</w:t>
      </w:r>
      <w:r w:rsidRPr="00382AAF">
        <w:rPr>
          <w:rFonts w:ascii="华文细黑" w:eastAsia="华文细黑" w:hAnsi="华文细黑" w:cs="Arial"/>
          <w:sz w:val="22"/>
          <w:szCs w:val="22"/>
          <w:lang w:eastAsia="zh-CN"/>
        </w:rPr>
        <w:t>31</w:t>
      </w:r>
      <w:r w:rsidRPr="00382AAF">
        <w:rPr>
          <w:rFonts w:ascii="华文细黑" w:eastAsia="华文细黑" w:hAnsi="华文细黑" w:cs="微软雅黑"/>
          <w:sz w:val="22"/>
          <w:szCs w:val="22"/>
          <w:lang w:eastAsia="zh-CN"/>
        </w:rPr>
        <w:t>日，</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技术的主要业务部门和职责范围显示如下，各部门负责人汇报的对象均为位于上海的工厂厂长办公室：</w:t>
      </w:r>
    </w:p>
    <w:p w:rsidR="00152594" w:rsidRPr="00382AAF" w:rsidRDefault="00382AAF">
      <w:pPr>
        <w:pStyle w:val="BodyText"/>
        <w:spacing w:after="0"/>
        <w:jc w:val="center"/>
        <w:rPr>
          <w:rFonts w:ascii="华文细黑" w:eastAsia="华文细黑" w:hAnsi="华文细黑"/>
          <w:sz w:val="18"/>
          <w:szCs w:val="18"/>
          <w:lang w:eastAsia="zh-CN"/>
        </w:rPr>
      </w:pPr>
      <w:bookmarkStart w:id="26" w:name="_Toc12286290"/>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4</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斯必克流体</w:t>
      </w:r>
      <w:r w:rsidRPr="00382AAF">
        <w:rPr>
          <w:rFonts w:ascii="华文细黑" w:eastAsia="华文细黑" w:hAnsi="华文细黑" w:cs="微软雅黑"/>
          <w:b/>
          <w:bCs/>
          <w:sz w:val="18"/>
          <w:szCs w:val="18"/>
          <w:lang w:eastAsia="zh-CN"/>
        </w:rPr>
        <w:t>技术部门结构</w:t>
      </w:r>
      <w:bookmarkEnd w:id="26"/>
    </w:p>
    <w:p w:rsidR="00152594" w:rsidRPr="00382AAF" w:rsidRDefault="00382AAF">
      <w:pPr>
        <w:pStyle w:val="Heading2"/>
        <w:numPr>
          <w:ilvl w:val="1"/>
          <w:numId w:val="1"/>
        </w:numPr>
        <w:rPr>
          <w:rFonts w:ascii="华文细黑" w:eastAsia="华文细黑" w:hAnsi="华文细黑"/>
        </w:rPr>
      </w:pPr>
      <w:bookmarkStart w:id="27" w:name="_Toc256002765"/>
      <w:r w:rsidRPr="00382AAF">
        <w:rPr>
          <w:rFonts w:ascii="华文细黑" w:eastAsia="华文细黑" w:hAnsi="华文细黑"/>
        </w:rPr>
        <w:t>主营业务及财务状况</w:t>
      </w:r>
      <w:bookmarkEnd w:id="27"/>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技术主要从事生产业务。下表列示了</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技术的具体财务状况。由于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技术主要从事生产业务，因此并不存在财务数据需要在不同类型的业务中拆分的情况：</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5</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斯必克流体</w:t>
      </w:r>
      <w:r w:rsidRPr="00382AAF">
        <w:rPr>
          <w:rFonts w:ascii="华文细黑" w:eastAsia="华文细黑" w:hAnsi="华文细黑" w:cs="微软雅黑"/>
          <w:b/>
          <w:bCs/>
          <w:sz w:val="18"/>
          <w:szCs w:val="18"/>
          <w:lang w:eastAsia="zh-CN"/>
        </w:rPr>
        <w:t>技术财务状况</w:t>
      </w:r>
      <w:r w:rsidRPr="00382AAF">
        <w:rPr>
          <w:rFonts w:ascii="华文细黑" w:eastAsia="华文细黑" w:hAnsi="华文细黑" w:cs="Arial"/>
          <w:color w:val="000000"/>
          <w:sz w:val="11"/>
          <w:szCs w:val="11"/>
          <w:vertAlign w:val="superscript"/>
        </w:rPr>
        <w:footnoteReference w:id="4"/>
      </w:r>
    </w:p>
    <w:p w:rsidR="00152594" w:rsidRPr="00382AAF" w:rsidRDefault="00382AAF">
      <w:pPr>
        <w:pStyle w:val="Heading2"/>
        <w:numPr>
          <w:ilvl w:val="1"/>
          <w:numId w:val="1"/>
        </w:numPr>
        <w:rPr>
          <w:rFonts w:ascii="华文细黑" w:eastAsia="华文细黑" w:hAnsi="华文细黑"/>
        </w:rPr>
      </w:pPr>
      <w:bookmarkStart w:id="28" w:name="_Toc256002766"/>
      <w:r w:rsidRPr="00382AAF">
        <w:rPr>
          <w:rFonts w:ascii="华文细黑" w:eastAsia="华文细黑" w:hAnsi="华文细黑"/>
        </w:rPr>
        <w:t>本年度重大变化事项</w:t>
      </w:r>
      <w:bookmarkEnd w:id="28"/>
    </w:p>
    <w:p w:rsidR="00152594" w:rsidRPr="00382AAF" w:rsidRDefault="00382AAF">
      <w:pPr>
        <w:pStyle w:val="BodyText"/>
        <w:widowControl w:val="0"/>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技术未发生重组和无形资产转让的情况，无重大对外投资，也无关联股权转让。企业的经营状况未受到重大影响。</w:t>
      </w:r>
    </w:p>
    <w:p w:rsidR="00152594" w:rsidRPr="00382AAF" w:rsidRDefault="00152594">
      <w:pPr>
        <w:pStyle w:val="BodyText"/>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382AAF">
      <w:pPr>
        <w:pStyle w:val="Heading1"/>
        <w:numPr>
          <w:ilvl w:val="0"/>
          <w:numId w:val="1"/>
        </w:numPr>
        <w:rPr>
          <w:rFonts w:ascii="华文细黑" w:eastAsia="华文细黑" w:hAnsi="华文细黑"/>
        </w:rPr>
      </w:pPr>
      <w:bookmarkStart w:id="29" w:name="_Toc256002767"/>
      <w:r w:rsidRPr="00382AAF">
        <w:rPr>
          <w:rFonts w:ascii="华文细黑" w:eastAsia="华文细黑" w:hAnsi="华文细黑"/>
        </w:rPr>
        <w:lastRenderedPageBreak/>
        <w:t>行业分析</w:t>
      </w:r>
      <w:bookmarkEnd w:id="29"/>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w:t>
      </w:r>
      <w:r w:rsidRPr="00382AAF">
        <w:rPr>
          <w:rFonts w:ascii="华文细黑" w:eastAsia="华文细黑" w:hAnsi="华文细黑" w:cs="Arial"/>
          <w:sz w:val="22"/>
          <w:szCs w:val="22"/>
          <w:lang w:eastAsia="zh-CN"/>
        </w:rPr>
        <w:t>OECD</w:t>
      </w:r>
      <w:r w:rsidRPr="00382AAF">
        <w:rPr>
          <w:rFonts w:ascii="华文细黑" w:eastAsia="华文细黑" w:hAnsi="华文细黑" w:cs="微软雅黑"/>
          <w:sz w:val="22"/>
          <w:szCs w:val="22"/>
          <w:lang w:eastAsia="zh-CN"/>
        </w:rPr>
        <w:t>指南亦建议将行业分析作为转让定价分析的重要步骤。</w:t>
      </w:r>
      <w:r w:rsidRPr="00382AAF">
        <w:rPr>
          <w:rFonts w:ascii="华文细黑" w:eastAsia="华文细黑" w:hAnsi="华文细黑" w:cs="Arial"/>
          <w:color w:val="000000"/>
          <w:sz w:val="11"/>
          <w:szCs w:val="11"/>
          <w:vertAlign w:val="superscript"/>
        </w:rPr>
        <w:footnoteReference w:id="5"/>
      </w:r>
      <w:r w:rsidRPr="00382AAF">
        <w:rPr>
          <w:rFonts w:ascii="华文细黑" w:eastAsia="华文细黑" w:hAnsi="华文细黑" w:cs="微软雅黑"/>
          <w:sz w:val="22"/>
          <w:szCs w:val="22"/>
          <w:lang w:eastAsia="zh-CN"/>
        </w:rPr>
        <w:t xml:space="preserve"> </w:t>
      </w:r>
    </w:p>
    <w:p w:rsidR="00152594" w:rsidRPr="00382AAF" w:rsidRDefault="00382AAF">
      <w:pPr>
        <w:pStyle w:val="BodyText"/>
        <w:spacing w:before="120"/>
        <w:ind w:left="119" w:right="113" w:firstLine="440"/>
        <w:jc w:val="both"/>
        <w:rPr>
          <w:rFonts w:ascii="华文细黑" w:eastAsia="华文细黑" w:hAnsi="华文细黑"/>
          <w:sz w:val="22"/>
          <w:szCs w:val="22"/>
        </w:rPr>
      </w:pPr>
      <w:r w:rsidRPr="00382AAF">
        <w:rPr>
          <w:rFonts w:ascii="华文细黑" w:eastAsia="华文细黑" w:hAnsi="华文细黑" w:cs="微软雅黑"/>
          <w:sz w:val="22"/>
          <w:szCs w:val="22"/>
          <w:lang w:eastAsia="zh-CN"/>
        </w:rPr>
        <w:t>因此，我们将对</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技术相关的行业领域，即工业自动化设备制造业，进行分析。</w:t>
      </w:r>
      <w:r w:rsidRPr="00382AAF">
        <w:rPr>
          <w:rFonts w:ascii="华文细黑" w:eastAsia="华文细黑" w:hAnsi="华文细黑" w:cs="微软雅黑"/>
          <w:sz w:val="22"/>
          <w:szCs w:val="22"/>
        </w:rPr>
        <w:t>分析的具体方面如下：</w:t>
      </w:r>
    </w:p>
    <w:p w:rsidR="00152594" w:rsidRPr="00382AAF" w:rsidRDefault="00382AAF">
      <w:pPr>
        <w:pStyle w:val="BodyText"/>
        <w:numPr>
          <w:ilvl w:val="0"/>
          <w:numId w:val="5"/>
        </w:numPr>
        <w:tabs>
          <w:tab w:val="left" w:pos="1008"/>
        </w:tabs>
        <w:spacing w:before="120"/>
        <w:ind w:left="979" w:right="113" w:hanging="420"/>
        <w:jc w:val="both"/>
        <w:rPr>
          <w:rFonts w:ascii="华文细黑" w:eastAsia="华文细黑" w:hAnsi="华文细黑"/>
          <w:sz w:val="22"/>
          <w:szCs w:val="22"/>
        </w:rPr>
      </w:pPr>
      <w:r w:rsidRPr="00382AAF">
        <w:rPr>
          <w:rFonts w:ascii="华文细黑" w:eastAsia="华文细黑" w:hAnsi="华文细黑"/>
          <w:sz w:val="14"/>
          <w:szCs w:val="14"/>
        </w:rPr>
        <w:t xml:space="preserve">             </w:t>
      </w:r>
      <w:r w:rsidRPr="00382AAF">
        <w:rPr>
          <w:rFonts w:ascii="华文细黑" w:eastAsia="华文细黑" w:hAnsi="华文细黑" w:cs="微软雅黑"/>
          <w:sz w:val="22"/>
          <w:szCs w:val="22"/>
        </w:rPr>
        <w:t>行业概述；</w:t>
      </w:r>
    </w:p>
    <w:p w:rsidR="00152594" w:rsidRPr="00382AAF" w:rsidRDefault="00382AAF">
      <w:pPr>
        <w:pStyle w:val="BodyText"/>
        <w:numPr>
          <w:ilvl w:val="0"/>
          <w:numId w:val="5"/>
        </w:numPr>
        <w:tabs>
          <w:tab w:val="left" w:pos="1008"/>
        </w:tabs>
        <w:spacing w:before="120"/>
        <w:ind w:left="979" w:right="113" w:hanging="420"/>
        <w:jc w:val="both"/>
        <w:rPr>
          <w:rFonts w:ascii="华文细黑" w:eastAsia="华文细黑" w:hAnsi="华文细黑"/>
          <w:sz w:val="22"/>
          <w:szCs w:val="22"/>
        </w:rPr>
      </w:pPr>
      <w:r w:rsidRPr="00382AAF">
        <w:rPr>
          <w:rFonts w:ascii="华文细黑" w:eastAsia="华文细黑" w:hAnsi="华文细黑"/>
          <w:sz w:val="14"/>
          <w:szCs w:val="14"/>
        </w:rPr>
        <w:t xml:space="preserve">             </w:t>
      </w:r>
      <w:r w:rsidRPr="00382AAF">
        <w:rPr>
          <w:rFonts w:ascii="华文细黑" w:eastAsia="华文细黑" w:hAnsi="华文细黑" w:cs="微软雅黑"/>
          <w:sz w:val="22"/>
          <w:szCs w:val="22"/>
        </w:rPr>
        <w:t>行业政策描述；</w:t>
      </w:r>
    </w:p>
    <w:p w:rsidR="00152594" w:rsidRPr="00382AAF" w:rsidRDefault="00382AAF">
      <w:pPr>
        <w:pStyle w:val="BodyText"/>
        <w:numPr>
          <w:ilvl w:val="0"/>
          <w:numId w:val="5"/>
        </w:numPr>
        <w:tabs>
          <w:tab w:val="left" w:pos="1008"/>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微软雅黑"/>
          <w:sz w:val="22"/>
          <w:szCs w:val="22"/>
          <w:lang w:eastAsia="zh-CN"/>
        </w:rPr>
        <w:t>全球及中国市场情况描述；</w:t>
      </w:r>
    </w:p>
    <w:p w:rsidR="00152594" w:rsidRPr="00382AAF" w:rsidRDefault="00382AAF">
      <w:pPr>
        <w:pStyle w:val="BodyText"/>
        <w:numPr>
          <w:ilvl w:val="0"/>
          <w:numId w:val="5"/>
        </w:numPr>
        <w:tabs>
          <w:tab w:val="left" w:pos="1008"/>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微软雅黑"/>
          <w:sz w:val="22"/>
          <w:szCs w:val="22"/>
          <w:lang w:eastAsia="zh-CN"/>
        </w:rPr>
        <w:t>行业发展趋势及竞争环境。</w:t>
      </w:r>
    </w:p>
    <w:p w:rsidR="00152594" w:rsidRPr="00382AAF" w:rsidRDefault="00382AAF">
      <w:pPr>
        <w:pStyle w:val="Heading2"/>
        <w:numPr>
          <w:ilvl w:val="1"/>
          <w:numId w:val="1"/>
        </w:numPr>
        <w:rPr>
          <w:rFonts w:ascii="华文细黑" w:eastAsia="华文细黑" w:hAnsi="华文细黑"/>
        </w:rPr>
      </w:pPr>
      <w:bookmarkStart w:id="30" w:name="_Toc256002768"/>
      <w:r w:rsidRPr="00382AAF">
        <w:rPr>
          <w:rFonts w:ascii="华文细黑" w:eastAsia="华文细黑" w:hAnsi="华文细黑"/>
        </w:rPr>
        <w:t>行业发展趋势</w:t>
      </w:r>
      <w:bookmarkEnd w:id="30"/>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技术主要下游产业为乳制品行业和工业行业，因此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技术受到乳制品行业和工业行业的影响较大。</w:t>
      </w:r>
    </w:p>
    <w:p w:rsidR="00152594" w:rsidRPr="00382AAF" w:rsidRDefault="00382AAF">
      <w:pPr>
        <w:pStyle w:val="Heading2"/>
        <w:numPr>
          <w:ilvl w:val="1"/>
          <w:numId w:val="1"/>
        </w:numPr>
        <w:rPr>
          <w:rFonts w:ascii="华文细黑" w:eastAsia="华文细黑" w:hAnsi="华文细黑"/>
        </w:rPr>
      </w:pPr>
      <w:bookmarkStart w:id="31" w:name="_Toc256002769"/>
      <w:r w:rsidRPr="00382AAF">
        <w:rPr>
          <w:rFonts w:ascii="华文细黑" w:eastAsia="华文细黑" w:hAnsi="华文细黑"/>
        </w:rPr>
        <w:t>结论</w:t>
      </w:r>
      <w:bookmarkEnd w:id="31"/>
    </w:p>
    <w:p w:rsidR="00152594" w:rsidRPr="00382AAF" w:rsidRDefault="00382AAF">
      <w:pPr>
        <w:pStyle w:val="BodyText"/>
        <w:spacing w:before="120"/>
        <w:ind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技术所处的工业自动化制造行业在结束下探走势，开始稳步回升。</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技术主要下游行业</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乳制品行业处于稳定成长的状态，随着国家对于乳业的支持以及消费渠道的打开，下游市场也预期良好。</w:t>
      </w:r>
    </w:p>
    <w:p w:rsidR="00152594" w:rsidRPr="00382AAF" w:rsidRDefault="00382AAF">
      <w:pPr>
        <w:pStyle w:val="BodyText"/>
        <w:spacing w:before="120"/>
        <w:ind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综上所述，</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技术容易受到下游行业发展情况影响，面临的市场竞争非常激烈。</w:t>
      </w:r>
      <w:r w:rsidRPr="00382AAF">
        <w:rPr>
          <w:rFonts w:ascii="华文细黑" w:eastAsia="华文细黑" w:hAnsi="华文细黑"/>
          <w:sz w:val="22"/>
          <w:szCs w:val="22"/>
          <w:lang w:eastAsia="zh-CN"/>
        </w:rPr>
        <w:br w:type="page"/>
      </w:r>
    </w:p>
    <w:p w:rsidR="00152594" w:rsidRPr="00382AAF" w:rsidRDefault="00152594">
      <w:pPr>
        <w:pStyle w:val="BodyText"/>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382AAF">
      <w:pPr>
        <w:pStyle w:val="Heading1"/>
        <w:numPr>
          <w:ilvl w:val="0"/>
          <w:numId w:val="1"/>
        </w:numPr>
        <w:rPr>
          <w:rFonts w:ascii="华文细黑" w:eastAsia="华文细黑" w:hAnsi="华文细黑"/>
        </w:rPr>
      </w:pPr>
      <w:bookmarkStart w:id="32" w:name="_Toc256002770"/>
      <w:r w:rsidRPr="00382AAF">
        <w:rPr>
          <w:rFonts w:ascii="华文细黑" w:eastAsia="华文细黑" w:hAnsi="华文细黑"/>
        </w:rPr>
        <w:lastRenderedPageBreak/>
        <w:t>关联交易</w:t>
      </w:r>
      <w:bookmarkEnd w:id="32"/>
    </w:p>
    <w:p w:rsidR="00152594" w:rsidRPr="00382AAF" w:rsidRDefault="00382AAF">
      <w:pPr>
        <w:pStyle w:val="Heading2"/>
        <w:numPr>
          <w:ilvl w:val="1"/>
          <w:numId w:val="1"/>
        </w:numPr>
        <w:rPr>
          <w:rFonts w:ascii="华文细黑" w:eastAsia="华文细黑" w:hAnsi="华文细黑"/>
        </w:rPr>
      </w:pPr>
      <w:bookmarkStart w:id="33" w:name="_Toc256002771"/>
      <w:r w:rsidRPr="00382AAF">
        <w:rPr>
          <w:rFonts w:ascii="华文细黑" w:eastAsia="华文细黑" w:hAnsi="华文细黑"/>
        </w:rPr>
        <w:t>关联方信息</w:t>
      </w:r>
      <w:bookmarkEnd w:id="33"/>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年度主要关联方的基本信息如下所示：</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1</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技术的母公司情况：</w:t>
      </w:r>
      <w:r w:rsidRPr="00382AAF">
        <w:rPr>
          <w:rFonts w:ascii="华文细黑" w:eastAsia="华文细黑" w:hAnsi="华文细黑" w:cs="Arial"/>
          <w:color w:val="000000"/>
          <w:sz w:val="11"/>
          <w:szCs w:val="11"/>
          <w:vertAlign w:val="superscript"/>
        </w:rPr>
        <w:footnoteReference w:id="6"/>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6</w:t>
      </w:r>
      <w:r w:rsidRPr="00382AAF">
        <w:rPr>
          <w:rFonts w:ascii="华文细黑" w:eastAsia="华文细黑" w:hAnsi="华文细黑" w:cs="微软雅黑"/>
          <w:b/>
          <w:bCs/>
          <w:sz w:val="18"/>
          <w:szCs w:val="18"/>
          <w:lang w:eastAsia="zh-CN"/>
        </w:rPr>
        <w:t>：本公司的母公司基本信息</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母公司斯必克（中国）投资有限公司对本公司的持股比例为</w:t>
      </w:r>
      <w:r w:rsidRPr="00382AAF">
        <w:rPr>
          <w:rFonts w:ascii="华文细黑" w:eastAsia="华文细黑" w:hAnsi="华文细黑" w:cs="Arial"/>
          <w:sz w:val="22"/>
          <w:szCs w:val="22"/>
          <w:lang w:eastAsia="zh-CN"/>
        </w:rPr>
        <w:t>100%</w:t>
      </w:r>
      <w:r w:rsidRPr="00382AAF">
        <w:rPr>
          <w:rFonts w:ascii="华文细黑" w:eastAsia="华文细黑" w:hAnsi="华文细黑" w:cs="微软雅黑"/>
          <w:sz w:val="22"/>
          <w:szCs w:val="22"/>
          <w:lang w:eastAsia="zh-CN"/>
        </w:rPr>
        <w:t>，所持本公司的表决权比例为</w:t>
      </w:r>
      <w:r w:rsidRPr="00382AAF">
        <w:rPr>
          <w:rFonts w:ascii="华文细黑" w:eastAsia="华文细黑" w:hAnsi="华文细黑" w:cs="Arial"/>
          <w:sz w:val="22"/>
          <w:szCs w:val="22"/>
          <w:lang w:eastAsia="zh-CN"/>
        </w:rPr>
        <w:t>100%</w:t>
      </w:r>
      <w:r w:rsidRPr="00382AAF">
        <w:rPr>
          <w:rFonts w:ascii="华文细黑" w:eastAsia="华文细黑" w:hAnsi="华文细黑" w:cs="微软雅黑"/>
          <w:sz w:val="22"/>
          <w:szCs w:val="22"/>
          <w:lang w:eastAsia="zh-CN"/>
        </w:rPr>
        <w:t>。</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2</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技术的其他关联方情况如下：</w:t>
      </w:r>
      <w:r w:rsidRPr="00382AAF">
        <w:rPr>
          <w:rFonts w:ascii="华文细黑" w:eastAsia="华文细黑" w:hAnsi="华文细黑" w:cs="Arial"/>
          <w:color w:val="000000"/>
          <w:sz w:val="11"/>
          <w:szCs w:val="11"/>
          <w:vertAlign w:val="superscript"/>
        </w:rPr>
        <w:footnoteReference w:id="7"/>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年度，没有个人关联方直接或间接持有</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技术的股份（如</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个人持有最终母公司超过</w:t>
      </w:r>
      <w:r w:rsidRPr="00382AAF">
        <w:rPr>
          <w:rFonts w:ascii="华文细黑" w:eastAsia="华文细黑" w:hAnsi="华文细黑" w:cs="Arial"/>
          <w:sz w:val="22"/>
          <w:szCs w:val="22"/>
          <w:lang w:eastAsia="zh-CN"/>
        </w:rPr>
        <w:t>25%</w:t>
      </w:r>
      <w:r w:rsidRPr="00382AAF">
        <w:rPr>
          <w:rFonts w:ascii="华文细黑" w:eastAsia="华文细黑" w:hAnsi="华文细黑" w:cs="微软雅黑"/>
          <w:sz w:val="22"/>
          <w:szCs w:val="22"/>
          <w:lang w:eastAsia="zh-CN"/>
        </w:rPr>
        <w:t>的股份）或与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技术发生关联交易。</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7</w:t>
      </w:r>
      <w:r w:rsidRPr="00382AAF">
        <w:rPr>
          <w:rFonts w:ascii="华文细黑" w:eastAsia="华文细黑" w:hAnsi="华文细黑" w:cs="微软雅黑"/>
          <w:b/>
          <w:bCs/>
          <w:sz w:val="18"/>
          <w:szCs w:val="18"/>
          <w:lang w:eastAsia="zh-CN"/>
        </w:rPr>
        <w:t>：本公司的其他关联方的基本信息</w:t>
      </w:r>
    </w:p>
    <w:p w:rsidR="00152594" w:rsidRPr="00382AAF" w:rsidRDefault="00382AAF">
      <w:pPr>
        <w:pStyle w:val="Heading2"/>
        <w:numPr>
          <w:ilvl w:val="1"/>
          <w:numId w:val="1"/>
        </w:numPr>
        <w:rPr>
          <w:rFonts w:ascii="华文细黑" w:eastAsia="华文细黑" w:hAnsi="华文细黑"/>
        </w:rPr>
      </w:pPr>
      <w:bookmarkStart w:id="34" w:name="_Toc256002772"/>
      <w:r w:rsidRPr="00382AAF">
        <w:rPr>
          <w:rFonts w:ascii="华文细黑" w:eastAsia="华文细黑" w:hAnsi="华文细黑"/>
        </w:rPr>
        <w:t>主要关联交易</w:t>
      </w:r>
      <w:bookmarkEnd w:id="34"/>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技术涉及的关联交易包括有形资产的采购及销售；接受及提供关联劳务；以及参与集团现金池协议。主要关联交易金额及类型如下图所示：</w:t>
      </w:r>
      <w:r w:rsidRPr="00382AAF">
        <w:rPr>
          <w:rFonts w:ascii="华文细黑" w:eastAsia="华文细黑" w:hAnsi="华文细黑" w:cs="Arial"/>
          <w:color w:val="000000"/>
          <w:sz w:val="11"/>
          <w:szCs w:val="11"/>
          <w:vertAlign w:val="superscript"/>
        </w:rPr>
        <w:footnoteReference w:id="8"/>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8</w:t>
      </w:r>
      <w:r w:rsidRPr="00382AAF">
        <w:rPr>
          <w:rFonts w:ascii="华文细黑" w:eastAsia="华文细黑" w:hAnsi="华文细黑" w:cs="微软雅黑"/>
          <w:b/>
          <w:bCs/>
          <w:sz w:val="18"/>
          <w:szCs w:val="18"/>
          <w:lang w:eastAsia="zh-CN"/>
        </w:rPr>
        <w:t>：关联交易汇总情况表</w:t>
      </w:r>
    </w:p>
    <w:p w:rsidR="00152594" w:rsidRPr="00382AAF" w:rsidRDefault="00382AAF">
      <w:pPr>
        <w:pStyle w:val="Heading2"/>
        <w:numPr>
          <w:ilvl w:val="1"/>
          <w:numId w:val="1"/>
        </w:numPr>
        <w:rPr>
          <w:rFonts w:ascii="华文细黑" w:eastAsia="华文细黑" w:hAnsi="华文细黑"/>
        </w:rPr>
      </w:pPr>
      <w:bookmarkStart w:id="35" w:name="_Toc256002773"/>
      <w:r w:rsidRPr="00382AAF">
        <w:rPr>
          <w:rFonts w:ascii="华文细黑" w:eastAsia="华文细黑" w:hAnsi="华文细黑"/>
        </w:rPr>
        <w:t>关联购销</w:t>
      </w:r>
      <w:bookmarkEnd w:id="35"/>
    </w:p>
    <w:p w:rsidR="00152594" w:rsidRPr="00382AAF" w:rsidRDefault="00382AAF">
      <w:pPr>
        <w:pStyle w:val="Heading3"/>
        <w:numPr>
          <w:ilvl w:val="2"/>
          <w:numId w:val="1"/>
        </w:numPr>
        <w:rPr>
          <w:rFonts w:ascii="华文细黑" w:eastAsia="华文细黑" w:hAnsi="华文细黑"/>
        </w:rPr>
      </w:pPr>
      <w:bookmarkStart w:id="36" w:name="_Toc256002774"/>
      <w:r w:rsidRPr="00382AAF">
        <w:rPr>
          <w:rFonts w:ascii="华文细黑" w:eastAsia="华文细黑" w:hAnsi="华文细黑"/>
        </w:rPr>
        <w:t>交易流程</w:t>
      </w:r>
      <w:bookmarkEnd w:id="3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技术的关联购销流程如下图所示：</w:t>
      </w:r>
    </w:p>
    <w:p w:rsidR="00152594" w:rsidRPr="00382AAF" w:rsidRDefault="00382AAF">
      <w:pPr>
        <w:pStyle w:val="BodyText"/>
        <w:widowControl w:val="0"/>
        <w:spacing w:after="0"/>
        <w:jc w:val="center"/>
        <w:rPr>
          <w:rFonts w:ascii="华文细黑" w:eastAsia="华文细黑" w:hAnsi="华文细黑"/>
          <w:sz w:val="18"/>
          <w:szCs w:val="18"/>
          <w:lang w:eastAsia="zh-CN"/>
        </w:rPr>
      </w:pPr>
      <w:r w:rsidRPr="00382AAF">
        <w:rPr>
          <w:rFonts w:ascii="华文细黑" w:eastAsia="华文细黑" w:hAnsi="华文细黑"/>
          <w:noProof/>
          <w:sz w:val="18"/>
          <w:szCs w:val="18"/>
          <w:lang w:eastAsia="zh-CN"/>
        </w:rPr>
        <w:drawing>
          <wp:anchor distT="0" distB="0" distL="114300" distR="114300" simplePos="0" relativeHeight="251658240" behindDoc="0" locked="0" layoutInCell="1" allowOverlap="1">
            <wp:simplePos x="0" y="0"/>
            <wp:positionH relativeFrom="margin">
              <wp:posOffset>0</wp:posOffset>
            </wp:positionH>
            <wp:positionV relativeFrom="paragraph">
              <wp:posOffset>281940</wp:posOffset>
            </wp:positionV>
            <wp:extent cx="5467350" cy="2133600"/>
            <wp:effectExtent l="0" t="0" r="0" b="0"/>
            <wp:wrapTopAndBottom/>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467350" cy="2133600"/>
                    </a:xfrm>
                    <a:prstGeom prst="rect">
                      <a:avLst/>
                    </a:prstGeom>
                  </pic:spPr>
                </pic:pic>
              </a:graphicData>
            </a:graphic>
          </wp:anchor>
        </w:drawing>
      </w:r>
      <w:r w:rsidRPr="00382AAF">
        <w:rPr>
          <w:rFonts w:ascii="华文细黑" w:eastAsia="华文细黑" w:hAnsi="华文细黑"/>
          <w:sz w:val="18"/>
          <w:szCs w:val="18"/>
          <w:lang w:eastAsia="zh-CN"/>
        </w:rPr>
        <w:br/>
      </w:r>
      <w:r w:rsidRPr="00382AAF">
        <w:rPr>
          <w:rFonts w:ascii="华文细黑" w:eastAsia="华文细黑" w:hAnsi="华文细黑" w:cs="微软雅黑"/>
          <w:b/>
          <w:bCs/>
          <w:sz w:val="18"/>
          <w:szCs w:val="18"/>
          <w:lang w:eastAsia="zh-CN"/>
        </w:rPr>
        <w:lastRenderedPageBreak/>
        <w:t>图表</w:t>
      </w:r>
      <w:r w:rsidRPr="00382AAF">
        <w:rPr>
          <w:rFonts w:ascii="华文细黑" w:eastAsia="华文细黑" w:hAnsi="华文细黑" w:cs="Arial"/>
          <w:b/>
          <w:bCs/>
          <w:sz w:val="18"/>
          <w:szCs w:val="18"/>
          <w:lang w:eastAsia="zh-CN"/>
        </w:rPr>
        <w:t>9</w:t>
      </w:r>
      <w:r w:rsidRPr="00382AAF">
        <w:rPr>
          <w:rFonts w:ascii="华文细黑" w:eastAsia="华文细黑" w:hAnsi="华文细黑" w:cs="微软雅黑"/>
          <w:b/>
          <w:bCs/>
          <w:sz w:val="18"/>
          <w:szCs w:val="18"/>
          <w:lang w:eastAsia="zh-CN"/>
        </w:rPr>
        <w:t>：关联购销交易流程图</w:t>
      </w:r>
    </w:p>
    <w:p w:rsidR="00152594" w:rsidRPr="00382AAF" w:rsidRDefault="00382AAF">
      <w:pPr>
        <w:pStyle w:val="BodyText"/>
        <w:numPr>
          <w:ilvl w:val="0"/>
          <w:numId w:val="6"/>
        </w:numPr>
        <w:tabs>
          <w:tab w:val="left" w:pos="720"/>
        </w:tabs>
        <w:spacing w:before="163" w:after="163"/>
        <w:ind w:left="0" w:firstLine="0"/>
        <w:rPr>
          <w:rFonts w:ascii="华文细黑" w:eastAsia="华文细黑" w:hAnsi="华文细黑" w:cs="Arial"/>
          <w:color w:val="4F81BD"/>
          <w:sz w:val="22"/>
          <w:szCs w:val="22"/>
        </w:rPr>
      </w:pPr>
      <w:bookmarkStart w:id="37" w:name="_Toc256000030"/>
      <w:bookmarkStart w:id="38" w:name="_Toc11480"/>
      <w:bookmarkStart w:id="39" w:name="_Toc8533"/>
      <w:bookmarkStart w:id="40" w:name="_Toc47700024"/>
      <w:bookmarkStart w:id="41" w:name="_Toc76668393"/>
      <w:r w:rsidRPr="00382AAF">
        <w:rPr>
          <w:rFonts w:ascii="华文细黑" w:eastAsia="华文细黑" w:hAnsi="华文细黑" w:cs="微软雅黑"/>
          <w:color w:val="4F81BD"/>
          <w:sz w:val="22"/>
          <w:szCs w:val="22"/>
        </w:rPr>
        <w:t>交易明细</w:t>
      </w:r>
      <w:bookmarkEnd w:id="37"/>
      <w:bookmarkEnd w:id="38"/>
      <w:bookmarkEnd w:id="39"/>
      <w:bookmarkEnd w:id="40"/>
      <w:bookmarkEnd w:id="41"/>
      <w:r w:rsidRPr="00382AAF">
        <w:rPr>
          <w:rFonts w:ascii="华文细黑" w:eastAsia="华文细黑" w:hAnsi="华文细黑" w:cs="Arial"/>
          <w:color w:val="000000"/>
          <w:sz w:val="11"/>
          <w:szCs w:val="11"/>
          <w:vertAlign w:val="superscript"/>
        </w:rPr>
        <w:footnoteReference w:id="9"/>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技术关联采购的关联方和交易金额如下表所示：</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10</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2024</w:t>
      </w:r>
      <w:r w:rsidRPr="00382AAF">
        <w:rPr>
          <w:rFonts w:ascii="华文细黑" w:eastAsia="华文细黑" w:hAnsi="华文细黑" w:cs="微软雅黑"/>
          <w:b/>
          <w:bCs/>
          <w:sz w:val="18"/>
          <w:szCs w:val="18"/>
          <w:lang w:eastAsia="zh-CN"/>
        </w:rPr>
        <w:t>年度关联采购交易明细表</w:t>
      </w:r>
    </w:p>
    <w:p w:rsidR="00152594" w:rsidRPr="00382AAF" w:rsidRDefault="00382AAF">
      <w:pPr>
        <w:pStyle w:val="BodyText"/>
        <w:spacing w:before="120"/>
        <w:ind w:left="119" w:right="113" w:firstLine="476"/>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技术关联销售的关联方和交易金额如下表所示：</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11</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 xml:space="preserve">2024 </w:t>
      </w:r>
      <w:r w:rsidRPr="00382AAF">
        <w:rPr>
          <w:rFonts w:ascii="华文细黑" w:eastAsia="华文细黑" w:hAnsi="华文细黑" w:cs="微软雅黑"/>
          <w:b/>
          <w:bCs/>
          <w:sz w:val="18"/>
          <w:szCs w:val="18"/>
          <w:lang w:eastAsia="zh-CN"/>
        </w:rPr>
        <w:t>年度关联销售交易明细表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技术已经加入斯必克中国投资设立的服务共享中心，接受斯必克中国投资提供的相关劳务，包括：人力资源管理服务、财务经济管理服务、内部数据分析和信息系统服务。此外，</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技术还接受</w:t>
      </w:r>
      <w:r w:rsidRPr="00382AAF">
        <w:rPr>
          <w:rFonts w:ascii="华文细黑" w:eastAsia="华文细黑" w:hAnsi="华文细黑" w:cs="Arial"/>
          <w:sz w:val="22"/>
          <w:szCs w:val="22"/>
          <w:lang w:eastAsia="zh-CN"/>
        </w:rPr>
        <w:t>SPX Flow, Inc.</w:t>
      </w:r>
      <w:r w:rsidRPr="00382AAF">
        <w:rPr>
          <w:rFonts w:ascii="华文细黑" w:eastAsia="华文细黑" w:hAnsi="华文细黑" w:cs="微软雅黑"/>
          <w:sz w:val="22"/>
          <w:szCs w:val="22"/>
          <w:lang w:eastAsia="zh-CN"/>
        </w:rPr>
        <w:t>等关联公司提供的支持性服务和终端市场服务等。评估期间，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技术向斯必克中国投资以及</w:t>
      </w:r>
      <w:r w:rsidRPr="00382AAF">
        <w:rPr>
          <w:rFonts w:ascii="华文细黑" w:eastAsia="华文细黑" w:hAnsi="华文细黑" w:cs="Arial"/>
          <w:sz w:val="22"/>
          <w:szCs w:val="22"/>
          <w:lang w:eastAsia="zh-CN"/>
        </w:rPr>
        <w:t>SPX Flow, Inc.</w:t>
      </w:r>
      <w:r w:rsidRPr="00382AAF">
        <w:rPr>
          <w:rFonts w:ascii="华文细黑" w:eastAsia="华文细黑" w:hAnsi="华文细黑" w:cs="微软雅黑"/>
          <w:sz w:val="22"/>
          <w:szCs w:val="22"/>
          <w:lang w:eastAsia="zh-CN"/>
        </w:rPr>
        <w:t>等其他关联公司支付服务费，共计人民币</w:t>
      </w:r>
      <w:r w:rsidRPr="00382AAF">
        <w:rPr>
          <w:rFonts w:ascii="华文细黑" w:eastAsia="华文细黑" w:hAnsi="华文细黑" w:cs="Arial"/>
          <w:sz w:val="22"/>
          <w:szCs w:val="22"/>
          <w:lang w:eastAsia="zh-CN"/>
        </w:rPr>
        <w:t>51,335,404.50</w:t>
      </w:r>
      <w:r w:rsidRPr="00382AAF">
        <w:rPr>
          <w:rFonts w:ascii="华文细黑" w:eastAsia="华文细黑" w:hAnsi="华文细黑" w:cs="微软雅黑"/>
          <w:sz w:val="22"/>
          <w:szCs w:val="22"/>
          <w:lang w:eastAsia="zh-CN"/>
        </w:rPr>
        <w:t>元，仅占总经营成本费用的</w:t>
      </w:r>
      <w:r w:rsidRPr="00382AAF">
        <w:rPr>
          <w:rFonts w:ascii="华文细黑" w:eastAsia="华文细黑" w:hAnsi="华文细黑" w:cs="Arial"/>
          <w:sz w:val="22"/>
          <w:szCs w:val="22"/>
          <w:lang w:eastAsia="zh-CN"/>
        </w:rPr>
        <w:t>4.51%</w:t>
      </w:r>
      <w:r w:rsidRPr="00382AAF">
        <w:rPr>
          <w:rFonts w:ascii="华文细黑" w:eastAsia="华文细黑" w:hAnsi="华文细黑" w:cs="微软雅黑"/>
          <w:sz w:val="22"/>
          <w:szCs w:val="22"/>
          <w:lang w:eastAsia="zh-CN"/>
        </w:rPr>
        <w:t>。</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财年，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技术还向境外关联方提供工程设计、设备调试等劳务服务，共收取服务费人民币</w:t>
      </w:r>
      <w:r w:rsidRPr="00382AAF">
        <w:rPr>
          <w:rFonts w:ascii="华文细黑" w:eastAsia="华文细黑" w:hAnsi="华文细黑" w:cs="Arial"/>
          <w:sz w:val="22"/>
          <w:szCs w:val="22"/>
          <w:lang w:eastAsia="zh-CN"/>
        </w:rPr>
        <w:t>5,726,497.38</w:t>
      </w:r>
      <w:r w:rsidRPr="00382AAF">
        <w:rPr>
          <w:rFonts w:ascii="华文细黑" w:eastAsia="华文细黑" w:hAnsi="华文细黑" w:cs="微软雅黑"/>
          <w:sz w:val="22"/>
          <w:szCs w:val="22"/>
          <w:lang w:eastAsia="zh-CN"/>
        </w:rPr>
        <w:t>元，仅占营业收入的</w:t>
      </w:r>
      <w:r w:rsidRPr="00382AAF">
        <w:rPr>
          <w:rFonts w:ascii="华文细黑" w:eastAsia="华文细黑" w:hAnsi="华文细黑" w:cs="Arial"/>
          <w:sz w:val="22"/>
          <w:szCs w:val="22"/>
          <w:lang w:eastAsia="zh-CN"/>
        </w:rPr>
        <w:t>0.40%</w:t>
      </w:r>
      <w:r w:rsidRPr="00382AAF">
        <w:rPr>
          <w:rFonts w:ascii="华文细黑" w:eastAsia="华文细黑" w:hAnsi="华文细黑" w:cs="微软雅黑"/>
          <w:sz w:val="22"/>
          <w:szCs w:val="22"/>
          <w:lang w:eastAsia="zh-CN"/>
        </w:rPr>
        <w:t>。</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技术与关联方劳务交易流程如下图所示：</w:t>
      </w:r>
    </w:p>
    <w:p w:rsidR="00152594" w:rsidRPr="00382AAF" w:rsidRDefault="00382AAF">
      <w:pPr>
        <w:pStyle w:val="BodyText"/>
        <w:spacing w:after="0"/>
        <w:ind w:left="119" w:right="113" w:firstLine="476"/>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12</w:t>
      </w:r>
      <w:r w:rsidRPr="00382AAF">
        <w:rPr>
          <w:rFonts w:ascii="华文细黑" w:eastAsia="华文细黑" w:hAnsi="华文细黑" w:cs="微软雅黑"/>
          <w:b/>
          <w:bCs/>
          <w:sz w:val="18"/>
          <w:szCs w:val="18"/>
          <w:lang w:eastAsia="zh-CN"/>
        </w:rPr>
        <w:t>：关联劳务交易流程图</w:t>
      </w:r>
    </w:p>
    <w:p w:rsidR="00152594" w:rsidRPr="00382AAF" w:rsidRDefault="00382AAF">
      <w:pPr>
        <w:pStyle w:val="BodyText"/>
        <w:spacing w:before="240" w:after="240"/>
        <w:ind w:left="119" w:right="113" w:firstLine="475"/>
        <w:jc w:val="center"/>
        <w:rPr>
          <w:rFonts w:ascii="华文细黑" w:eastAsia="华文细黑" w:hAnsi="华文细黑"/>
          <w:sz w:val="22"/>
          <w:szCs w:val="22"/>
        </w:rPr>
      </w:pPr>
      <w:r w:rsidRPr="00382AAF">
        <w:rPr>
          <w:rFonts w:ascii="华文细黑" w:eastAsia="华文细黑" w:hAnsi="华文细黑"/>
          <w:noProof/>
          <w:sz w:val="22"/>
          <w:szCs w:val="22"/>
          <w:lang w:eastAsia="zh-CN"/>
        </w:rPr>
        <w:drawing>
          <wp:inline distT="0" distB="0" distL="0" distR="0">
            <wp:extent cx="4857750" cy="25527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4857750" cy="2552700"/>
                    </a:xfrm>
                    <a:prstGeom prst="rect">
                      <a:avLst/>
                    </a:prstGeom>
                  </pic:spPr>
                </pic:pic>
              </a:graphicData>
            </a:graphic>
          </wp:inline>
        </w:drawing>
      </w:r>
    </w:p>
    <w:p w:rsidR="00152594" w:rsidRPr="00382AAF" w:rsidRDefault="00382AAF">
      <w:pPr>
        <w:pStyle w:val="BodyText"/>
        <w:spacing w:after="0"/>
        <w:rPr>
          <w:rFonts w:ascii="华文细黑" w:eastAsia="华文细黑" w:hAnsi="华文细黑"/>
          <w:sz w:val="22"/>
          <w:szCs w:val="22"/>
        </w:rPr>
      </w:pPr>
      <w:r w:rsidRPr="00382AAF">
        <w:rPr>
          <w:rFonts w:ascii="华文细黑" w:eastAsia="华文细黑" w:hAnsi="华文细黑"/>
          <w:sz w:val="22"/>
          <w:szCs w:val="22"/>
        </w:rPr>
        <w:br w:type="page"/>
      </w:r>
    </w:p>
    <w:p w:rsidR="00152594" w:rsidRPr="00382AAF" w:rsidRDefault="00382AAF">
      <w:pPr>
        <w:pStyle w:val="BodyText"/>
        <w:numPr>
          <w:ilvl w:val="0"/>
          <w:numId w:val="7"/>
        </w:numPr>
        <w:tabs>
          <w:tab w:val="left" w:pos="720"/>
        </w:tabs>
        <w:spacing w:before="163" w:after="163"/>
        <w:ind w:left="0" w:firstLine="0"/>
        <w:rPr>
          <w:rFonts w:ascii="华文细黑" w:eastAsia="华文细黑" w:hAnsi="华文细黑" w:cs="Arial"/>
          <w:color w:val="4F81BD"/>
          <w:sz w:val="22"/>
          <w:szCs w:val="22"/>
        </w:rPr>
      </w:pPr>
      <w:bookmarkStart w:id="42" w:name="_Toc256000033"/>
      <w:bookmarkStart w:id="43" w:name="_Toc12958"/>
      <w:bookmarkStart w:id="44" w:name="_Toc47700028"/>
      <w:bookmarkStart w:id="45" w:name="_Toc27862"/>
      <w:bookmarkStart w:id="46" w:name="_Toc76668397"/>
      <w:r w:rsidRPr="00382AAF">
        <w:rPr>
          <w:rFonts w:ascii="华文细黑" w:eastAsia="华文细黑" w:hAnsi="华文细黑" w:cs="微软雅黑"/>
          <w:color w:val="4F81BD"/>
          <w:sz w:val="22"/>
          <w:szCs w:val="22"/>
        </w:rPr>
        <w:t>交易明细</w:t>
      </w:r>
      <w:bookmarkEnd w:id="42"/>
      <w:bookmarkEnd w:id="43"/>
      <w:bookmarkEnd w:id="44"/>
      <w:bookmarkEnd w:id="45"/>
      <w:bookmarkEnd w:id="46"/>
      <w:r w:rsidRPr="00382AAF">
        <w:rPr>
          <w:rFonts w:ascii="华文细黑" w:eastAsia="华文细黑" w:hAnsi="华文细黑" w:cs="Arial"/>
          <w:color w:val="000000"/>
          <w:sz w:val="11"/>
          <w:szCs w:val="11"/>
          <w:vertAlign w:val="superscript"/>
        </w:rPr>
        <w:footnoteReference w:id="10"/>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技术关联劳务支出的关联方和交易金额如下表所示：</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13</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2024</w:t>
      </w:r>
      <w:r w:rsidRPr="00382AAF">
        <w:rPr>
          <w:rFonts w:ascii="华文细黑" w:eastAsia="华文细黑" w:hAnsi="华文细黑" w:cs="微软雅黑"/>
          <w:b/>
          <w:bCs/>
          <w:sz w:val="18"/>
          <w:szCs w:val="18"/>
          <w:lang w:eastAsia="zh-CN"/>
        </w:rPr>
        <w:t>年度接受关联劳务明细表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技术关联劳务收入的关联方和交易金额如下表所示：</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14</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2024</w:t>
      </w:r>
      <w:r w:rsidRPr="00382AAF">
        <w:rPr>
          <w:rFonts w:ascii="华文细黑" w:eastAsia="华文细黑" w:hAnsi="华文细黑" w:cs="微软雅黑"/>
          <w:b/>
          <w:bCs/>
          <w:sz w:val="18"/>
          <w:szCs w:val="18"/>
          <w:lang w:eastAsia="zh-CN"/>
        </w:rPr>
        <w:t>年度提供关联劳务明细表</w:t>
      </w:r>
    </w:p>
    <w:p w:rsidR="00152594" w:rsidRPr="00382AAF" w:rsidRDefault="00382AAF">
      <w:pPr>
        <w:pStyle w:val="Heading3"/>
        <w:numPr>
          <w:ilvl w:val="2"/>
          <w:numId w:val="1"/>
        </w:numPr>
        <w:rPr>
          <w:rFonts w:ascii="华文细黑" w:eastAsia="华文细黑" w:hAnsi="华文细黑"/>
        </w:rPr>
      </w:pPr>
      <w:bookmarkStart w:id="47" w:name="_Toc256002775"/>
      <w:r w:rsidRPr="00382AAF">
        <w:rPr>
          <w:rFonts w:ascii="华文细黑" w:eastAsia="华文细黑" w:hAnsi="华文细黑"/>
        </w:rPr>
        <w:t>交易定价政策</w:t>
      </w:r>
      <w:bookmarkEnd w:id="47"/>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技术在向关联方客户销售产品时不进行营销活动，销售价格的定价方式为根据标准成本加成一定比例。在第三方销售中，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对从关联方和第三方采购的原材料和部件进行加工、组装，或集合成流水线，从而为客户提供一站式的系统解决方案。在向第三方客户销售产品时，销售价格的定价方式是通过与国内第三方客户进行谈判而确定。</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技术主要接受斯必克中国投资和</w:t>
      </w:r>
      <w:r w:rsidRPr="00382AAF">
        <w:rPr>
          <w:rFonts w:ascii="华文细黑" w:eastAsia="华文细黑" w:hAnsi="华文细黑" w:cs="Arial"/>
          <w:sz w:val="22"/>
          <w:szCs w:val="22"/>
          <w:lang w:eastAsia="zh-CN"/>
        </w:rPr>
        <w:t>SPX Flow, Inc.</w:t>
      </w:r>
      <w:r w:rsidRPr="00382AAF">
        <w:rPr>
          <w:rFonts w:ascii="华文细黑" w:eastAsia="华文细黑" w:hAnsi="华文细黑" w:cs="微软雅黑"/>
          <w:sz w:val="22"/>
          <w:szCs w:val="22"/>
          <w:lang w:eastAsia="zh-CN"/>
        </w:rPr>
        <w:t>提供的上述服务以及向境外关联方提供工程设计及设备调试等服务。</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对于接受关联方提供的劳务服务，根据</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技术与斯必克中国投资签署的《</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亚太总部服务合同》，关联服务受益方向斯必克中国投资按照成本加成</w:t>
      </w:r>
      <w:r w:rsidRPr="00382AAF">
        <w:rPr>
          <w:rFonts w:ascii="华文细黑" w:eastAsia="华文细黑" w:hAnsi="华文细黑" w:cs="Arial"/>
          <w:sz w:val="22"/>
          <w:szCs w:val="22"/>
          <w:lang w:eastAsia="zh-CN"/>
        </w:rPr>
        <w:t>5%</w:t>
      </w:r>
      <w:r w:rsidRPr="00382AAF">
        <w:rPr>
          <w:rFonts w:ascii="华文细黑" w:eastAsia="华文细黑" w:hAnsi="华文细黑" w:cs="微软雅黑"/>
          <w:sz w:val="22"/>
          <w:szCs w:val="22"/>
          <w:lang w:eastAsia="zh-CN"/>
        </w:rPr>
        <w:t>的方式支付服务费。斯必克中国投资将在提供服务过程中可能导致的有关人员、房屋和土地占用、差旅和维持费用、通讯、专业服务成本、固定资产减值等费用以及其它运作费用的综合作为成本的归集方式。</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根据</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w:t>
      </w:r>
      <w:r w:rsidRPr="00382AAF">
        <w:rPr>
          <w:rFonts w:ascii="华文细黑" w:eastAsia="华文细黑" w:hAnsi="华文细黑" w:cs="Arial"/>
          <w:sz w:val="22"/>
          <w:szCs w:val="22"/>
          <w:lang w:eastAsia="zh-CN"/>
        </w:rPr>
        <w:t>SPX Flow, Inc.</w:t>
      </w:r>
      <w:r w:rsidRPr="00382AAF">
        <w:rPr>
          <w:rFonts w:ascii="华文细黑" w:eastAsia="华文细黑" w:hAnsi="华文细黑" w:cs="微软雅黑"/>
          <w:sz w:val="22"/>
          <w:szCs w:val="22"/>
          <w:lang w:eastAsia="zh-CN"/>
        </w:rPr>
        <w:t>签署的《执行支持服务合同》，</w:t>
      </w:r>
      <w:r w:rsidRPr="00382AAF">
        <w:rPr>
          <w:rFonts w:ascii="华文细黑" w:eastAsia="华文细黑" w:hAnsi="华文细黑" w:cs="Arial"/>
          <w:sz w:val="22"/>
          <w:szCs w:val="22"/>
          <w:lang w:eastAsia="zh-CN"/>
        </w:rPr>
        <w:t>SPX Flow,Inc.</w:t>
      </w:r>
      <w:r w:rsidRPr="00382AAF">
        <w:rPr>
          <w:rFonts w:ascii="华文细黑" w:eastAsia="华文细黑" w:hAnsi="华文细黑" w:cs="微软雅黑"/>
          <w:sz w:val="22"/>
          <w:szCs w:val="22"/>
          <w:lang w:eastAsia="zh-CN"/>
        </w:rPr>
        <w:t>按年度归集实际发生的成本，并考虑相关因素向服务受益方收取服务费。</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对于向关联方提供劳务服务，定价由交易双方根据具体项目协商确定。</w:t>
      </w:r>
    </w:p>
    <w:p w:rsidR="00152594" w:rsidRPr="00382AAF" w:rsidRDefault="00382AAF">
      <w:pPr>
        <w:pStyle w:val="Heading2"/>
        <w:numPr>
          <w:ilvl w:val="1"/>
          <w:numId w:val="1"/>
        </w:numPr>
        <w:rPr>
          <w:rFonts w:ascii="华文细黑" w:eastAsia="华文细黑" w:hAnsi="华文细黑"/>
        </w:rPr>
      </w:pPr>
      <w:bookmarkStart w:id="48" w:name="_Toc256002776"/>
      <w:r w:rsidRPr="00382AAF">
        <w:rPr>
          <w:rFonts w:ascii="华文细黑" w:eastAsia="华文细黑" w:hAnsi="华文细黑"/>
        </w:rPr>
        <w:t>关联劳务</w:t>
      </w:r>
      <w:bookmarkEnd w:id="48"/>
    </w:p>
    <w:p w:rsidR="00152594" w:rsidRPr="00382AAF" w:rsidRDefault="00382AAF">
      <w:pPr>
        <w:pStyle w:val="Heading2"/>
        <w:numPr>
          <w:ilvl w:val="1"/>
          <w:numId w:val="1"/>
        </w:numPr>
        <w:rPr>
          <w:rFonts w:ascii="华文细黑" w:eastAsia="华文细黑" w:hAnsi="华文细黑"/>
          <w:lang w:eastAsia="zh-CN"/>
        </w:rPr>
      </w:pPr>
      <w:bookmarkStart w:id="49" w:name="_Toc256002777"/>
      <w:r w:rsidRPr="00382AAF">
        <w:rPr>
          <w:rFonts w:ascii="华文细黑" w:eastAsia="华文细黑" w:hAnsi="华文细黑"/>
          <w:lang w:eastAsia="zh-CN"/>
        </w:rPr>
        <w:t>关联交易合同及执行汇总</w:t>
      </w:r>
      <w:bookmarkEnd w:id="49"/>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技术与关联方均依据协议中的条款和约定履行各自的责任和义务。</w:t>
      </w:r>
    </w:p>
    <w:p w:rsidR="00152594" w:rsidRPr="00382AAF" w:rsidRDefault="00382AAF">
      <w:pPr>
        <w:pStyle w:val="Heading2"/>
        <w:numPr>
          <w:ilvl w:val="1"/>
          <w:numId w:val="1"/>
        </w:numPr>
        <w:rPr>
          <w:rFonts w:ascii="华文细黑" w:eastAsia="华文细黑" w:hAnsi="华文细黑"/>
          <w:lang w:eastAsia="zh-CN"/>
        </w:rPr>
      </w:pPr>
      <w:bookmarkStart w:id="50" w:name="_Toc256002778"/>
      <w:r w:rsidRPr="00382AAF">
        <w:rPr>
          <w:rFonts w:ascii="华文细黑" w:eastAsia="华文细黑" w:hAnsi="华文细黑"/>
          <w:lang w:eastAsia="zh-CN"/>
        </w:rPr>
        <w:lastRenderedPageBreak/>
        <w:t>与企业关联交易直接相关的预约定价安排和其他税收裁定</w:t>
      </w:r>
      <w:bookmarkEnd w:id="50"/>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技术无与企业关联交易直接相关的预约定价安排和作出的其他税收裁定。</w:t>
      </w:r>
    </w:p>
    <w:p w:rsidR="00152594" w:rsidRPr="00382AAF" w:rsidRDefault="00382AAF">
      <w:pPr>
        <w:pStyle w:val="Heading2"/>
        <w:numPr>
          <w:ilvl w:val="1"/>
          <w:numId w:val="1"/>
        </w:numPr>
        <w:rPr>
          <w:rFonts w:ascii="华文细黑" w:eastAsia="华文细黑" w:hAnsi="华文细黑"/>
        </w:rPr>
      </w:pPr>
      <w:bookmarkStart w:id="51" w:name="_Toc256002779"/>
      <w:r w:rsidRPr="00382AAF">
        <w:rPr>
          <w:rFonts w:ascii="华文细黑" w:eastAsia="华文细黑" w:hAnsi="华文细黑"/>
        </w:rPr>
        <w:t>关联交易财务状况</w:t>
      </w:r>
      <w:bookmarkEnd w:id="5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技术按照客户类型进行收入划分，即根据客户是否是关联方将销售收入明确划分成关联交易收入和非关联交易收入。具体拆分数据详见附件</w:t>
      </w:r>
      <w:r w:rsidRPr="00382AAF">
        <w:rPr>
          <w:rFonts w:ascii="华文细黑" w:eastAsia="华文细黑" w:hAnsi="华文细黑" w:cs="Arial"/>
          <w:sz w:val="22"/>
          <w:szCs w:val="22"/>
          <w:lang w:eastAsia="zh-CN"/>
        </w:rPr>
        <w:t>2</w:t>
      </w:r>
      <w:r w:rsidRPr="00382AAF">
        <w:rPr>
          <w:rFonts w:ascii="华文细黑" w:eastAsia="华文细黑" w:hAnsi="华文细黑" w:cs="微软雅黑"/>
          <w:sz w:val="22"/>
          <w:szCs w:val="22"/>
          <w:lang w:eastAsia="zh-CN"/>
        </w:rPr>
        <w:t>《企业年度关联交易财务状况分析表》。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技术原则上根据实际情况在不同的交易类型中归集、划分成本和费用，对于不能按照实际情况划分的成本和费用，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技术按照合理比例进行划分。</w:t>
      </w:r>
    </w:p>
    <w:p w:rsidR="00152594" w:rsidRPr="00382AAF" w:rsidRDefault="00152594">
      <w:pPr>
        <w:pStyle w:val="BodyText"/>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382AAF">
      <w:pPr>
        <w:pStyle w:val="Heading1"/>
        <w:numPr>
          <w:ilvl w:val="0"/>
          <w:numId w:val="1"/>
        </w:numPr>
        <w:rPr>
          <w:rFonts w:ascii="华文细黑" w:eastAsia="华文细黑" w:hAnsi="华文细黑"/>
        </w:rPr>
      </w:pPr>
      <w:bookmarkStart w:id="52" w:name="_Toc256002780"/>
      <w:r w:rsidRPr="00382AAF">
        <w:rPr>
          <w:rFonts w:ascii="华文细黑" w:eastAsia="华文细黑" w:hAnsi="华文细黑"/>
        </w:rPr>
        <w:lastRenderedPageBreak/>
        <w:t>功能和风险分析</w:t>
      </w:r>
      <w:bookmarkEnd w:id="52"/>
    </w:p>
    <w:p w:rsidR="00152594" w:rsidRPr="00382AAF" w:rsidRDefault="00382AAF">
      <w:pPr>
        <w:pStyle w:val="Heading2"/>
        <w:numPr>
          <w:ilvl w:val="1"/>
          <w:numId w:val="1"/>
        </w:numPr>
        <w:rPr>
          <w:rFonts w:ascii="华文细黑" w:eastAsia="华文细黑" w:hAnsi="华文细黑"/>
        </w:rPr>
      </w:pPr>
      <w:bookmarkStart w:id="53" w:name="_Toc256002781"/>
      <w:r w:rsidRPr="00382AAF">
        <w:rPr>
          <w:rFonts w:ascii="华文细黑" w:eastAsia="华文细黑" w:hAnsi="华文细黑"/>
        </w:rPr>
        <w:t>小结</w:t>
      </w:r>
      <w:bookmarkEnd w:id="53"/>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sidRPr="00382AAF">
        <w:rPr>
          <w:rFonts w:ascii="华文细黑" w:eastAsia="华文细黑" w:hAnsi="华文细黑" w:cs="Arial"/>
          <w:color w:val="000000"/>
          <w:sz w:val="11"/>
          <w:szCs w:val="11"/>
          <w:vertAlign w:val="superscript"/>
        </w:rPr>
        <w:footnoteReference w:id="11"/>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技术的主要关联交易是从关联方采购和销售货物。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技术向关联方进行采购，金额为人民币</w:t>
      </w:r>
      <w:r w:rsidRPr="00382AAF">
        <w:rPr>
          <w:rFonts w:ascii="华文细黑" w:eastAsia="华文细黑" w:hAnsi="华文细黑" w:cs="Arial"/>
          <w:sz w:val="22"/>
          <w:szCs w:val="22"/>
          <w:lang w:eastAsia="zh-CN"/>
        </w:rPr>
        <w:t>108,545,585.51</w:t>
      </w:r>
      <w:r w:rsidRPr="00382AAF">
        <w:rPr>
          <w:rFonts w:ascii="华文细黑" w:eastAsia="华文细黑" w:hAnsi="华文细黑" w:cs="微软雅黑"/>
          <w:sz w:val="22"/>
          <w:szCs w:val="22"/>
          <w:lang w:eastAsia="zh-CN"/>
        </w:rPr>
        <w:t>元。收入端，</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技术向关联方销售加工后的成品，同时，</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技术向第三方销售成套设备并提供系统解决方案。因此，本报告将分别对关联销售和第三方销售是否符合独立交易原则进行测试和分析。此外，考虑到关联劳务的金额较小，关联劳务支出仅占总成本的</w:t>
      </w:r>
      <w:r w:rsidRPr="00382AAF">
        <w:rPr>
          <w:rFonts w:ascii="华文细黑" w:eastAsia="华文细黑" w:hAnsi="华文细黑" w:cs="Arial"/>
          <w:sz w:val="22"/>
          <w:szCs w:val="22"/>
          <w:lang w:eastAsia="zh-CN"/>
        </w:rPr>
        <w:t>4.51%</w:t>
      </w:r>
      <w:r w:rsidRPr="00382AAF">
        <w:rPr>
          <w:rFonts w:ascii="华文细黑" w:eastAsia="华文细黑" w:hAnsi="华文细黑" w:cs="微软雅黑"/>
          <w:sz w:val="22"/>
          <w:szCs w:val="22"/>
          <w:lang w:eastAsia="zh-CN"/>
        </w:rPr>
        <w:t>，且已反映到成本费用中；关联劳务收入仅占总收入的</w:t>
      </w:r>
      <w:r w:rsidRPr="00382AAF">
        <w:rPr>
          <w:rFonts w:ascii="华文细黑" w:eastAsia="华文细黑" w:hAnsi="华文细黑" w:cs="Arial"/>
          <w:sz w:val="22"/>
          <w:szCs w:val="22"/>
          <w:lang w:eastAsia="zh-CN"/>
        </w:rPr>
        <w:t>0.40%</w:t>
      </w:r>
      <w:r w:rsidRPr="00382AAF">
        <w:rPr>
          <w:rFonts w:ascii="华文细黑" w:eastAsia="华文细黑" w:hAnsi="华文细黑" w:cs="微软雅黑"/>
          <w:sz w:val="22"/>
          <w:szCs w:val="22"/>
          <w:lang w:eastAsia="zh-CN"/>
        </w:rPr>
        <w:t>，占比较低。因此，本报告将不对其进行单独测试分析。</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同时，本报告通过对现金池协议中利率水平进行高阶分析，来分析集团间的资金融通行为是否符合独立交易原则。</w:t>
      </w:r>
      <w:r w:rsidRPr="00382AAF">
        <w:rPr>
          <w:rFonts w:ascii="华文细黑" w:eastAsia="华文细黑" w:hAnsi="华文细黑"/>
          <w:sz w:val="22"/>
          <w:szCs w:val="22"/>
          <w:lang w:eastAsia="zh-CN"/>
        </w:rPr>
        <w:br w:type="page"/>
      </w:r>
    </w:p>
    <w:p w:rsidR="00152594" w:rsidRPr="00382AAF" w:rsidRDefault="00382AAF">
      <w:pPr>
        <w:pStyle w:val="BodyText"/>
        <w:spacing w:before="240" w:after="240"/>
        <w:ind w:left="119" w:right="113" w:firstLine="47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技术承担的主要功能和风险，以及拥有的资产总结如下：</w:t>
      </w:r>
    </w:p>
    <w:p w:rsidR="00152594" w:rsidRPr="00382AAF" w:rsidRDefault="00382AAF">
      <w:pPr>
        <w:pStyle w:val="BodyText"/>
        <w:numPr>
          <w:ilvl w:val="0"/>
          <w:numId w:val="8"/>
        </w:numPr>
        <w:tabs>
          <w:tab w:val="left" w:pos="1008"/>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技术主要承担有限的研发功能、采购功能、生产功能、质量控制功能、存货管理功能以及一般行政管理功能；相比关联销售，</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技术在第三方销售中承担了更多的功能风险，包括市场营销和销售、工程设计、售后服务以及付款请求和回收的功能；</w:t>
      </w:r>
    </w:p>
    <w:p w:rsidR="00152594" w:rsidRPr="00382AAF" w:rsidRDefault="00382AAF">
      <w:pPr>
        <w:pStyle w:val="BodyText"/>
        <w:numPr>
          <w:ilvl w:val="0"/>
          <w:numId w:val="8"/>
        </w:numPr>
        <w:tabs>
          <w:tab w:val="left" w:pos="1008"/>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技术主要承担有限的市场风险、有限的研发风险、有限的生产风险、有限的存货风险、产品责任风险以及汇率风险；从功能和风险分析应归类为承担一定风险的生产制造商。相比关联销售，</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技术在第三方销售中承担更多风险，如市场风险、存货风险和信用风险；</w:t>
      </w:r>
    </w:p>
    <w:p w:rsidR="00152594" w:rsidRPr="00382AAF" w:rsidRDefault="00382AAF">
      <w:pPr>
        <w:pStyle w:val="BodyText"/>
        <w:numPr>
          <w:ilvl w:val="0"/>
          <w:numId w:val="8"/>
        </w:numPr>
        <w:tabs>
          <w:tab w:val="left" w:pos="1008"/>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微软雅黑"/>
          <w:sz w:val="22"/>
          <w:szCs w:val="22"/>
          <w:lang w:eastAsia="zh-CN"/>
        </w:rPr>
        <w:t>此外，</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技术不拥有非常规营销类无形资产和由其境外关联方创造的非常规制造类无形资产的所有权，但评估期间，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技术执行斯必克产品的本地化技术改良及产品设计，并拥有与产品本地化相关的技术。</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技术还拥有其境外关联方所拥有的部分专利的独占许可权。从功能和风险分析应归类为承担较多风险的生产制造商。</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sz w:val="22"/>
          <w:szCs w:val="22"/>
          <w:lang w:eastAsia="zh-CN"/>
        </w:rPr>
        <w:br w:type="page"/>
      </w:r>
    </w:p>
    <w:p w:rsidR="00152594" w:rsidRPr="00382AAF" w:rsidRDefault="00382AAF">
      <w:pPr>
        <w:pStyle w:val="Heading2"/>
        <w:numPr>
          <w:ilvl w:val="1"/>
          <w:numId w:val="1"/>
        </w:numPr>
        <w:rPr>
          <w:rFonts w:ascii="华文细黑" w:eastAsia="华文细黑" w:hAnsi="华文细黑"/>
        </w:rPr>
      </w:pPr>
      <w:bookmarkStart w:id="54" w:name="_Toc256002782"/>
      <w:r w:rsidRPr="00382AAF">
        <w:rPr>
          <w:rFonts w:ascii="华文细黑" w:eastAsia="华文细黑" w:hAnsi="华文细黑"/>
        </w:rPr>
        <w:t>简介</w:t>
      </w:r>
      <w:bookmarkEnd w:id="54"/>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功能和风险分析有助于理解和验证相关的转让定价安排，也是中国转让定价法规规定必须进行的分析。功能和风险分析部分所收集的信息，将被用来分析评估期间的以下问题：</w:t>
      </w:r>
    </w:p>
    <w:p w:rsidR="00152594" w:rsidRPr="00382AAF" w:rsidRDefault="00382AAF">
      <w:pPr>
        <w:pStyle w:val="BodyText"/>
        <w:numPr>
          <w:ilvl w:val="0"/>
          <w:numId w:val="9"/>
        </w:numPr>
        <w:tabs>
          <w:tab w:val="left" w:pos="1031"/>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微软雅黑"/>
          <w:sz w:val="22"/>
          <w:szCs w:val="22"/>
          <w:lang w:eastAsia="zh-CN"/>
        </w:rPr>
        <w:t>企业及其关联方执行的主要功能（包括种类和频繁程度）；</w:t>
      </w:r>
    </w:p>
    <w:p w:rsidR="00152594" w:rsidRPr="00382AAF" w:rsidRDefault="00382AAF">
      <w:pPr>
        <w:pStyle w:val="BodyText"/>
        <w:numPr>
          <w:ilvl w:val="0"/>
          <w:numId w:val="9"/>
        </w:numPr>
        <w:tabs>
          <w:tab w:val="left" w:pos="1031"/>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微软雅黑"/>
          <w:sz w:val="22"/>
          <w:szCs w:val="22"/>
          <w:lang w:eastAsia="zh-CN"/>
        </w:rPr>
        <w:t>企业及其关联方所承担的风险；</w:t>
      </w:r>
    </w:p>
    <w:p w:rsidR="00152594" w:rsidRPr="00382AAF" w:rsidRDefault="00382AAF">
      <w:pPr>
        <w:pStyle w:val="BodyText"/>
        <w:numPr>
          <w:ilvl w:val="0"/>
          <w:numId w:val="9"/>
        </w:numPr>
        <w:tabs>
          <w:tab w:val="left" w:pos="1031"/>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微软雅黑"/>
          <w:sz w:val="22"/>
          <w:szCs w:val="22"/>
          <w:lang w:eastAsia="zh-CN"/>
        </w:rPr>
        <w:t>企业及其关联方所使用的资产（包括有形资产和无形资产）。</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在本报告的功能和风险分析部分，我们将对</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技术在受测关联交易中与其关联方之间形成的经济关系进行分析和评估。</w:t>
      </w:r>
    </w:p>
    <w:p w:rsidR="00152594" w:rsidRPr="00382AAF" w:rsidRDefault="00382AAF">
      <w:pPr>
        <w:pStyle w:val="Heading2"/>
        <w:numPr>
          <w:ilvl w:val="1"/>
          <w:numId w:val="1"/>
        </w:numPr>
        <w:rPr>
          <w:rFonts w:ascii="华文细黑" w:eastAsia="华文细黑" w:hAnsi="华文细黑"/>
        </w:rPr>
      </w:pPr>
      <w:bookmarkStart w:id="55" w:name="_Toc256002783"/>
      <w:r w:rsidRPr="00382AAF">
        <w:rPr>
          <w:rFonts w:ascii="华文细黑" w:eastAsia="华文细黑" w:hAnsi="华文细黑"/>
        </w:rPr>
        <w:t>功能及风险分析</w:t>
      </w:r>
      <w:bookmarkEnd w:id="55"/>
    </w:p>
    <w:p w:rsidR="00152594" w:rsidRPr="00382AAF" w:rsidRDefault="00382AAF">
      <w:pPr>
        <w:pStyle w:val="Heading3"/>
        <w:numPr>
          <w:ilvl w:val="2"/>
          <w:numId w:val="1"/>
        </w:numPr>
        <w:rPr>
          <w:rFonts w:ascii="华文细黑" w:eastAsia="华文细黑" w:hAnsi="华文细黑"/>
        </w:rPr>
      </w:pPr>
      <w:bookmarkStart w:id="56" w:name="_Toc256002784"/>
      <w:r w:rsidRPr="00382AAF">
        <w:rPr>
          <w:rFonts w:ascii="华文细黑" w:eastAsia="华文细黑" w:hAnsi="华文细黑"/>
        </w:rPr>
        <w:t>功能分析</w:t>
      </w:r>
      <w:bookmarkEnd w:id="5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此处我们将主要分析</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技术及其关联企业各个业务部门在关联交易中所从事的业务活动，以及关联交易的各个参与方所执行的功能。</w:t>
      </w:r>
    </w:p>
    <w:p w:rsidR="00152594" w:rsidRPr="00382AAF" w:rsidRDefault="00382AAF">
      <w:pPr>
        <w:pStyle w:val="BodyText"/>
        <w:keepNext/>
        <w:numPr>
          <w:ilvl w:val="0"/>
          <w:numId w:val="10"/>
        </w:numPr>
        <w:tabs>
          <w:tab w:val="left" w:pos="1440"/>
        </w:tabs>
        <w:spacing w:before="163" w:after="163"/>
        <w:ind w:left="0" w:firstLine="0"/>
        <w:rPr>
          <w:rFonts w:ascii="华文细黑" w:eastAsia="华文细黑" w:hAnsi="华文细黑" w:cs="Arial"/>
          <w:color w:val="4F81BD"/>
          <w:sz w:val="22"/>
          <w:szCs w:val="22"/>
        </w:rPr>
      </w:pPr>
      <w:bookmarkStart w:id="57" w:name="_Toc47700042"/>
      <w:bookmarkStart w:id="58" w:name="_Toc76668411"/>
      <w:bookmarkStart w:id="59" w:name="_Toc4787"/>
      <w:bookmarkStart w:id="60" w:name="_Toc3474"/>
      <w:bookmarkStart w:id="61" w:name="_Toc30820"/>
      <w:r w:rsidRPr="00382AAF">
        <w:rPr>
          <w:rFonts w:ascii="华文细黑" w:eastAsia="华文细黑" w:hAnsi="华文细黑" w:cs="微软雅黑"/>
          <w:color w:val="4F81BD"/>
          <w:sz w:val="22"/>
          <w:szCs w:val="22"/>
        </w:rPr>
        <w:t>研究与开发</w:t>
      </w:r>
      <w:bookmarkEnd w:id="57"/>
      <w:bookmarkEnd w:id="58"/>
      <w:bookmarkEnd w:id="59"/>
      <w:bookmarkEnd w:id="60"/>
      <w:bookmarkEnd w:id="6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研发功能包括研发活动的决策与实施、新产品的开发、现有产品的改进升级、生产工艺的开发或改进等活动。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技术执行斯必克产品的本地化技术改良及产品设计功能，如对从国外关联方处转移到</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技术的生产线所生产的产品进行本地化的改良，并为新产品在本地的投产配合海外关联方进行本地化的设计。</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对于工艺工程解决方案，</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技术的工程部主要负责工艺工程解决方案的设计，具体流程为：</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技术在接到关联方的工艺工程解决方案订单后，首先交由工程部制定设计方案，在设计方案成型后工程部将该方案交给生产部，其后由生产部按设计图纸进行生产。</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评估期间，针对第三方销售的交易，</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技术承担产品的工程设计功能；而在境外关联销售交易中，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技术仅负责所生产设备的部分工程设计，而境外关联方负责完整设备生产线的工程设计。</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技术与其关联方共同执行研发功能：在第三方销售中，执行正常的研发功能；在关联销售中，执行有限的研发功能。</w:t>
      </w:r>
    </w:p>
    <w:p w:rsidR="00152594" w:rsidRPr="00382AAF" w:rsidRDefault="00382AAF">
      <w:pPr>
        <w:pStyle w:val="BodyText"/>
        <w:keepNext/>
        <w:numPr>
          <w:ilvl w:val="0"/>
          <w:numId w:val="11"/>
        </w:numPr>
        <w:tabs>
          <w:tab w:val="left" w:pos="1440"/>
        </w:tabs>
        <w:spacing w:before="163" w:after="163"/>
        <w:ind w:left="0" w:firstLine="0"/>
        <w:rPr>
          <w:rFonts w:ascii="华文细黑" w:eastAsia="华文细黑" w:hAnsi="华文细黑" w:cs="Arial"/>
          <w:color w:val="4F81BD"/>
          <w:sz w:val="22"/>
          <w:szCs w:val="22"/>
        </w:rPr>
      </w:pPr>
      <w:bookmarkStart w:id="62" w:name="_Toc10438"/>
      <w:bookmarkStart w:id="63" w:name="_Toc25149"/>
      <w:bookmarkStart w:id="64" w:name="_Toc17601"/>
      <w:bookmarkStart w:id="65" w:name="_Toc47700043"/>
      <w:bookmarkStart w:id="66" w:name="_Toc76668412"/>
      <w:r w:rsidRPr="00382AAF">
        <w:rPr>
          <w:rFonts w:ascii="华文细黑" w:eastAsia="华文细黑" w:hAnsi="华文细黑" w:cs="微软雅黑"/>
          <w:color w:val="4F81BD"/>
          <w:sz w:val="22"/>
          <w:szCs w:val="22"/>
        </w:rPr>
        <w:t>采购</w:t>
      </w:r>
      <w:bookmarkEnd w:id="62"/>
      <w:bookmarkEnd w:id="63"/>
      <w:bookmarkEnd w:id="64"/>
      <w:bookmarkEnd w:id="65"/>
      <w:bookmarkEnd w:id="6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采购功能是指采购在生产或分销过程中所涉及的原材料、产成品和其他材料的活动。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lastRenderedPageBreak/>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技术生产的原材料大部分向境内外第三方供应商采购，小部分从关联公司采购。评估期间，关联方采购额约占主营业务成本的</w:t>
      </w:r>
      <w:r w:rsidRPr="00382AAF">
        <w:rPr>
          <w:rFonts w:ascii="华文细黑" w:eastAsia="华文细黑" w:hAnsi="华文细黑" w:cs="Arial"/>
          <w:sz w:val="22"/>
          <w:szCs w:val="22"/>
          <w:lang w:eastAsia="zh-CN"/>
        </w:rPr>
        <w:t>12.25%</w:t>
      </w:r>
      <w:r w:rsidRPr="00382AAF">
        <w:rPr>
          <w:rFonts w:ascii="华文细黑" w:eastAsia="华文细黑" w:hAnsi="华文细黑" w:cs="微软雅黑"/>
          <w:sz w:val="22"/>
          <w:szCs w:val="22"/>
          <w:lang w:eastAsia="zh-CN"/>
        </w:rPr>
        <w:t>。在首次选择第三方供应商时，</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技术的采购部会决定是否最终采用该供应商。在对采购价格进行谈判时，</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技术会向集团总部报价，在得到其初步确认后，再由</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技术和供应商确定最终价格，发出采购订单。在供应商选择过程中，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技术主要对各供应商提供的产品价格、质量和发货期进行比较。此外，</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技术的生产计划是基于客户订单制定的，相关采购计划也取决于客户的订单情况。</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技术执行采购功能。</w:t>
      </w:r>
    </w:p>
    <w:p w:rsidR="00152594" w:rsidRPr="00382AAF" w:rsidRDefault="00382AAF">
      <w:pPr>
        <w:pStyle w:val="BodyText"/>
        <w:keepNext/>
        <w:numPr>
          <w:ilvl w:val="0"/>
          <w:numId w:val="12"/>
        </w:numPr>
        <w:tabs>
          <w:tab w:val="left" w:pos="1440"/>
        </w:tabs>
        <w:spacing w:before="163" w:after="163"/>
        <w:ind w:left="0" w:firstLine="0"/>
        <w:rPr>
          <w:rFonts w:ascii="华文细黑" w:eastAsia="华文细黑" w:hAnsi="华文细黑" w:cs="Arial"/>
          <w:color w:val="4F81BD"/>
          <w:sz w:val="22"/>
          <w:szCs w:val="22"/>
        </w:rPr>
      </w:pPr>
      <w:bookmarkStart w:id="67" w:name="_Toc76668413"/>
      <w:bookmarkStart w:id="68" w:name="_Toc4000"/>
      <w:bookmarkStart w:id="69" w:name="_Toc15663"/>
      <w:bookmarkStart w:id="70" w:name="_Toc31835"/>
      <w:bookmarkStart w:id="71" w:name="_Toc47700044"/>
      <w:r w:rsidRPr="00382AAF">
        <w:rPr>
          <w:rFonts w:ascii="华文细黑" w:eastAsia="华文细黑" w:hAnsi="华文细黑" w:cs="微软雅黑"/>
          <w:color w:val="4F81BD"/>
          <w:sz w:val="22"/>
          <w:szCs w:val="22"/>
        </w:rPr>
        <w:t>生产</w:t>
      </w:r>
      <w:bookmarkEnd w:id="67"/>
      <w:bookmarkEnd w:id="68"/>
      <w:bookmarkEnd w:id="69"/>
      <w:bookmarkEnd w:id="70"/>
      <w:bookmarkEnd w:id="7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生产功能包括生产设备的采购、生产计划的制订、生产流程以及产品的制造和装配等活动。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技术根据实际订单安排生产计划，会根据生产计划预测对备料的需求量。评估期间，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技术执行生产功能。</w:t>
      </w:r>
    </w:p>
    <w:p w:rsidR="00152594" w:rsidRPr="00382AAF" w:rsidRDefault="00382AAF">
      <w:pPr>
        <w:pStyle w:val="BodyText"/>
        <w:keepNext/>
        <w:numPr>
          <w:ilvl w:val="0"/>
          <w:numId w:val="13"/>
        </w:numPr>
        <w:tabs>
          <w:tab w:val="left" w:pos="1440"/>
        </w:tabs>
        <w:spacing w:before="163" w:after="163"/>
        <w:ind w:left="0" w:firstLine="0"/>
        <w:rPr>
          <w:rFonts w:ascii="华文细黑" w:eastAsia="华文细黑" w:hAnsi="华文细黑" w:cs="Arial"/>
          <w:color w:val="4F81BD"/>
          <w:sz w:val="22"/>
          <w:szCs w:val="22"/>
        </w:rPr>
      </w:pPr>
      <w:bookmarkStart w:id="72" w:name="_Toc3267"/>
      <w:bookmarkStart w:id="73" w:name="_Toc16736"/>
      <w:bookmarkStart w:id="74" w:name="_Toc47700045"/>
      <w:bookmarkStart w:id="75" w:name="_Toc20157"/>
      <w:bookmarkStart w:id="76" w:name="_Toc76668414"/>
      <w:r w:rsidRPr="00382AAF">
        <w:rPr>
          <w:rFonts w:ascii="华文细黑" w:eastAsia="华文细黑" w:hAnsi="华文细黑" w:cs="微软雅黑"/>
          <w:color w:val="4F81BD"/>
          <w:sz w:val="22"/>
          <w:szCs w:val="22"/>
        </w:rPr>
        <w:t>质量控制</w:t>
      </w:r>
      <w:bookmarkEnd w:id="72"/>
      <w:bookmarkEnd w:id="73"/>
      <w:bookmarkEnd w:id="74"/>
      <w:bookmarkEnd w:id="75"/>
      <w:bookmarkEnd w:id="7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质量控制功能是指制订和实施产品质量标准的活动，包括对采购的原材料及辅助材料、在制品和产成品进行分析和检测等。</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技术承担质量控制功能，包括质量体系审查、供应商质量控制、生产流程质量控制、产成品检验、处理客户投诉以及进行生产设备校验。质量体系审查的工作主要包括对相关行业质量体系（诸如</w:t>
      </w:r>
      <w:r w:rsidRPr="00382AAF">
        <w:rPr>
          <w:rFonts w:ascii="华文细黑" w:eastAsia="华文细黑" w:hAnsi="华文细黑" w:cs="Arial"/>
          <w:sz w:val="22"/>
          <w:szCs w:val="22"/>
          <w:lang w:eastAsia="zh-CN"/>
        </w:rPr>
        <w:t>ISO:9001</w:t>
      </w:r>
      <w:r w:rsidRPr="00382AAF">
        <w:rPr>
          <w:rFonts w:ascii="华文细黑" w:eastAsia="华文细黑" w:hAnsi="华文细黑" w:cs="微软雅黑"/>
          <w:sz w:val="22"/>
          <w:szCs w:val="22"/>
          <w:lang w:eastAsia="zh-CN"/>
        </w:rPr>
        <w:t>）进行认证。供应商质量控制主要包括</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技术对供应商提供的原材料进行质量检测，而全球供应商由集团总部负责把关。</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生产流程质量控制是由集团总部制定相关的质量标准，</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技术根据该质量要求以及国家标准在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技术的日常生产过程执行并进行相关检测。</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技术在产成品质量控制工作中负责使用专业检测设备对所生产的产成品进行测试，以检查外观是否渗漏；</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技术还负责生产设备的校验工作，包括校正卡尺及其他生产设备的精度。</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技术执行质量控制功能。</w:t>
      </w:r>
    </w:p>
    <w:p w:rsidR="00152594" w:rsidRPr="00382AAF" w:rsidRDefault="00382AAF">
      <w:pPr>
        <w:pStyle w:val="BodyText"/>
        <w:keepNext/>
        <w:numPr>
          <w:ilvl w:val="0"/>
          <w:numId w:val="14"/>
        </w:numPr>
        <w:tabs>
          <w:tab w:val="left" w:pos="1440"/>
        </w:tabs>
        <w:spacing w:before="163" w:after="163"/>
        <w:ind w:left="0" w:firstLine="0"/>
        <w:rPr>
          <w:rFonts w:ascii="华文细黑" w:eastAsia="华文细黑" w:hAnsi="华文细黑" w:cs="Arial"/>
          <w:color w:val="4F81BD"/>
          <w:sz w:val="22"/>
          <w:szCs w:val="22"/>
        </w:rPr>
      </w:pPr>
      <w:bookmarkStart w:id="77" w:name="_Toc28531"/>
      <w:bookmarkStart w:id="78" w:name="_Toc47700046"/>
      <w:bookmarkStart w:id="79" w:name="_Toc76668415"/>
      <w:bookmarkStart w:id="80" w:name="_Toc16154"/>
      <w:bookmarkStart w:id="81" w:name="_Toc8007"/>
      <w:r w:rsidRPr="00382AAF">
        <w:rPr>
          <w:rFonts w:ascii="华文细黑" w:eastAsia="华文细黑" w:hAnsi="华文细黑" w:cs="微软雅黑"/>
          <w:color w:val="4F81BD"/>
          <w:sz w:val="22"/>
          <w:szCs w:val="22"/>
        </w:rPr>
        <w:lastRenderedPageBreak/>
        <w:t>库存管理</w:t>
      </w:r>
      <w:bookmarkEnd w:id="77"/>
      <w:bookmarkEnd w:id="78"/>
      <w:bookmarkEnd w:id="79"/>
      <w:bookmarkEnd w:id="80"/>
      <w:bookmarkEnd w:id="8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库存管理功能是指对存货水平（包括原材料、半成品和产成品）进行管理和控制，以降低存货成本并提高生产经营效率的活动。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技术拥有自己的仓库用于存货，主要存放原材料和零部件。在客户成功验收之前，</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技术持有产品的所有权。因此，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技术持有一定量的存货。同时，</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技术会配合交货期管理，设置安全库存标准以进行内部控制与管理。</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技术执行库存管理功能。</w:t>
      </w:r>
    </w:p>
    <w:p w:rsidR="00152594" w:rsidRPr="00382AAF" w:rsidRDefault="00382AAF">
      <w:pPr>
        <w:pStyle w:val="BodyText"/>
        <w:keepNext/>
        <w:numPr>
          <w:ilvl w:val="0"/>
          <w:numId w:val="15"/>
        </w:numPr>
        <w:tabs>
          <w:tab w:val="left" w:pos="1440"/>
        </w:tabs>
        <w:spacing w:before="163" w:after="163"/>
        <w:ind w:left="0" w:firstLine="0"/>
        <w:rPr>
          <w:rFonts w:ascii="华文细黑" w:eastAsia="华文细黑" w:hAnsi="华文细黑" w:cs="Arial"/>
          <w:color w:val="4F81BD"/>
          <w:sz w:val="22"/>
          <w:szCs w:val="22"/>
        </w:rPr>
      </w:pPr>
      <w:bookmarkStart w:id="82" w:name="_Toc8653"/>
      <w:bookmarkStart w:id="83" w:name="_Toc30849"/>
      <w:bookmarkStart w:id="84" w:name="_Toc47700047"/>
      <w:bookmarkStart w:id="85" w:name="_Toc6390"/>
      <w:bookmarkStart w:id="86" w:name="_Toc76668416"/>
      <w:r w:rsidRPr="00382AAF">
        <w:rPr>
          <w:rFonts w:ascii="华文细黑" w:eastAsia="华文细黑" w:hAnsi="华文细黑" w:cs="微软雅黑"/>
          <w:color w:val="4F81BD"/>
          <w:sz w:val="22"/>
          <w:szCs w:val="22"/>
        </w:rPr>
        <w:t>市场营销和销售</w:t>
      </w:r>
      <w:bookmarkEnd w:id="82"/>
      <w:bookmarkEnd w:id="83"/>
      <w:bookmarkEnd w:id="84"/>
      <w:bookmarkEnd w:id="85"/>
      <w:bookmarkEnd w:id="86"/>
    </w:p>
    <w:p w:rsidR="00152594" w:rsidRPr="00382AAF" w:rsidRDefault="00382AAF">
      <w:pPr>
        <w:pStyle w:val="BodyText"/>
        <w:spacing w:before="120"/>
        <w:ind w:left="119" w:right="113" w:firstLine="440"/>
        <w:jc w:val="both"/>
        <w:rPr>
          <w:rFonts w:ascii="华文细黑" w:eastAsia="华文细黑" w:hAnsi="华文细黑"/>
          <w:sz w:val="22"/>
          <w:szCs w:val="22"/>
        </w:rPr>
      </w:pPr>
      <w:r w:rsidRPr="00382AAF">
        <w:rPr>
          <w:rFonts w:ascii="华文细黑" w:eastAsia="华文细黑" w:hAnsi="华文细黑" w:cs="微软雅黑"/>
          <w:sz w:val="22"/>
          <w:szCs w:val="22"/>
          <w:u w:val="single"/>
        </w:rPr>
        <w:t>市场营销</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市场营销功能是指基于产品在目标市场的定位通过各种市场推广活动以吸引潜在用户的行为。</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技术销售产成品给境内外关联企业的交易中，由关联企业负责与最终第三方客户的联系和相关市场开拓及广告营销工作。</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技术仅负责从关联企业接到订单后组织生产。</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技术销售产品给境内第三方客户的交易中，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技术负责开展市场开拓及广告营销，包括参加同行业内的相关展会，在专业杂志上刊登广告等。</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 xml:space="preserve">技术执行有限的市场营销功能。 </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u w:val="single"/>
          <w:lang w:eastAsia="zh-CN"/>
        </w:rPr>
        <w:t>销售</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销售功能是指与客户进行协商，签订合同并将产品卖给该客户的行为。</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技术销售产品给境内外关联企业的交易中，由关联企业的销售团队负责对第三方客户的销售活动。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技术的销售团队仅负责与关联企业间的订单联络。</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技术执行有限的销售功能。</w:t>
      </w:r>
    </w:p>
    <w:p w:rsidR="00152594" w:rsidRPr="00382AAF" w:rsidRDefault="00382AAF">
      <w:pPr>
        <w:pStyle w:val="BodyText"/>
        <w:keepNext/>
        <w:numPr>
          <w:ilvl w:val="0"/>
          <w:numId w:val="16"/>
        </w:numPr>
        <w:tabs>
          <w:tab w:val="left" w:pos="1440"/>
        </w:tabs>
        <w:spacing w:before="163" w:after="163"/>
        <w:ind w:left="0" w:firstLine="0"/>
        <w:rPr>
          <w:rFonts w:ascii="华文细黑" w:eastAsia="华文细黑" w:hAnsi="华文细黑" w:cs="Arial"/>
          <w:color w:val="4F81BD"/>
          <w:sz w:val="22"/>
          <w:szCs w:val="22"/>
        </w:rPr>
      </w:pPr>
      <w:bookmarkStart w:id="87" w:name="_Toc27438"/>
      <w:bookmarkStart w:id="88" w:name="_Toc76668417"/>
      <w:bookmarkStart w:id="89" w:name="_Toc47700048"/>
      <w:bookmarkStart w:id="90" w:name="_Toc17267"/>
      <w:bookmarkStart w:id="91" w:name="_Toc13754"/>
      <w:r w:rsidRPr="00382AAF">
        <w:rPr>
          <w:rFonts w:ascii="华文细黑" w:eastAsia="华文细黑" w:hAnsi="华文细黑" w:cs="微软雅黑"/>
          <w:color w:val="4F81BD"/>
          <w:sz w:val="22"/>
          <w:szCs w:val="22"/>
        </w:rPr>
        <w:t>售后服务</w:t>
      </w:r>
      <w:bookmarkEnd w:id="87"/>
      <w:bookmarkEnd w:id="88"/>
      <w:bookmarkEnd w:id="89"/>
      <w:bookmarkEnd w:id="90"/>
      <w:bookmarkEnd w:id="9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售后服务包括向客户提供产品信息、质量保证、指导客户进行产品的保养和维护，以及提供技术支持和产品售后服务等。</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技术对国内销售的产品和提供的专业工程服务，负责处理相关客户投诉，协助客户解决产品使用过程中的问题，如有必要</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技术会派专人上门维修。其中产品卖出一年半内发生投诉的全部成本由</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技术承担，超一年的保修期则客户需支付相应的维修服务费用。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对于向境外关联方销售的产品，</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技术不承担相关的售后维修等服务，相关功能由境外关联公司负责。</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技术执行有限的售后服务功能。</w:t>
      </w:r>
    </w:p>
    <w:p w:rsidR="00152594" w:rsidRPr="00382AAF" w:rsidRDefault="00382AAF">
      <w:pPr>
        <w:pStyle w:val="BodyText"/>
        <w:keepNext/>
        <w:numPr>
          <w:ilvl w:val="0"/>
          <w:numId w:val="17"/>
        </w:numPr>
        <w:tabs>
          <w:tab w:val="left" w:pos="1440"/>
        </w:tabs>
        <w:spacing w:before="163" w:after="163"/>
        <w:ind w:left="0" w:firstLine="0"/>
        <w:rPr>
          <w:rFonts w:ascii="华文细黑" w:eastAsia="华文细黑" w:hAnsi="华文细黑" w:cs="Arial"/>
          <w:color w:val="4F81BD"/>
          <w:sz w:val="22"/>
          <w:szCs w:val="22"/>
        </w:rPr>
      </w:pPr>
      <w:bookmarkStart w:id="92" w:name="_Toc4221"/>
      <w:bookmarkStart w:id="93" w:name="_Toc29482"/>
      <w:bookmarkStart w:id="94" w:name="_Toc47700049"/>
      <w:bookmarkStart w:id="95" w:name="_Toc76668418"/>
      <w:bookmarkStart w:id="96" w:name="_Toc2641"/>
      <w:r w:rsidRPr="00382AAF">
        <w:rPr>
          <w:rFonts w:ascii="华文细黑" w:eastAsia="华文细黑" w:hAnsi="华文细黑" w:cs="微软雅黑"/>
          <w:color w:val="4F81BD"/>
          <w:sz w:val="22"/>
          <w:szCs w:val="22"/>
        </w:rPr>
        <w:lastRenderedPageBreak/>
        <w:t>付款请求和回收</w:t>
      </w:r>
      <w:bookmarkEnd w:id="92"/>
      <w:bookmarkEnd w:id="93"/>
      <w:bookmarkEnd w:id="94"/>
      <w:bookmarkEnd w:id="95"/>
      <w:bookmarkEnd w:id="9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付款请求和回收包括向客户出具发票，催促收款等。</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评估期间，对于销售产品给境内外关联企业的交易，由关联企业承担对第三方客户的付款请求和回收功能。对于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技术直接销售给境内第三方客户的交易，</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技术承担付款请求和回收功能。</w:t>
      </w:r>
    </w:p>
    <w:p w:rsidR="00152594" w:rsidRPr="00382AAF" w:rsidRDefault="00382AAF">
      <w:pPr>
        <w:pStyle w:val="BodyText"/>
        <w:keepNext/>
        <w:numPr>
          <w:ilvl w:val="0"/>
          <w:numId w:val="18"/>
        </w:numPr>
        <w:tabs>
          <w:tab w:val="left" w:pos="1440"/>
        </w:tabs>
        <w:spacing w:before="163" w:after="163"/>
        <w:ind w:left="0" w:firstLine="0"/>
        <w:rPr>
          <w:rFonts w:ascii="华文细黑" w:eastAsia="华文细黑" w:hAnsi="华文细黑" w:cs="Arial"/>
          <w:color w:val="4F81BD"/>
          <w:sz w:val="22"/>
          <w:szCs w:val="22"/>
        </w:rPr>
      </w:pPr>
      <w:bookmarkStart w:id="97" w:name="_Toc76668419"/>
      <w:bookmarkStart w:id="98" w:name="_Toc27133"/>
      <w:bookmarkStart w:id="99" w:name="_Toc16172"/>
      <w:bookmarkStart w:id="100" w:name="_Toc20006"/>
      <w:bookmarkStart w:id="101" w:name="_Toc47700050"/>
      <w:r w:rsidRPr="00382AAF">
        <w:rPr>
          <w:rFonts w:ascii="华文细黑" w:eastAsia="华文细黑" w:hAnsi="华文细黑" w:cs="微软雅黑"/>
          <w:color w:val="4F81BD"/>
          <w:sz w:val="22"/>
          <w:szCs w:val="22"/>
        </w:rPr>
        <w:t>一般行政管理</w:t>
      </w:r>
      <w:bookmarkEnd w:id="97"/>
      <w:bookmarkEnd w:id="98"/>
      <w:bookmarkEnd w:id="99"/>
      <w:bookmarkEnd w:id="100"/>
      <w:bookmarkEnd w:id="10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行政管理指企业日常的经营管理活动</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如人事、信息系统等</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技术自行承担主要的经营管理以及一般管理功能。日常管理工作，包括监督生产运转、保存会计记录、进行税务申报、准备财务报告、遵循政府规定等，均由</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技术自行负责或委托斯必克中国投资的共享服务团队提供相关服务。</w:t>
      </w:r>
    </w:p>
    <w:p w:rsidR="00152594" w:rsidRPr="00382AAF" w:rsidRDefault="00382AAF">
      <w:pPr>
        <w:pStyle w:val="Heading3"/>
        <w:numPr>
          <w:ilvl w:val="2"/>
          <w:numId w:val="1"/>
        </w:numPr>
        <w:rPr>
          <w:rFonts w:ascii="华文细黑" w:eastAsia="华文细黑" w:hAnsi="华文细黑"/>
        </w:rPr>
      </w:pPr>
      <w:bookmarkStart w:id="102" w:name="_Toc256002785"/>
      <w:r w:rsidRPr="00382AAF">
        <w:rPr>
          <w:rFonts w:ascii="华文细黑" w:eastAsia="华文细黑" w:hAnsi="华文细黑"/>
        </w:rPr>
        <w:t>风险分析</w:t>
      </w:r>
      <w:bookmarkEnd w:id="102"/>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企业在生产经营过程中的各项活动所产生的结果具有不确定性，这意味着企业在关联交易中所承担的功能可能会给它带来相应的风险。因此，企业在取得收益的同时，也需要承担相应的风险。本节描述了</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技术和其关联企业在受测关联交易中所承担的风险。</w:t>
      </w:r>
    </w:p>
    <w:p w:rsidR="00152594" w:rsidRPr="00382AAF" w:rsidRDefault="00382AAF">
      <w:pPr>
        <w:pStyle w:val="BodyText"/>
        <w:keepNext/>
        <w:numPr>
          <w:ilvl w:val="0"/>
          <w:numId w:val="19"/>
        </w:numPr>
        <w:tabs>
          <w:tab w:val="left" w:pos="1440"/>
        </w:tabs>
        <w:spacing w:before="163" w:after="163"/>
        <w:ind w:left="0" w:firstLine="0"/>
        <w:rPr>
          <w:rFonts w:ascii="华文细黑" w:eastAsia="华文细黑" w:hAnsi="华文细黑" w:cs="Arial"/>
          <w:color w:val="4F81BD"/>
          <w:sz w:val="22"/>
          <w:szCs w:val="22"/>
        </w:rPr>
      </w:pPr>
      <w:bookmarkStart w:id="103" w:name="_Toc23789"/>
      <w:bookmarkStart w:id="104" w:name="_Toc20761"/>
      <w:bookmarkStart w:id="105" w:name="_Toc522015225"/>
      <w:bookmarkStart w:id="106" w:name="_Toc76668421"/>
      <w:bookmarkStart w:id="107" w:name="_Toc47700052"/>
      <w:bookmarkStart w:id="108" w:name="_Toc20677"/>
      <w:bookmarkStart w:id="109" w:name="_Toc15775"/>
      <w:r w:rsidRPr="00382AAF">
        <w:rPr>
          <w:rFonts w:ascii="华文细黑" w:eastAsia="华文细黑" w:hAnsi="华文细黑" w:cs="微软雅黑"/>
          <w:color w:val="4F81BD"/>
          <w:sz w:val="22"/>
          <w:szCs w:val="22"/>
        </w:rPr>
        <w:t>研发风险</w:t>
      </w:r>
      <w:bookmarkStart w:id="110" w:name="_Toc13224"/>
      <w:bookmarkEnd w:id="103"/>
      <w:bookmarkEnd w:id="104"/>
      <w:bookmarkEnd w:id="105"/>
      <w:bookmarkEnd w:id="106"/>
      <w:bookmarkEnd w:id="107"/>
      <w:bookmarkEnd w:id="108"/>
      <w:bookmarkEnd w:id="109"/>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技术执行斯必克产品的本地化技术改良及产品设计功能，并承担相应设计投入。</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技术承担有限的研发风险。</w:t>
      </w:r>
    </w:p>
    <w:p w:rsidR="00152594" w:rsidRPr="00382AAF" w:rsidRDefault="00382AAF">
      <w:pPr>
        <w:pStyle w:val="BodyText"/>
        <w:keepNext/>
        <w:numPr>
          <w:ilvl w:val="0"/>
          <w:numId w:val="20"/>
        </w:numPr>
        <w:tabs>
          <w:tab w:val="left" w:pos="1440"/>
        </w:tabs>
        <w:spacing w:before="163" w:after="163"/>
        <w:ind w:left="0" w:firstLine="0"/>
        <w:rPr>
          <w:rFonts w:ascii="华文细黑" w:eastAsia="华文细黑" w:hAnsi="华文细黑" w:cs="Arial"/>
          <w:color w:val="4F81BD"/>
          <w:sz w:val="22"/>
          <w:szCs w:val="22"/>
        </w:rPr>
      </w:pPr>
      <w:bookmarkStart w:id="111" w:name="_Toc76668422"/>
      <w:bookmarkStart w:id="112" w:name="_Toc6569"/>
      <w:bookmarkStart w:id="113" w:name="_Toc47700053"/>
      <w:bookmarkStart w:id="114" w:name="_Toc22647"/>
      <w:bookmarkStart w:id="115" w:name="_Toc16715"/>
      <w:r w:rsidRPr="00382AAF">
        <w:rPr>
          <w:rFonts w:ascii="华文细黑" w:eastAsia="华文细黑" w:hAnsi="华文细黑" w:cs="微软雅黑"/>
          <w:color w:val="4F81BD"/>
          <w:sz w:val="22"/>
          <w:szCs w:val="22"/>
        </w:rPr>
        <w:t>市场风险</w:t>
      </w:r>
      <w:bookmarkEnd w:id="111"/>
      <w:bookmarkEnd w:id="112"/>
      <w:bookmarkEnd w:id="113"/>
      <w:bookmarkEnd w:id="114"/>
      <w:bookmarkEnd w:id="115"/>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市场风险是指由于市场变化对商业成功因素造成影响的风险。市场风险包括需求变化，原材料价格波动，市场竞争激烈，拓展市场或对目标客户定位失败以及产品价格波动等带来的风险。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评估期间，对于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技术的关联销售交易，</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技术销售给关联方的价格为在标准成本上加成一定比例。当由于行业或市场因素而导致产品需求减少或产品价格发生波动时，关联方订单会随着终端客户订单的减少而减少。因此，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技术承担小部分市场风险，主要的市场风险由关联方承担。</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对于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技术的第三方销售交易，</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技术承担因市场需求不足、产品销量变化而导致的市场风险；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技术亦承担因市场价格波动导致的市场风险。</w:t>
      </w:r>
    </w:p>
    <w:p w:rsidR="00152594" w:rsidRPr="00382AAF" w:rsidRDefault="00382AAF">
      <w:pPr>
        <w:pStyle w:val="BodyText"/>
        <w:keepNext/>
        <w:numPr>
          <w:ilvl w:val="0"/>
          <w:numId w:val="21"/>
        </w:numPr>
        <w:tabs>
          <w:tab w:val="left" w:pos="1440"/>
        </w:tabs>
        <w:spacing w:before="163" w:after="163"/>
        <w:ind w:left="0" w:firstLine="0"/>
        <w:rPr>
          <w:rFonts w:ascii="华文细黑" w:eastAsia="华文细黑" w:hAnsi="华文细黑" w:cs="Arial"/>
          <w:color w:val="4F81BD"/>
          <w:sz w:val="22"/>
          <w:szCs w:val="22"/>
        </w:rPr>
      </w:pPr>
      <w:bookmarkStart w:id="116" w:name="_Toc30247"/>
      <w:bookmarkStart w:id="117" w:name="_Toc7810"/>
      <w:bookmarkStart w:id="118" w:name="_Toc47700054"/>
      <w:bookmarkStart w:id="119" w:name="_Toc76668423"/>
      <w:bookmarkStart w:id="120" w:name="_Toc28289"/>
      <w:r w:rsidRPr="00382AAF">
        <w:rPr>
          <w:rFonts w:ascii="华文细黑" w:eastAsia="华文细黑" w:hAnsi="华文细黑" w:cs="微软雅黑"/>
          <w:color w:val="4F81BD"/>
          <w:sz w:val="22"/>
          <w:szCs w:val="22"/>
        </w:rPr>
        <w:lastRenderedPageBreak/>
        <w:t>生产风险</w:t>
      </w:r>
      <w:bookmarkEnd w:id="116"/>
      <w:bookmarkEnd w:id="117"/>
      <w:bookmarkEnd w:id="118"/>
      <w:bookmarkEnd w:id="119"/>
      <w:bookmarkEnd w:id="120"/>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生产风险是指当生产成本（例如，原材料成本、劳动力成本波动，产能利用率等）或是生产过程中因技术应用不当或者设备故障导致的生产停滞或者产品质量下降带来的相关风险。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评估期间，如果生产用原材料的价格发生波动，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技术每季度会针对该波动调整标准成本，而销售给关联方的价格是在标准成本的基础上加成一定的比例。因此，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技术与其关联方共同承担生产成本变动风险。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对于向境内第三方客户销售产品的交易，销售价格根据市场价格制定，</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技术承担生产成本变动风险。</w:t>
      </w:r>
    </w:p>
    <w:p w:rsidR="00152594" w:rsidRPr="00382AAF" w:rsidRDefault="00382AAF">
      <w:pPr>
        <w:pStyle w:val="BodyText"/>
        <w:keepNext/>
        <w:numPr>
          <w:ilvl w:val="0"/>
          <w:numId w:val="22"/>
        </w:numPr>
        <w:tabs>
          <w:tab w:val="left" w:pos="1440"/>
        </w:tabs>
        <w:spacing w:before="163" w:after="163"/>
        <w:ind w:left="0" w:firstLine="0"/>
        <w:rPr>
          <w:rFonts w:ascii="华文细黑" w:eastAsia="华文细黑" w:hAnsi="华文细黑" w:cs="Arial"/>
          <w:color w:val="4F81BD"/>
          <w:sz w:val="22"/>
          <w:szCs w:val="22"/>
        </w:rPr>
      </w:pPr>
      <w:bookmarkStart w:id="121" w:name="_Toc522015226"/>
      <w:bookmarkStart w:id="122" w:name="_Toc47700055"/>
      <w:bookmarkStart w:id="123" w:name="_Toc12570"/>
      <w:bookmarkStart w:id="124" w:name="_Toc7338"/>
      <w:bookmarkStart w:id="125" w:name="_Toc76668424"/>
      <w:bookmarkStart w:id="126" w:name="_Toc18976"/>
      <w:r w:rsidRPr="00382AAF">
        <w:rPr>
          <w:rFonts w:ascii="华文细黑" w:eastAsia="华文细黑" w:hAnsi="华文细黑" w:cs="微软雅黑"/>
          <w:color w:val="4F81BD"/>
          <w:sz w:val="22"/>
          <w:szCs w:val="22"/>
        </w:rPr>
        <w:t>存货风险</w:t>
      </w:r>
      <w:bookmarkEnd w:id="110"/>
      <w:bookmarkEnd w:id="121"/>
      <w:bookmarkEnd w:id="122"/>
      <w:bookmarkEnd w:id="123"/>
      <w:bookmarkEnd w:id="124"/>
      <w:bookmarkEnd w:id="125"/>
      <w:bookmarkEnd w:id="12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存货风险指存货过多或过少而造成的损失，以及存货毁损风险。损失包括存货报废、丢失，或由于市场变化造成存货变现价格下降的风险。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在客户推迟订单而</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技术已备货的情况下，存货只能滞留于仓库，相应的仓储费用由</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技术承担。在客户取消订单的情况下，</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技术会首先和关联供应商协商，如未果，则</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技术需自行与上游供应商进行协商。如果供应商同意取消采购订单，则</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技术无需承担相应损失，相反，如果供应商不同意取消采购订单，</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技术则将采购的原材料用于其他项目上；如已生产完毕，可能会将产成品拆散，重新变回原材料，由此产生的存货风险仍需由</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w:t>
      </w:r>
    </w:p>
    <w:p w:rsidR="00152594" w:rsidRPr="00382AAF" w:rsidRDefault="00382AAF">
      <w:pPr>
        <w:pStyle w:val="BodyText"/>
        <w:keepNext/>
        <w:numPr>
          <w:ilvl w:val="0"/>
          <w:numId w:val="23"/>
        </w:numPr>
        <w:tabs>
          <w:tab w:val="left" w:pos="1440"/>
        </w:tabs>
        <w:spacing w:before="163" w:after="163"/>
        <w:ind w:left="0" w:firstLine="0"/>
        <w:rPr>
          <w:rFonts w:ascii="华文细黑" w:eastAsia="华文细黑" w:hAnsi="华文细黑" w:cs="Arial"/>
          <w:color w:val="4F81BD"/>
          <w:sz w:val="22"/>
          <w:szCs w:val="22"/>
        </w:rPr>
      </w:pPr>
      <w:bookmarkStart w:id="127" w:name="_Toc4556"/>
      <w:bookmarkStart w:id="128" w:name="_Toc47700056"/>
      <w:bookmarkStart w:id="129" w:name="_Toc76668425"/>
      <w:bookmarkStart w:id="130" w:name="_Toc6556"/>
      <w:bookmarkStart w:id="131" w:name="_Toc11961"/>
      <w:r w:rsidRPr="00382AAF">
        <w:rPr>
          <w:rFonts w:ascii="华文细黑" w:eastAsia="华文细黑" w:hAnsi="华文细黑" w:cs="微软雅黑"/>
          <w:color w:val="4F81BD"/>
          <w:sz w:val="22"/>
          <w:szCs w:val="22"/>
        </w:rPr>
        <w:t>质保和产品责任风险</w:t>
      </w:r>
      <w:bookmarkEnd w:id="127"/>
      <w:bookmarkEnd w:id="128"/>
      <w:bookmarkEnd w:id="129"/>
      <w:bookmarkEnd w:id="130"/>
      <w:bookmarkEnd w:id="13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质保和产品责任风险指一个公司的产品未达到预期标准，而相应承担的赔偿责任或名誉受损的风险。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评估期间，由于全部生产过程由</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技术自行完成，因此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技术需承担由于生产环节问题造成的产品质量保证风险。在实际运营中，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技术提供的产品或在向第三方客户所提供的流水线设计及安装过程中如出现质量问题，所发生的客户索赔等质保和产品责任风险均由</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w:t>
      </w:r>
    </w:p>
    <w:p w:rsidR="00152594" w:rsidRPr="00382AAF" w:rsidRDefault="00382AAF">
      <w:pPr>
        <w:pStyle w:val="BodyText"/>
        <w:keepNext/>
        <w:numPr>
          <w:ilvl w:val="0"/>
          <w:numId w:val="24"/>
        </w:numPr>
        <w:tabs>
          <w:tab w:val="left" w:pos="1440"/>
        </w:tabs>
        <w:spacing w:before="163" w:after="163"/>
        <w:ind w:left="0" w:firstLine="0"/>
        <w:rPr>
          <w:rFonts w:ascii="华文细黑" w:eastAsia="华文细黑" w:hAnsi="华文细黑" w:cs="Arial"/>
          <w:color w:val="4F81BD"/>
          <w:sz w:val="22"/>
          <w:szCs w:val="22"/>
        </w:rPr>
      </w:pPr>
      <w:bookmarkStart w:id="132" w:name="_Toc8372"/>
      <w:bookmarkStart w:id="133" w:name="_Toc47700057"/>
      <w:bookmarkStart w:id="134" w:name="_Toc17353"/>
      <w:bookmarkStart w:id="135" w:name="_Toc18621"/>
      <w:bookmarkStart w:id="136" w:name="_Toc76668426"/>
      <w:r w:rsidRPr="00382AAF">
        <w:rPr>
          <w:rFonts w:ascii="华文细黑" w:eastAsia="华文细黑" w:hAnsi="华文细黑" w:cs="微软雅黑"/>
          <w:color w:val="4F81BD"/>
          <w:sz w:val="22"/>
          <w:szCs w:val="22"/>
        </w:rPr>
        <w:t>信用风险</w:t>
      </w:r>
      <w:bookmarkEnd w:id="132"/>
      <w:bookmarkEnd w:id="133"/>
      <w:bookmarkEnd w:id="134"/>
      <w:bookmarkEnd w:id="135"/>
      <w:bookmarkEnd w:id="13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在先交货（或先提供劳务）后付款的情况下，销售方（或劳务提供方）在未来有可能不能如期或全额收到货款，相应的风险便是信用风险。其主要取决于两个因素：客户的信用度和应收账款的数额。</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技术的关联销售交易中，不论关联方是否从最终客户收到款项，都会按期向</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技术付款。因此，关联方承担债权回收风险，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技术不承担债权回收风险。在</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技术与第三方销售交易中，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技术承担债权回收风险。</w:t>
      </w:r>
    </w:p>
    <w:p w:rsidR="00152594" w:rsidRPr="00382AAF" w:rsidRDefault="00382AAF">
      <w:pPr>
        <w:pStyle w:val="BodyText"/>
        <w:keepNext/>
        <w:numPr>
          <w:ilvl w:val="0"/>
          <w:numId w:val="25"/>
        </w:numPr>
        <w:tabs>
          <w:tab w:val="left" w:pos="1440"/>
        </w:tabs>
        <w:spacing w:before="163" w:after="163"/>
        <w:ind w:left="0" w:firstLine="0"/>
        <w:rPr>
          <w:rFonts w:ascii="华文细黑" w:eastAsia="华文细黑" w:hAnsi="华文细黑" w:cs="Arial"/>
          <w:color w:val="4F81BD"/>
          <w:sz w:val="22"/>
          <w:szCs w:val="22"/>
        </w:rPr>
      </w:pPr>
      <w:bookmarkStart w:id="137" w:name="_Toc76668427"/>
      <w:bookmarkStart w:id="138" w:name="_Toc19177"/>
      <w:bookmarkStart w:id="139" w:name="_Toc22711"/>
      <w:bookmarkStart w:id="140" w:name="_Toc12726"/>
      <w:bookmarkStart w:id="141" w:name="_Toc47700058"/>
      <w:r w:rsidRPr="00382AAF">
        <w:rPr>
          <w:rFonts w:ascii="华文细黑" w:eastAsia="华文细黑" w:hAnsi="华文细黑" w:cs="微软雅黑"/>
          <w:color w:val="4F81BD"/>
          <w:sz w:val="22"/>
          <w:szCs w:val="22"/>
        </w:rPr>
        <w:lastRenderedPageBreak/>
        <w:t>汇率风险</w:t>
      </w:r>
      <w:bookmarkEnd w:id="137"/>
      <w:bookmarkEnd w:id="138"/>
      <w:bookmarkEnd w:id="139"/>
      <w:bookmarkEnd w:id="140"/>
      <w:bookmarkEnd w:id="14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公司在使用非本位币进行国际交易结算时，由于汇率的变化可能遭受的损失即为汇率风险。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技术和境外关联公司的采购和销售交易通常以美元结算，其中关联销售价格为标准成本加成一定比例，且每季度会对标准成本进行调整，因此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技术承担部分汇率风险。</w:t>
      </w:r>
    </w:p>
    <w:p w:rsidR="00152594" w:rsidRPr="00382AAF" w:rsidRDefault="00382AAF">
      <w:pPr>
        <w:pStyle w:val="Heading2"/>
        <w:numPr>
          <w:ilvl w:val="1"/>
          <w:numId w:val="1"/>
        </w:numPr>
        <w:rPr>
          <w:rFonts w:ascii="华文细黑" w:eastAsia="华文细黑" w:hAnsi="华文细黑"/>
        </w:rPr>
      </w:pPr>
      <w:bookmarkStart w:id="142" w:name="_Toc256002786"/>
      <w:r w:rsidRPr="00382AAF">
        <w:rPr>
          <w:rFonts w:ascii="华文细黑" w:eastAsia="华文细黑" w:hAnsi="华文细黑"/>
        </w:rPr>
        <w:t>资产分析</w:t>
      </w:r>
      <w:bookmarkEnd w:id="142"/>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本节描述了评估期间，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技术及其关联企业在受测关联交易中所使用的资产。</w:t>
      </w:r>
    </w:p>
    <w:p w:rsidR="00152594" w:rsidRPr="00382AAF" w:rsidRDefault="00382AAF">
      <w:pPr>
        <w:pStyle w:val="Heading3"/>
        <w:numPr>
          <w:ilvl w:val="2"/>
          <w:numId w:val="1"/>
        </w:numPr>
        <w:rPr>
          <w:rFonts w:ascii="华文细黑" w:eastAsia="华文细黑" w:hAnsi="华文细黑"/>
        </w:rPr>
      </w:pPr>
      <w:bookmarkStart w:id="143" w:name="_Toc256002787"/>
      <w:r w:rsidRPr="00382AAF">
        <w:rPr>
          <w:rFonts w:ascii="华文细黑" w:eastAsia="华文细黑" w:hAnsi="华文细黑"/>
        </w:rPr>
        <w:t>有形资产</w:t>
      </w:r>
      <w:bookmarkEnd w:id="143"/>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技术拥有生产所需的厂房和设备等有形资产所有权。与同行业的其他公司相比，</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技术拥有的有形资产水平没有显着差异。</w:t>
      </w:r>
    </w:p>
    <w:p w:rsidR="00152594" w:rsidRPr="00382AAF" w:rsidRDefault="00382AAF">
      <w:pPr>
        <w:pStyle w:val="Heading3"/>
        <w:numPr>
          <w:ilvl w:val="2"/>
          <w:numId w:val="1"/>
        </w:numPr>
        <w:rPr>
          <w:rFonts w:ascii="华文细黑" w:eastAsia="华文细黑" w:hAnsi="华文细黑"/>
        </w:rPr>
      </w:pPr>
      <w:bookmarkStart w:id="144" w:name="_Toc256002788"/>
      <w:r w:rsidRPr="00382AAF">
        <w:rPr>
          <w:rFonts w:ascii="华文细黑" w:eastAsia="华文细黑" w:hAnsi="华文细黑"/>
        </w:rPr>
        <w:t>无形资产</w:t>
      </w:r>
      <w:bookmarkEnd w:id="144"/>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rsidR="00152594" w:rsidRPr="00382AAF" w:rsidRDefault="00382AAF">
      <w:pPr>
        <w:pStyle w:val="BodyText"/>
        <w:keepNext/>
        <w:numPr>
          <w:ilvl w:val="0"/>
          <w:numId w:val="26"/>
        </w:numPr>
        <w:tabs>
          <w:tab w:val="left" w:pos="1440"/>
        </w:tabs>
        <w:spacing w:before="163" w:after="163"/>
        <w:ind w:left="0" w:firstLine="0"/>
        <w:rPr>
          <w:rFonts w:ascii="华文细黑" w:eastAsia="华文细黑" w:hAnsi="华文细黑" w:cs="Arial"/>
          <w:color w:val="4F81BD"/>
          <w:sz w:val="22"/>
          <w:szCs w:val="22"/>
        </w:rPr>
      </w:pPr>
      <w:bookmarkStart w:id="145" w:name="_Toc47700062"/>
      <w:bookmarkStart w:id="146" w:name="_Toc76668431"/>
      <w:bookmarkStart w:id="147" w:name="_Toc23923"/>
      <w:bookmarkStart w:id="148" w:name="_Toc29262"/>
      <w:bookmarkStart w:id="149" w:name="_Toc14472"/>
      <w:r w:rsidRPr="00382AAF">
        <w:rPr>
          <w:rFonts w:ascii="华文细黑" w:eastAsia="华文细黑" w:hAnsi="华文细黑" w:cs="微软雅黑"/>
          <w:color w:val="4F81BD"/>
          <w:sz w:val="22"/>
          <w:szCs w:val="22"/>
        </w:rPr>
        <w:t>生产型无形资产</w:t>
      </w:r>
      <w:bookmarkEnd w:id="145"/>
      <w:bookmarkEnd w:id="146"/>
      <w:bookmarkEnd w:id="147"/>
      <w:bookmarkEnd w:id="148"/>
      <w:bookmarkEnd w:id="149"/>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生产型无形资产可以分为两种，即由生产企业的研发活动或生产工艺改进所产生的专利技术和非专利的技术诀窍。</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此外，虽然</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技术不拥有由其境外关联方创造的非常规制造类无形资产，但在评估期间，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技术执行斯必克产品的本地化技术改良及产品设计，并拥有与产品本地化相关的技术。此外，</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技术拥有其境外关联方所拥有的部分专利的独占许可使用权。</w:t>
      </w:r>
    </w:p>
    <w:p w:rsidR="00152594" w:rsidRPr="00382AAF" w:rsidRDefault="00382AAF">
      <w:pPr>
        <w:pStyle w:val="BodyText"/>
        <w:keepNext/>
        <w:numPr>
          <w:ilvl w:val="0"/>
          <w:numId w:val="27"/>
        </w:numPr>
        <w:tabs>
          <w:tab w:val="left" w:pos="1440"/>
        </w:tabs>
        <w:spacing w:before="163" w:after="163"/>
        <w:ind w:left="0" w:firstLine="0"/>
        <w:rPr>
          <w:rFonts w:ascii="华文细黑" w:eastAsia="华文细黑" w:hAnsi="华文细黑" w:cs="Arial"/>
          <w:color w:val="4F81BD"/>
          <w:sz w:val="22"/>
          <w:szCs w:val="22"/>
        </w:rPr>
      </w:pPr>
      <w:bookmarkStart w:id="150" w:name="_Toc47700063"/>
      <w:bookmarkStart w:id="151" w:name="_Toc25066"/>
      <w:bookmarkStart w:id="152" w:name="_Toc18205"/>
      <w:bookmarkStart w:id="153" w:name="_Toc14972"/>
      <w:bookmarkStart w:id="154" w:name="_Toc76668432"/>
      <w:r w:rsidRPr="00382AAF">
        <w:rPr>
          <w:rFonts w:ascii="华文细黑" w:eastAsia="华文细黑" w:hAnsi="华文细黑" w:cs="微软雅黑"/>
          <w:color w:val="4F81BD"/>
          <w:sz w:val="22"/>
          <w:szCs w:val="22"/>
        </w:rPr>
        <w:t>营销型无形资产</w:t>
      </w:r>
      <w:bookmarkEnd w:id="150"/>
      <w:bookmarkEnd w:id="151"/>
      <w:bookmarkEnd w:id="152"/>
      <w:bookmarkEnd w:id="153"/>
      <w:bookmarkEnd w:id="154"/>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营销型无形资产包括商标、公司商誉、销售网络以及向客户提供售前和售后服务的能力。</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lastRenderedPageBreak/>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技术并不拥有非常规营销类无形资产。评估期间，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技术在第三方销售中会发生广告营销费用但金额非常小，在关联方销售中未发生广告营销费用。</w:t>
      </w:r>
    </w:p>
    <w:p w:rsidR="00152594" w:rsidRPr="00382AAF" w:rsidRDefault="00152594">
      <w:pPr>
        <w:pStyle w:val="BodyText"/>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382AAF">
      <w:pPr>
        <w:pStyle w:val="Heading1"/>
        <w:numPr>
          <w:ilvl w:val="0"/>
          <w:numId w:val="1"/>
        </w:numPr>
        <w:rPr>
          <w:rFonts w:ascii="华文细黑" w:eastAsia="华文细黑" w:hAnsi="华文细黑"/>
        </w:rPr>
      </w:pPr>
      <w:bookmarkStart w:id="155" w:name="_Toc256002789"/>
      <w:r w:rsidRPr="00382AAF">
        <w:rPr>
          <w:rFonts w:ascii="华文细黑" w:eastAsia="华文细黑" w:hAnsi="华文细黑"/>
        </w:rPr>
        <w:lastRenderedPageBreak/>
        <w:t>价值链分析</w:t>
      </w:r>
      <w:bookmarkEnd w:id="155"/>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根据</w:t>
      </w:r>
      <w:r w:rsidRPr="00382AAF">
        <w:rPr>
          <w:rFonts w:ascii="华文细黑" w:eastAsia="华文细黑" w:hAnsi="华文细黑" w:cs="Arial"/>
          <w:sz w:val="22"/>
          <w:szCs w:val="22"/>
          <w:lang w:eastAsia="zh-CN"/>
        </w:rPr>
        <w:t>[2016]42</w:t>
      </w:r>
      <w:r w:rsidRPr="00382AAF">
        <w:rPr>
          <w:rFonts w:ascii="华文细黑" w:eastAsia="华文细黑" w:hAnsi="华文细黑" w:cs="微软雅黑"/>
          <w:sz w:val="22"/>
          <w:szCs w:val="22"/>
          <w:lang w:eastAsia="zh-CN"/>
        </w:rPr>
        <w:t>号公告的相关规定，在分析关联交易是否符合独立交易原则的过程中应当对集团价值链进行分析。因此，本节将阐述</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集团价值链情况。</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价值链分析能够提供以下与经营活动相关的有效信息：</w:t>
      </w:r>
    </w:p>
    <w:p w:rsidR="00152594" w:rsidRPr="00382AAF" w:rsidRDefault="00382AAF">
      <w:pPr>
        <w:pStyle w:val="BodyText"/>
        <w:numPr>
          <w:ilvl w:val="0"/>
          <w:numId w:val="28"/>
        </w:numPr>
        <w:pBdr>
          <w:left w:val="none" w:sz="0" w:space="10" w:color="auto"/>
        </w:pBdr>
        <w:spacing w:before="120"/>
        <w:ind w:left="919" w:right="113" w:hanging="56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与交易有关的关键价值驱动因素，其中包括各相关方是如何使其自身区别与同业竞争者进而赢取市场的；</w:t>
      </w:r>
    </w:p>
    <w:p w:rsidR="00152594" w:rsidRPr="00382AAF" w:rsidRDefault="00382AAF">
      <w:pPr>
        <w:pStyle w:val="BodyText"/>
        <w:numPr>
          <w:ilvl w:val="0"/>
          <w:numId w:val="28"/>
        </w:numPr>
        <w:pBdr>
          <w:left w:val="none" w:sz="0" w:space="10" w:color="auto"/>
        </w:pBdr>
        <w:ind w:left="919" w:right="113" w:hanging="56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相关企业在资产、功能及风险方面对价值驱动的贡献，包括哪些贡献是独特且有价值的；</w:t>
      </w:r>
    </w:p>
    <w:p w:rsidR="00152594" w:rsidRPr="00382AAF" w:rsidRDefault="00382AAF">
      <w:pPr>
        <w:pStyle w:val="BodyText"/>
        <w:numPr>
          <w:ilvl w:val="0"/>
          <w:numId w:val="28"/>
        </w:numPr>
        <w:pBdr>
          <w:left w:val="none" w:sz="0" w:space="10" w:color="auto"/>
        </w:pBdr>
        <w:ind w:left="919" w:right="113" w:hanging="56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企业集团内业务流、物流和资金流，包括商品、劳务或者其他交易标的从设计、开发、生产制造、营销、销售、交货、结算、消费、售后服务、循环利用等各环节及其参与方；</w:t>
      </w:r>
    </w:p>
    <w:p w:rsidR="00152594" w:rsidRPr="00382AAF" w:rsidRDefault="00382AAF">
      <w:pPr>
        <w:pStyle w:val="BodyText"/>
        <w:numPr>
          <w:ilvl w:val="0"/>
          <w:numId w:val="28"/>
        </w:numPr>
        <w:pBdr>
          <w:left w:val="none" w:sz="0" w:space="10" w:color="auto"/>
        </w:pBdr>
        <w:ind w:left="919" w:right="113" w:hanging="56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各相关方在价值链中是如何协同运作，以及是如何分配功能和资产的。</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rsidR="00152594" w:rsidRPr="00382AAF" w:rsidRDefault="00382AAF">
      <w:pPr>
        <w:pStyle w:val="Heading2"/>
        <w:numPr>
          <w:ilvl w:val="1"/>
          <w:numId w:val="1"/>
        </w:numPr>
        <w:rPr>
          <w:rFonts w:ascii="华文细黑" w:eastAsia="华文细黑" w:hAnsi="华文细黑"/>
        </w:rPr>
      </w:pPr>
      <w:bookmarkStart w:id="156" w:name="_Toc256002790"/>
      <w:r w:rsidRPr="00382AAF">
        <w:rPr>
          <w:rFonts w:ascii="华文细黑" w:eastAsia="华文细黑" w:hAnsi="华文细黑"/>
        </w:rPr>
        <w:t>确定关键价值驱动因素</w:t>
      </w:r>
      <w:bookmarkEnd w:id="15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集团所处的工业自动化设备制造行业利润水平受多种因素影响，其中良好的品控、针对性的解决方案、对于客户和市场的响应能力等尤为关键。</w:t>
      </w:r>
    </w:p>
    <w:p w:rsidR="00152594" w:rsidRPr="00382AAF" w:rsidRDefault="00382AAF">
      <w:pPr>
        <w:pStyle w:val="BodyText"/>
        <w:numPr>
          <w:ilvl w:val="0"/>
          <w:numId w:val="29"/>
        </w:numPr>
        <w:spacing w:before="120"/>
        <w:ind w:left="1279" w:right="113" w:hanging="720"/>
        <w:jc w:val="both"/>
        <w:rPr>
          <w:rFonts w:ascii="华文细黑" w:eastAsia="华文细黑" w:hAnsi="华文细黑" w:cs="Arial"/>
          <w:sz w:val="22"/>
          <w:szCs w:val="22"/>
        </w:rPr>
      </w:pPr>
      <w:r w:rsidRPr="00382AAF">
        <w:rPr>
          <w:rFonts w:ascii="华文细黑" w:eastAsia="华文细黑" w:hAnsi="华文细黑" w:cs="微软雅黑"/>
          <w:sz w:val="22"/>
          <w:szCs w:val="22"/>
        </w:rPr>
        <w:t>产品的耐久性和稳定性</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集团的产品和工程设计主要应用于饮料、乳品、工业以及船舶等行业。因此，对于其下游的制造商群体来说，产品的耐久性和稳定性是重要的考量因素。</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集团致力于提供具有可靠、高效、高性能、高价值的产品和服务，迎合各行业客户的需求。对于采矿、生物技术和加工石油、天然气、矿产和化工领域的工业客户，</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集团生产的设备的质量经得起考验，可应对各种苛刻或磨蚀的恶劣施工情况。对于食品、饮料加工业客户，</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集团的工程设计着重于长期使用和低维护，要求产品质量符合最高的国际卫生标准。</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集团的制造工厂除了进行第三方认证外，还执行一系列细致的质量保证检查，以确保优质的产品按时交货。因此，稳定且优质的产品质量一直以来保证</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集团品牌的影响力和其市场份额。</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2</w:t>
      </w:r>
      <w:r w:rsidRPr="00382AAF">
        <w:rPr>
          <w:rFonts w:ascii="华文细黑" w:eastAsia="华文细黑" w:hAnsi="华文细黑" w:cs="微软雅黑"/>
          <w:sz w:val="22"/>
          <w:szCs w:val="22"/>
          <w:lang w:eastAsia="zh-CN"/>
        </w:rPr>
        <w:t>）量身定制的工艺工程解决方案</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集团致力于为客户提供量身定制的工艺工程解决方案。例如，对于食品饮料加工业客户，</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集团为客户考虑环境的设计以及在食品生产过程中实施节能系统；对于工业市场的客户，</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集团致力于提供有效，安全和污染最小的设备和技术；</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集团的电厂工程的产品和系统服务于核电站、天然气发电厂、火</w:t>
      </w:r>
      <w:r w:rsidRPr="00382AAF">
        <w:rPr>
          <w:rFonts w:ascii="华文细黑" w:eastAsia="华文细黑" w:hAnsi="华文细黑" w:cs="微软雅黑"/>
          <w:sz w:val="22"/>
          <w:szCs w:val="22"/>
          <w:lang w:eastAsia="zh-CN"/>
        </w:rPr>
        <w:lastRenderedPageBreak/>
        <w:t>电厂以及替代能源应用，帮助电厂等客户在合理优化运营的同时尽量减少排放，降低污染水平。</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3</w:t>
      </w:r>
      <w:r w:rsidRPr="00382AAF">
        <w:rPr>
          <w:rFonts w:ascii="华文细黑" w:eastAsia="华文细黑" w:hAnsi="华文细黑" w:cs="微软雅黑"/>
          <w:sz w:val="22"/>
          <w:szCs w:val="22"/>
          <w:lang w:eastAsia="zh-CN"/>
        </w:rPr>
        <w:t>）对于客户和市场的需求快速反应</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关注客户和市场的需求，可以使</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集团提高产品质量和服务，更有针对新和有效性，在市场竞争中脱颖而出，获得优势。</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对市场机遇、市场趋势以及食品饮料行业的挑战保持高度敏锐，对不断变化的客户和市场需求作出快速反应，以及时为客户提供最佳解决方案、改善工艺流程的设计，协助客户适应变化的环境，提高盈利能力。</w:t>
      </w:r>
    </w:p>
    <w:p w:rsidR="00152594" w:rsidRPr="00382AAF" w:rsidRDefault="00382AAF">
      <w:pPr>
        <w:pStyle w:val="Heading2"/>
        <w:numPr>
          <w:ilvl w:val="1"/>
          <w:numId w:val="1"/>
        </w:numPr>
        <w:rPr>
          <w:rFonts w:ascii="华文细黑" w:eastAsia="华文细黑" w:hAnsi="华文细黑"/>
        </w:rPr>
      </w:pPr>
      <w:bookmarkStart w:id="157" w:name="_Toc256002791"/>
      <w:r w:rsidRPr="00382AAF">
        <w:rPr>
          <w:rFonts w:ascii="华文细黑" w:eastAsia="华文细黑" w:hAnsi="华文细黑"/>
        </w:rPr>
        <w:t>集团价值链</w:t>
      </w:r>
      <w:bookmarkEnd w:id="157"/>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评估期间，</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集团的价值链以及</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技术在其中所处的位置如下图所示</w:t>
      </w:r>
      <w:r w:rsidRPr="00382AAF">
        <w:rPr>
          <w:rFonts w:ascii="华文细黑" w:eastAsia="华文细黑" w:hAnsi="华文细黑" w:cs="Arial"/>
          <w:color w:val="000000"/>
          <w:sz w:val="11"/>
          <w:szCs w:val="11"/>
          <w:vertAlign w:val="superscript"/>
        </w:rPr>
        <w:footnoteReference w:id="12"/>
      </w:r>
      <w:r w:rsidRPr="00382AAF">
        <w:rPr>
          <w:rFonts w:ascii="华文细黑" w:eastAsia="华文细黑" w:hAnsi="华文细黑" w:cs="微软雅黑"/>
          <w:sz w:val="22"/>
          <w:szCs w:val="22"/>
          <w:lang w:eastAsia="zh-CN"/>
        </w:rPr>
        <w:t>：</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noProof/>
          <w:sz w:val="18"/>
          <w:szCs w:val="18"/>
          <w:lang w:eastAsia="zh-CN"/>
        </w:rPr>
        <w:drawing>
          <wp:anchor distT="0" distB="0" distL="114300" distR="114300" simplePos="0" relativeHeight="251659264" behindDoc="0" locked="0" layoutInCell="1" allowOverlap="1">
            <wp:simplePos x="0" y="0"/>
            <wp:positionH relativeFrom="column">
              <wp:posOffset>200025</wp:posOffset>
            </wp:positionH>
            <wp:positionV relativeFrom="paragraph">
              <wp:posOffset>316865</wp:posOffset>
            </wp:positionV>
            <wp:extent cx="5029200" cy="4362450"/>
            <wp:effectExtent l="0" t="0" r="0" b="0"/>
            <wp:wrapTopAndBottom/>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029200" cy="4362450"/>
                    </a:xfrm>
                    <a:prstGeom prst="rect">
                      <a:avLst/>
                    </a:prstGeom>
                  </pic:spPr>
                </pic:pic>
              </a:graphicData>
            </a:graphic>
          </wp:anchor>
        </w:drawing>
      </w:r>
      <w:r w:rsidRPr="00382AAF">
        <w:rPr>
          <w:rFonts w:ascii="华文细黑" w:eastAsia="华文细黑" w:hAnsi="华文细黑"/>
          <w:sz w:val="18"/>
          <w:szCs w:val="18"/>
          <w:lang w:eastAsia="zh-CN"/>
        </w:rPr>
        <w:br/>
      </w:r>
      <w:r w:rsidRPr="00382AAF">
        <w:rPr>
          <w:rFonts w:ascii="华文细黑" w:eastAsia="华文细黑" w:hAnsi="华文细黑" w:cs="微软雅黑"/>
          <w:b/>
          <w:bCs/>
          <w:sz w:val="18"/>
          <w:szCs w:val="18"/>
          <w:lang w:eastAsia="zh-CN"/>
        </w:rPr>
        <w:lastRenderedPageBreak/>
        <w:t>图表</w:t>
      </w:r>
      <w:r w:rsidRPr="00382AAF">
        <w:rPr>
          <w:rFonts w:ascii="华文细黑" w:eastAsia="华文细黑" w:hAnsi="华文细黑" w:cs="Arial"/>
          <w:b/>
          <w:bCs/>
          <w:sz w:val="18"/>
          <w:szCs w:val="18"/>
          <w:lang w:eastAsia="zh-CN"/>
        </w:rPr>
        <w:t>15</w:t>
      </w:r>
      <w:r w:rsidRPr="00382AAF">
        <w:rPr>
          <w:rFonts w:ascii="华文细黑" w:eastAsia="华文细黑" w:hAnsi="华文细黑" w:cs="微软雅黑"/>
          <w:b/>
          <w:bCs/>
          <w:sz w:val="18"/>
          <w:szCs w:val="18"/>
          <w:lang w:eastAsia="zh-CN"/>
        </w:rPr>
        <w:t>：集团价值链</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结合</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技术承担的功能以及风险，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技术在集团价值链中主要针对中国市场承担生产、销售、部分研发的职能，是集团整体业务链条整体的常规组成部分；境外关联供应商为</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技术提供生产所需的关键原材料和核心技术，是构成</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技术产品特性的关键组成部分；</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技术的下游关联制造商或分销商采购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技术生产的产品，并承担产成品在当地的市场营销、销售职能。</w:t>
      </w:r>
    </w:p>
    <w:p w:rsidR="00152594" w:rsidRPr="00382AAF" w:rsidRDefault="00382AAF">
      <w:pPr>
        <w:pStyle w:val="Heading2"/>
        <w:numPr>
          <w:ilvl w:val="1"/>
          <w:numId w:val="1"/>
        </w:numPr>
        <w:rPr>
          <w:rFonts w:ascii="华文细黑" w:eastAsia="华文细黑" w:hAnsi="华文细黑"/>
        </w:rPr>
      </w:pPr>
      <w:bookmarkStart w:id="158" w:name="_Toc256002792"/>
      <w:r w:rsidRPr="00382AAF">
        <w:rPr>
          <w:rFonts w:ascii="华文细黑" w:eastAsia="华文细黑" w:hAnsi="华文细黑"/>
        </w:rPr>
        <w:t>交易定价影响要素</w:t>
      </w:r>
      <w:bookmarkEnd w:id="158"/>
    </w:p>
    <w:p w:rsidR="00152594" w:rsidRPr="00382AAF" w:rsidRDefault="00382AAF">
      <w:pPr>
        <w:pStyle w:val="BodyText"/>
        <w:spacing w:before="120"/>
        <w:ind w:right="113" w:firstLine="420"/>
        <w:jc w:val="both"/>
        <w:rPr>
          <w:rFonts w:ascii="华文细黑" w:eastAsia="华文细黑" w:hAnsi="华文细黑"/>
          <w:sz w:val="22"/>
          <w:szCs w:val="22"/>
        </w:rPr>
      </w:pPr>
      <w:r w:rsidRPr="00382AAF">
        <w:rPr>
          <w:rFonts w:ascii="华文细黑" w:eastAsia="华文细黑" w:hAnsi="华文细黑" w:cs="微软雅黑"/>
          <w:sz w:val="22"/>
          <w:szCs w:val="22"/>
          <w:lang w:eastAsia="zh-CN"/>
        </w:rPr>
        <w:t>在中国国家税务总局发布的《联合国转让定价操作手册》中，地域特殊因素的概念被正式提出。</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成本节约</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市场溢价</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的概念被大众广泛知晓。其中，地域特殊因素是指由于在特定的地域范围内存在资产、资源禀赋、政府对行业的激励政策等因素而产生的生产优势。</w:t>
      </w:r>
      <w:r w:rsidRPr="00382AAF">
        <w:rPr>
          <w:rFonts w:ascii="华文细黑" w:eastAsia="华文细黑" w:hAnsi="华文细黑" w:cs="微软雅黑"/>
          <w:sz w:val="22"/>
          <w:szCs w:val="22"/>
        </w:rPr>
        <w:t>具体来说，在如下方面：</w:t>
      </w:r>
    </w:p>
    <w:p w:rsidR="00152594" w:rsidRPr="00382AAF" w:rsidRDefault="00382AAF">
      <w:pPr>
        <w:pStyle w:val="Heading3"/>
        <w:numPr>
          <w:ilvl w:val="2"/>
          <w:numId w:val="1"/>
        </w:numPr>
        <w:rPr>
          <w:rFonts w:ascii="华文细黑" w:eastAsia="华文细黑" w:hAnsi="华文细黑"/>
        </w:rPr>
      </w:pPr>
      <w:bookmarkStart w:id="159" w:name="_Toc256002793"/>
      <w:r w:rsidRPr="00382AAF">
        <w:rPr>
          <w:rFonts w:ascii="华文细黑" w:eastAsia="华文细黑" w:hAnsi="华文细黑"/>
        </w:rPr>
        <w:t>地域成本节约</w:t>
      </w:r>
      <w:bookmarkEnd w:id="159"/>
    </w:p>
    <w:p w:rsidR="00152594" w:rsidRPr="00382AAF" w:rsidRDefault="00382AAF">
      <w:pPr>
        <w:pStyle w:val="BodyText"/>
        <w:spacing w:before="240" w:after="240"/>
        <w:ind w:left="119" w:right="113" w:firstLine="47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sidRPr="00382AAF">
        <w:rPr>
          <w:rFonts w:ascii="华文细黑" w:eastAsia="华文细黑" w:hAnsi="华文细黑" w:cs="Arial"/>
          <w:color w:val="000000"/>
          <w:sz w:val="11"/>
          <w:szCs w:val="11"/>
          <w:vertAlign w:val="superscript"/>
        </w:rPr>
        <w:footnoteReference w:id="13"/>
      </w:r>
      <w:r w:rsidRPr="00382AAF">
        <w:rPr>
          <w:rFonts w:ascii="华文细黑" w:eastAsia="华文细黑" w:hAnsi="华文细黑" w:cs="微软雅黑"/>
          <w:sz w:val="22"/>
          <w:szCs w:val="22"/>
          <w:lang w:eastAsia="zh-CN"/>
        </w:rPr>
        <w:t>。</w:t>
      </w:r>
    </w:p>
    <w:p w:rsidR="00152594" w:rsidRPr="00382AAF" w:rsidRDefault="00382AAF">
      <w:pPr>
        <w:pStyle w:val="BodyText"/>
        <w:spacing w:before="240" w:after="240"/>
        <w:ind w:left="119" w:right="113" w:firstLine="475"/>
        <w:jc w:val="both"/>
        <w:rPr>
          <w:rFonts w:ascii="华文细黑" w:eastAsia="华文细黑" w:hAnsi="华文细黑"/>
          <w:sz w:val="22"/>
          <w:szCs w:val="22"/>
          <w:lang w:eastAsia="zh-CN"/>
        </w:rPr>
      </w:pPr>
      <w:bookmarkStart w:id="160" w:name="_Hlk169894990"/>
      <w:r w:rsidRPr="00382AAF">
        <w:rPr>
          <w:rFonts w:ascii="华文细黑" w:eastAsia="华文细黑" w:hAnsi="华文细黑" w:cs="微软雅黑"/>
          <w:sz w:val="22"/>
          <w:szCs w:val="22"/>
          <w:lang w:eastAsia="zh-CN"/>
        </w:rPr>
        <w:t>随着中国人口老龄化、结婚率以及生育率下降，近几年中国的劳动力成本加速上升、劳动力供给增长的速度在放缓，劳动力成本优势逐渐减少。根据国际劳动组织发布的《</w:t>
      </w:r>
      <w:r w:rsidRPr="00382AAF">
        <w:rPr>
          <w:rFonts w:ascii="华文细黑" w:eastAsia="华文细黑" w:hAnsi="华文细黑" w:cs="Arial"/>
          <w:sz w:val="22"/>
          <w:szCs w:val="22"/>
          <w:lang w:eastAsia="zh-CN"/>
        </w:rPr>
        <w:t>2022/23</w:t>
      </w:r>
      <w:r w:rsidRPr="00382AAF">
        <w:rPr>
          <w:rFonts w:ascii="华文细黑" w:eastAsia="华文细黑" w:hAnsi="华文细黑" w:cs="微软雅黑"/>
          <w:sz w:val="22"/>
          <w:szCs w:val="22"/>
          <w:lang w:eastAsia="zh-CN"/>
        </w:rPr>
        <w:t>国际工资报告》，在</w:t>
      </w:r>
      <w:r w:rsidRPr="00382AAF">
        <w:rPr>
          <w:rFonts w:ascii="华文细黑" w:eastAsia="华文细黑" w:hAnsi="华文细黑" w:cs="Arial"/>
          <w:sz w:val="22"/>
          <w:szCs w:val="22"/>
          <w:lang w:eastAsia="zh-CN"/>
        </w:rPr>
        <w:t>G20</w:t>
      </w:r>
      <w:r w:rsidRPr="00382AAF">
        <w:rPr>
          <w:rFonts w:ascii="华文细黑" w:eastAsia="华文细黑" w:hAnsi="华文细黑" w:cs="微软雅黑"/>
          <w:sz w:val="22"/>
          <w:szCs w:val="22"/>
          <w:lang w:eastAsia="zh-CN"/>
        </w:rPr>
        <w:t>新兴经济体中，中国持续在实际工资增长排名中占据领先地位，估计显示</w:t>
      </w:r>
      <w:r w:rsidRPr="00382AAF">
        <w:rPr>
          <w:rFonts w:ascii="华文细黑" w:eastAsia="华文细黑" w:hAnsi="华文细黑" w:cs="Arial"/>
          <w:sz w:val="22"/>
          <w:szCs w:val="22"/>
          <w:lang w:eastAsia="zh-CN"/>
        </w:rPr>
        <w:t>2022</w:t>
      </w:r>
      <w:r w:rsidRPr="00382AAF">
        <w:rPr>
          <w:rFonts w:ascii="华文细黑" w:eastAsia="华文细黑" w:hAnsi="华文细黑" w:cs="微软雅黑"/>
          <w:sz w:val="22"/>
          <w:szCs w:val="22"/>
          <w:lang w:eastAsia="zh-CN"/>
        </w:rPr>
        <w:t>年中国的月工资约为其</w:t>
      </w:r>
      <w:r w:rsidRPr="00382AAF">
        <w:rPr>
          <w:rFonts w:ascii="华文细黑" w:eastAsia="华文细黑" w:hAnsi="华文细黑" w:cs="Arial"/>
          <w:sz w:val="22"/>
          <w:szCs w:val="22"/>
          <w:lang w:eastAsia="zh-CN"/>
        </w:rPr>
        <w:t>2008</w:t>
      </w:r>
      <w:r w:rsidRPr="00382AAF">
        <w:rPr>
          <w:rFonts w:ascii="华文细黑" w:eastAsia="华文细黑" w:hAnsi="华文细黑" w:cs="微软雅黑"/>
          <w:sz w:val="22"/>
          <w:szCs w:val="22"/>
          <w:lang w:eastAsia="zh-CN"/>
        </w:rPr>
        <w:t>年实际价值的</w:t>
      </w:r>
      <w:r w:rsidRPr="00382AAF">
        <w:rPr>
          <w:rFonts w:ascii="华文细黑" w:eastAsia="华文细黑" w:hAnsi="华文细黑" w:cs="Arial"/>
          <w:sz w:val="22"/>
          <w:szCs w:val="22"/>
          <w:lang w:eastAsia="zh-CN"/>
        </w:rPr>
        <w:t>2.6</w:t>
      </w:r>
      <w:r w:rsidRPr="00382AAF">
        <w:rPr>
          <w:rFonts w:ascii="华文细黑" w:eastAsia="华文细黑" w:hAnsi="华文细黑" w:cs="微软雅黑"/>
          <w:sz w:val="22"/>
          <w:szCs w:val="22"/>
          <w:lang w:eastAsia="zh-CN"/>
        </w:rPr>
        <w:t>倍。由下图可见，中国的工资水平不断上升导致劳动力成本不断上升，其竞争力优势明显弱化，与其他新兴经济体、东南亚国家相比并没有明显的成本优势</w:t>
      </w:r>
      <w:bookmarkEnd w:id="160"/>
      <w:r w:rsidRPr="00382AAF">
        <w:rPr>
          <w:rFonts w:ascii="华文细黑" w:eastAsia="华文细黑" w:hAnsi="华文细黑" w:cs="微软雅黑"/>
          <w:sz w:val="22"/>
          <w:szCs w:val="22"/>
          <w:lang w:eastAsia="zh-CN"/>
        </w:rPr>
        <w:t>。</w:t>
      </w:r>
    </w:p>
    <w:p w:rsidR="00152594" w:rsidRPr="00382AAF" w:rsidRDefault="00382AAF">
      <w:pPr>
        <w:pStyle w:val="BodyText"/>
        <w:spacing w:before="240" w:after="240"/>
        <w:ind w:left="119" w:right="113" w:firstLine="475"/>
        <w:jc w:val="center"/>
        <w:rPr>
          <w:rFonts w:ascii="华文细黑" w:eastAsia="华文细黑" w:hAnsi="华文细黑"/>
          <w:sz w:val="18"/>
          <w:szCs w:val="18"/>
          <w:lang w:eastAsia="zh-CN"/>
        </w:rPr>
      </w:pPr>
      <w:bookmarkStart w:id="161" w:name="_Hlk169895004"/>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16</w:t>
      </w:r>
      <w:r w:rsidRPr="00382AAF">
        <w:rPr>
          <w:rFonts w:ascii="华文细黑" w:eastAsia="华文细黑" w:hAnsi="华文细黑" w:cs="微软雅黑"/>
          <w:b/>
          <w:bCs/>
          <w:sz w:val="18"/>
          <w:szCs w:val="18"/>
          <w:lang w:eastAsia="zh-CN"/>
        </w:rPr>
        <w:t xml:space="preserve">： </w:t>
      </w:r>
      <w:r w:rsidRPr="00382AAF">
        <w:rPr>
          <w:rFonts w:ascii="华文细黑" w:eastAsia="华文细黑" w:hAnsi="华文细黑" w:cs="Arial"/>
          <w:b/>
          <w:bCs/>
          <w:sz w:val="18"/>
          <w:szCs w:val="18"/>
          <w:lang w:eastAsia="zh-CN"/>
        </w:rPr>
        <w:t>2008-2022</w:t>
      </w:r>
      <w:r w:rsidRPr="00382AAF">
        <w:rPr>
          <w:rFonts w:ascii="华文细黑" w:eastAsia="华文细黑" w:hAnsi="华文细黑" w:cs="微软雅黑"/>
          <w:b/>
          <w:bCs/>
          <w:sz w:val="18"/>
          <w:szCs w:val="18"/>
          <w:lang w:eastAsia="zh-CN"/>
        </w:rPr>
        <w:t>年</w:t>
      </w:r>
      <w:r w:rsidRPr="00382AAF">
        <w:rPr>
          <w:rFonts w:ascii="华文细黑" w:eastAsia="华文细黑" w:hAnsi="华文细黑" w:cs="Arial"/>
          <w:b/>
          <w:bCs/>
          <w:sz w:val="18"/>
          <w:szCs w:val="18"/>
          <w:lang w:eastAsia="zh-CN"/>
        </w:rPr>
        <w:t>G20</w:t>
      </w:r>
      <w:r w:rsidRPr="00382AAF">
        <w:rPr>
          <w:rFonts w:ascii="华文细黑" w:eastAsia="华文细黑" w:hAnsi="华文细黑" w:cs="微软雅黑"/>
          <w:b/>
          <w:bCs/>
          <w:sz w:val="18"/>
          <w:szCs w:val="18"/>
          <w:lang w:eastAsia="zh-CN"/>
        </w:rPr>
        <w:t>新兴经济体平均实际工资指数</w:t>
      </w:r>
      <w:r w:rsidRPr="00382AAF">
        <w:rPr>
          <w:rFonts w:ascii="华文细黑" w:eastAsia="华文细黑" w:hAnsi="华文细黑" w:cs="Arial"/>
          <w:color w:val="000000"/>
          <w:sz w:val="11"/>
          <w:szCs w:val="11"/>
          <w:vertAlign w:val="superscript"/>
        </w:rPr>
        <w:footnoteReference w:id="14"/>
      </w:r>
      <w:bookmarkEnd w:id="161"/>
    </w:p>
    <w:p w:rsidR="00152594" w:rsidRPr="00382AAF" w:rsidRDefault="00382AAF">
      <w:pPr>
        <w:pStyle w:val="BodyText"/>
        <w:spacing w:before="240" w:after="240"/>
        <w:ind w:left="119" w:right="113" w:firstLine="475"/>
        <w:jc w:val="both"/>
        <w:rPr>
          <w:rFonts w:ascii="华文细黑" w:eastAsia="华文细黑" w:hAnsi="华文细黑"/>
          <w:sz w:val="22"/>
          <w:szCs w:val="22"/>
        </w:rPr>
      </w:pPr>
      <w:r w:rsidRPr="00382AAF">
        <w:rPr>
          <w:rFonts w:ascii="华文细黑" w:eastAsia="华文细黑" w:hAnsi="华文细黑"/>
          <w:noProof/>
          <w:sz w:val="22"/>
          <w:szCs w:val="22"/>
          <w:lang w:eastAsia="zh-CN"/>
        </w:rPr>
        <w:lastRenderedPageBreak/>
        <w:drawing>
          <wp:inline distT="0" distB="0" distL="0" distR="0">
            <wp:extent cx="4953000" cy="284797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4953000" cy="2847975"/>
                    </a:xfrm>
                    <a:prstGeom prst="rect">
                      <a:avLst/>
                    </a:prstGeom>
                  </pic:spPr>
                </pic:pic>
              </a:graphicData>
            </a:graphic>
          </wp:inline>
        </w:drawing>
      </w:r>
    </w:p>
    <w:p w:rsidR="00152594" w:rsidRPr="00382AAF" w:rsidRDefault="00382AAF">
      <w:pPr>
        <w:pStyle w:val="BodyText"/>
        <w:spacing w:before="240" w:after="240"/>
        <w:ind w:left="119" w:right="113" w:firstLine="440"/>
        <w:jc w:val="both"/>
        <w:rPr>
          <w:rFonts w:ascii="华文细黑" w:eastAsia="华文细黑" w:hAnsi="华文细黑"/>
          <w:sz w:val="22"/>
          <w:szCs w:val="22"/>
          <w:lang w:eastAsia="zh-CN"/>
        </w:rPr>
      </w:pPr>
      <w:bookmarkStart w:id="162" w:name="_Hlk169289264"/>
      <w:r w:rsidRPr="00382AAF">
        <w:rPr>
          <w:rFonts w:ascii="华文细黑" w:eastAsia="华文细黑" w:hAnsi="华文细黑" w:cs="微软雅黑"/>
          <w:sz w:val="22"/>
          <w:szCs w:val="22"/>
          <w:lang w:eastAsia="zh-CN"/>
        </w:rPr>
        <w:t>截至</w:t>
      </w:r>
      <w:r w:rsidRPr="00382AAF">
        <w:rPr>
          <w:rFonts w:ascii="华文细黑" w:eastAsia="华文细黑" w:hAnsi="华文细黑" w:cs="Arial"/>
          <w:sz w:val="22"/>
          <w:szCs w:val="22"/>
          <w:lang w:eastAsia="zh-CN"/>
        </w:rPr>
        <w:t>2025</w:t>
      </w:r>
      <w:r w:rsidRPr="00382AAF">
        <w:rPr>
          <w:rFonts w:ascii="华文细黑" w:eastAsia="华文细黑" w:hAnsi="华文细黑" w:cs="微软雅黑"/>
          <w:sz w:val="22"/>
          <w:szCs w:val="22"/>
          <w:lang w:eastAsia="zh-CN"/>
        </w:rPr>
        <w:t>年</w:t>
      </w:r>
      <w:r w:rsidRPr="00382AAF">
        <w:rPr>
          <w:rFonts w:ascii="华文细黑" w:eastAsia="华文细黑" w:hAnsi="华文细黑" w:cs="Arial"/>
          <w:sz w:val="22"/>
          <w:szCs w:val="22"/>
          <w:lang w:eastAsia="zh-CN"/>
        </w:rPr>
        <w:t>1</w:t>
      </w:r>
      <w:r w:rsidRPr="00382AAF">
        <w:rPr>
          <w:rFonts w:ascii="华文细黑" w:eastAsia="华文细黑" w:hAnsi="华文细黑" w:cs="微软雅黑"/>
          <w:sz w:val="22"/>
          <w:szCs w:val="22"/>
          <w:lang w:eastAsia="zh-CN"/>
        </w:rPr>
        <w:t>月</w:t>
      </w:r>
      <w:r w:rsidRPr="00382AAF">
        <w:rPr>
          <w:rFonts w:ascii="华文细黑" w:eastAsia="华文细黑" w:hAnsi="华文细黑" w:cs="Arial"/>
          <w:sz w:val="22"/>
          <w:szCs w:val="22"/>
          <w:lang w:eastAsia="zh-CN"/>
        </w:rPr>
        <w:t>1</w:t>
      </w:r>
      <w:r w:rsidRPr="00382AAF">
        <w:rPr>
          <w:rFonts w:ascii="华文细黑" w:eastAsia="华文细黑" w:hAnsi="华文细黑" w:cs="微软雅黑"/>
          <w:sz w:val="22"/>
          <w:szCs w:val="22"/>
          <w:lang w:eastAsia="zh-CN"/>
        </w:rPr>
        <w:t>日，第一档月最低工资标准超过</w:t>
      </w:r>
      <w:r w:rsidRPr="00382AAF">
        <w:rPr>
          <w:rFonts w:ascii="华文细黑" w:eastAsia="华文细黑" w:hAnsi="华文细黑" w:cs="Arial"/>
          <w:sz w:val="22"/>
          <w:szCs w:val="22"/>
          <w:lang w:eastAsia="zh-CN"/>
        </w:rPr>
        <w:t>2000</w:t>
      </w:r>
      <w:r w:rsidRPr="00382AAF">
        <w:rPr>
          <w:rFonts w:ascii="华文细黑" w:eastAsia="华文细黑" w:hAnsi="华文细黑" w:cs="微软雅黑"/>
          <w:sz w:val="22"/>
          <w:szCs w:val="22"/>
          <w:lang w:eastAsia="zh-CN"/>
        </w:rPr>
        <w:t>元省市共有</w:t>
      </w:r>
      <w:r w:rsidRPr="00382AAF">
        <w:rPr>
          <w:rFonts w:ascii="华文细黑" w:eastAsia="华文细黑" w:hAnsi="华文细黑" w:cs="Arial"/>
          <w:sz w:val="22"/>
          <w:szCs w:val="22"/>
          <w:lang w:eastAsia="zh-CN"/>
        </w:rPr>
        <w:t>29</w:t>
      </w:r>
      <w:r w:rsidRPr="00382AAF">
        <w:rPr>
          <w:rFonts w:ascii="华文细黑" w:eastAsia="华文细黑" w:hAnsi="华文细黑" w:cs="微软雅黑"/>
          <w:sz w:val="22"/>
          <w:szCs w:val="22"/>
          <w:lang w:eastAsia="zh-CN"/>
        </w:rPr>
        <w:t>个，分别是上海、江苏、浙江、北京、深圳、重庆、四川、天津、广东、内蒙古等。其中，上海最高为</w:t>
      </w:r>
      <w:r w:rsidRPr="00382AAF">
        <w:rPr>
          <w:rFonts w:ascii="华文细黑" w:eastAsia="华文细黑" w:hAnsi="华文细黑" w:cs="Arial"/>
          <w:sz w:val="22"/>
          <w:szCs w:val="22"/>
          <w:lang w:eastAsia="zh-CN"/>
        </w:rPr>
        <w:t>2690</w:t>
      </w:r>
      <w:r w:rsidRPr="00382AAF">
        <w:rPr>
          <w:rFonts w:ascii="华文细黑" w:eastAsia="华文细黑" w:hAnsi="华文细黑" w:cs="微软雅黑"/>
          <w:sz w:val="22"/>
          <w:szCs w:val="22"/>
          <w:lang w:eastAsia="zh-CN"/>
        </w:rPr>
        <w:t>元，江苏、浙江</w:t>
      </w:r>
      <w:r w:rsidRPr="00382AAF">
        <w:rPr>
          <w:rFonts w:ascii="华文细黑" w:eastAsia="华文细黑" w:hAnsi="华文细黑" w:cs="Arial"/>
          <w:sz w:val="22"/>
          <w:szCs w:val="22"/>
          <w:lang w:eastAsia="zh-CN"/>
        </w:rPr>
        <w:t>2490</w:t>
      </w:r>
      <w:r w:rsidRPr="00382AAF">
        <w:rPr>
          <w:rFonts w:ascii="华文细黑" w:eastAsia="华文细黑" w:hAnsi="华文细黑" w:cs="微软雅黑"/>
          <w:sz w:val="22"/>
          <w:szCs w:val="22"/>
          <w:lang w:eastAsia="zh-CN"/>
        </w:rPr>
        <w:t>元并列第二，北京</w:t>
      </w:r>
      <w:r w:rsidRPr="00382AAF">
        <w:rPr>
          <w:rFonts w:ascii="华文细黑" w:eastAsia="华文细黑" w:hAnsi="华文细黑" w:cs="Arial"/>
          <w:sz w:val="22"/>
          <w:szCs w:val="22"/>
          <w:lang w:eastAsia="zh-CN"/>
        </w:rPr>
        <w:t>2420</w:t>
      </w:r>
      <w:r w:rsidRPr="00382AAF">
        <w:rPr>
          <w:rFonts w:ascii="华文细黑" w:eastAsia="华文细黑" w:hAnsi="华文细黑" w:cs="微软雅黑"/>
          <w:sz w:val="22"/>
          <w:szCs w:val="22"/>
          <w:lang w:eastAsia="zh-CN"/>
        </w:rPr>
        <w:t>元位列第三</w:t>
      </w:r>
      <w:r w:rsidRPr="00382AAF">
        <w:rPr>
          <w:rFonts w:ascii="华文细黑" w:eastAsia="华文细黑" w:hAnsi="华文细黑" w:cs="Arial"/>
          <w:color w:val="000000"/>
          <w:sz w:val="11"/>
          <w:szCs w:val="11"/>
          <w:vertAlign w:val="superscript"/>
        </w:rPr>
        <w:footnoteReference w:id="15"/>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2015</w:t>
      </w:r>
      <w:r w:rsidRPr="00382AAF">
        <w:rPr>
          <w:rFonts w:ascii="华文细黑" w:eastAsia="华文细黑" w:hAnsi="华文细黑" w:cs="微软雅黑"/>
          <w:sz w:val="22"/>
          <w:szCs w:val="22"/>
          <w:lang w:eastAsia="zh-CN"/>
        </w:rPr>
        <w:t>年到</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年中国平均工资变化的趋势如下图：</w:t>
      </w:r>
      <w:bookmarkEnd w:id="162"/>
    </w:p>
    <w:p w:rsidR="00152594" w:rsidRPr="00382AAF" w:rsidRDefault="00382AAF">
      <w:pPr>
        <w:pStyle w:val="BodyText"/>
        <w:keepNext/>
        <w:spacing w:before="240" w:after="0"/>
        <w:jc w:val="center"/>
        <w:rPr>
          <w:rFonts w:ascii="华文细黑" w:eastAsia="华文细黑" w:hAnsi="华文细黑"/>
          <w:sz w:val="18"/>
          <w:szCs w:val="18"/>
          <w:lang w:eastAsia="zh-CN"/>
        </w:rPr>
      </w:pPr>
      <w:bookmarkStart w:id="165" w:name="_Hlk169289278"/>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17</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2015</w:t>
      </w:r>
      <w:r w:rsidRPr="00382AAF">
        <w:rPr>
          <w:rFonts w:ascii="华文细黑" w:eastAsia="华文细黑" w:hAnsi="华文细黑" w:cs="微软雅黑"/>
          <w:b/>
          <w:bCs/>
          <w:sz w:val="18"/>
          <w:szCs w:val="18"/>
          <w:lang w:eastAsia="zh-CN"/>
        </w:rPr>
        <w:t>年到</w:t>
      </w:r>
      <w:r w:rsidRPr="00382AAF">
        <w:rPr>
          <w:rFonts w:ascii="华文细黑" w:eastAsia="华文细黑" w:hAnsi="华文细黑" w:cs="Arial"/>
          <w:b/>
          <w:bCs/>
          <w:sz w:val="18"/>
          <w:szCs w:val="18"/>
          <w:lang w:eastAsia="zh-CN"/>
        </w:rPr>
        <w:t>2024</w:t>
      </w:r>
      <w:r w:rsidRPr="00382AAF">
        <w:rPr>
          <w:rFonts w:ascii="华文细黑" w:eastAsia="华文细黑" w:hAnsi="华文细黑" w:cs="微软雅黑"/>
          <w:b/>
          <w:bCs/>
          <w:sz w:val="18"/>
          <w:szCs w:val="18"/>
          <w:lang w:eastAsia="zh-CN"/>
        </w:rPr>
        <w:t>年城镇私营单位就业人员平均工资及增速</w:t>
      </w:r>
      <w:r w:rsidRPr="00382AAF">
        <w:rPr>
          <w:rFonts w:ascii="华文细黑" w:eastAsia="华文细黑" w:hAnsi="华文细黑" w:cs="Arial"/>
          <w:color w:val="000000"/>
          <w:sz w:val="11"/>
          <w:szCs w:val="11"/>
          <w:vertAlign w:val="superscript"/>
        </w:rPr>
        <w:footnoteReference w:id="16"/>
      </w:r>
      <w:bookmarkEnd w:id="165"/>
    </w:p>
    <w:p w:rsidR="00152594" w:rsidRPr="00382AAF" w:rsidRDefault="00382AAF">
      <w:pPr>
        <w:pStyle w:val="BodyText"/>
        <w:widowControl w:val="0"/>
        <w:spacing w:before="120"/>
        <w:ind w:left="119" w:right="113" w:firstLine="480"/>
        <w:jc w:val="both"/>
        <w:rPr>
          <w:rFonts w:ascii="华文细黑" w:eastAsia="华文细黑" w:hAnsi="华文细黑"/>
        </w:rPr>
      </w:pPr>
      <w:r w:rsidRPr="00382AAF">
        <w:rPr>
          <w:rFonts w:ascii="华文细黑" w:eastAsia="华文细黑" w:hAnsi="华文细黑"/>
          <w:noProof/>
          <w:lang w:eastAsia="zh-CN"/>
        </w:rPr>
        <w:drawing>
          <wp:inline distT="0" distB="0" distL="0" distR="0">
            <wp:extent cx="4724400" cy="19050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4724400" cy="1905000"/>
                    </a:xfrm>
                    <a:prstGeom prst="rect">
                      <a:avLst/>
                    </a:prstGeom>
                  </pic:spPr>
                </pic:pic>
              </a:graphicData>
            </a:graphic>
          </wp:inline>
        </w:drawing>
      </w:r>
    </w:p>
    <w:p w:rsidR="00152594" w:rsidRPr="00382AAF" w:rsidRDefault="00382AAF">
      <w:pPr>
        <w:pStyle w:val="BodyText"/>
        <w:keepNext/>
        <w:widowControl w:val="0"/>
        <w:spacing w:before="120" w:after="0"/>
        <w:ind w:left="119" w:right="113" w:firstLine="360"/>
        <w:jc w:val="center"/>
        <w:rPr>
          <w:rFonts w:ascii="华文细黑" w:eastAsia="华文细黑" w:hAnsi="华文细黑"/>
          <w:sz w:val="18"/>
          <w:szCs w:val="18"/>
          <w:lang w:eastAsia="zh-CN"/>
        </w:rPr>
      </w:pPr>
      <w:bookmarkStart w:id="167" w:name="_Hlk169289320"/>
      <w:r w:rsidRPr="00382AAF">
        <w:rPr>
          <w:rFonts w:ascii="华文细黑" w:eastAsia="华文细黑" w:hAnsi="华文细黑" w:cs="微软雅黑"/>
          <w:b/>
          <w:bCs/>
          <w:sz w:val="18"/>
          <w:szCs w:val="18"/>
          <w:lang w:eastAsia="zh-CN"/>
        </w:rPr>
        <w:lastRenderedPageBreak/>
        <w:t>图表</w:t>
      </w:r>
      <w:r w:rsidRPr="00382AAF">
        <w:rPr>
          <w:rFonts w:ascii="华文细黑" w:eastAsia="华文细黑" w:hAnsi="华文细黑" w:cs="Arial"/>
          <w:b/>
          <w:bCs/>
          <w:sz w:val="18"/>
          <w:szCs w:val="18"/>
          <w:lang w:eastAsia="zh-CN"/>
        </w:rPr>
        <w:t>18</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2015</w:t>
      </w:r>
      <w:r w:rsidRPr="00382AAF">
        <w:rPr>
          <w:rFonts w:ascii="华文细黑" w:eastAsia="华文细黑" w:hAnsi="华文细黑" w:cs="微软雅黑"/>
          <w:b/>
          <w:bCs/>
          <w:sz w:val="18"/>
          <w:szCs w:val="18"/>
          <w:lang w:eastAsia="zh-CN"/>
        </w:rPr>
        <w:t>年到</w:t>
      </w:r>
      <w:r w:rsidRPr="00382AAF">
        <w:rPr>
          <w:rFonts w:ascii="华文细黑" w:eastAsia="华文细黑" w:hAnsi="华文细黑" w:cs="Arial"/>
          <w:b/>
          <w:bCs/>
          <w:sz w:val="18"/>
          <w:szCs w:val="18"/>
          <w:lang w:eastAsia="zh-CN"/>
        </w:rPr>
        <w:t>2024</w:t>
      </w:r>
      <w:r w:rsidRPr="00382AAF">
        <w:rPr>
          <w:rFonts w:ascii="华文细黑" w:eastAsia="华文细黑" w:hAnsi="华文细黑" w:cs="微软雅黑"/>
          <w:b/>
          <w:bCs/>
          <w:sz w:val="18"/>
          <w:szCs w:val="18"/>
          <w:lang w:eastAsia="zh-CN"/>
        </w:rPr>
        <w:t>年城镇非私营单位就业人员平均工资及增速</w:t>
      </w:r>
      <w:r w:rsidRPr="00382AAF">
        <w:rPr>
          <w:rFonts w:ascii="华文细黑" w:eastAsia="华文细黑" w:hAnsi="华文细黑" w:cs="Arial"/>
          <w:color w:val="000000"/>
          <w:sz w:val="11"/>
          <w:szCs w:val="11"/>
          <w:vertAlign w:val="superscript"/>
        </w:rPr>
        <w:footnoteReference w:id="17"/>
      </w:r>
      <w:bookmarkEnd w:id="167"/>
    </w:p>
    <w:p w:rsidR="00152594" w:rsidRPr="00382AAF" w:rsidRDefault="00382AAF">
      <w:pPr>
        <w:pStyle w:val="BodyText"/>
        <w:widowControl w:val="0"/>
        <w:spacing w:before="120"/>
        <w:ind w:left="119" w:right="113" w:firstLine="480"/>
        <w:jc w:val="center"/>
        <w:rPr>
          <w:rFonts w:ascii="华文细黑" w:eastAsia="华文细黑" w:hAnsi="华文细黑"/>
          <w:sz w:val="22"/>
          <w:szCs w:val="22"/>
        </w:rPr>
      </w:pPr>
      <w:r w:rsidRPr="00382AAF">
        <w:rPr>
          <w:rFonts w:ascii="华文细黑" w:eastAsia="华文细黑" w:hAnsi="华文细黑"/>
          <w:noProof/>
          <w:sz w:val="22"/>
          <w:szCs w:val="22"/>
          <w:lang w:eastAsia="zh-CN"/>
        </w:rPr>
        <w:drawing>
          <wp:inline distT="0" distB="0" distL="0" distR="0">
            <wp:extent cx="4733925" cy="190500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4733925" cy="1905000"/>
                    </a:xfrm>
                    <a:prstGeom prst="rect">
                      <a:avLst/>
                    </a:prstGeom>
                  </pic:spPr>
                </pic:pic>
              </a:graphicData>
            </a:graphic>
          </wp:inline>
        </w:drawing>
      </w:r>
    </w:p>
    <w:p w:rsidR="00152594" w:rsidRPr="00382AAF" w:rsidRDefault="00382AAF">
      <w:pPr>
        <w:pStyle w:val="BodyText"/>
        <w:spacing w:before="240" w:after="240"/>
        <w:ind w:left="119" w:right="113" w:firstLine="475"/>
        <w:jc w:val="both"/>
        <w:rPr>
          <w:rFonts w:ascii="华文细黑" w:eastAsia="华文细黑" w:hAnsi="华文细黑"/>
          <w:sz w:val="22"/>
          <w:szCs w:val="22"/>
          <w:lang w:eastAsia="zh-CN"/>
        </w:rPr>
      </w:pPr>
      <w:bookmarkStart w:id="168" w:name="_Hlk169895236"/>
      <w:r w:rsidRPr="00382AAF">
        <w:rPr>
          <w:rFonts w:ascii="华文细黑" w:eastAsia="华文细黑" w:hAnsi="华文细黑" w:cs="微软雅黑"/>
          <w:sz w:val="22"/>
          <w:szCs w:val="22"/>
          <w:lang w:eastAsia="zh-CN"/>
        </w:rPr>
        <w:t>在国家出台的一系列</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稳就业</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保就业</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政策保障下，劳动力市场在</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年恢复性增长。近日，中国财政科学研究院发布的第六次</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企业成本</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大型调研报告</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下称报告</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rsidR="00152594" w:rsidRPr="00382AAF" w:rsidRDefault="00382AAF">
      <w:pPr>
        <w:pStyle w:val="BodyText"/>
        <w:spacing w:before="240" w:after="240"/>
        <w:ind w:left="119" w:right="113" w:firstLine="47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因此，随着劳动力成本逐年上升，</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技术并没有从劳动力成本中受益。</w:t>
      </w:r>
      <w:bookmarkEnd w:id="168"/>
    </w:p>
    <w:p w:rsidR="00152594" w:rsidRPr="00382AAF" w:rsidRDefault="00382AAF">
      <w:pPr>
        <w:pStyle w:val="Heading3"/>
        <w:numPr>
          <w:ilvl w:val="2"/>
          <w:numId w:val="1"/>
        </w:numPr>
        <w:rPr>
          <w:rFonts w:ascii="华文细黑" w:eastAsia="华文细黑" w:hAnsi="华文细黑"/>
        </w:rPr>
      </w:pPr>
      <w:bookmarkStart w:id="169" w:name="_Toc256002794"/>
      <w:r w:rsidRPr="00382AAF">
        <w:rPr>
          <w:rFonts w:ascii="华文细黑" w:eastAsia="华文细黑" w:hAnsi="华文细黑"/>
        </w:rPr>
        <w:t>市场溢价</w:t>
      </w:r>
      <w:bookmarkEnd w:id="169"/>
    </w:p>
    <w:p w:rsidR="00152594" w:rsidRPr="00382AAF" w:rsidRDefault="00382AAF">
      <w:pPr>
        <w:pStyle w:val="BodyText"/>
        <w:spacing w:before="240" w:after="240"/>
        <w:ind w:left="119" w:right="113" w:firstLine="42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市场溢价，是指跨国企业将经营活动安排在有独特特质的地区而获得的额外利润，这些地区的特质会对一项服务或产品的销售和需求造成影响</w:t>
      </w:r>
      <w:r w:rsidRPr="00382AAF">
        <w:rPr>
          <w:rFonts w:ascii="华文细黑" w:eastAsia="华文细黑" w:hAnsi="华文细黑" w:cs="Arial"/>
          <w:color w:val="000000"/>
          <w:sz w:val="11"/>
          <w:szCs w:val="11"/>
          <w:vertAlign w:val="superscript"/>
        </w:rPr>
        <w:footnoteReference w:id="18"/>
      </w:r>
      <w:r w:rsidRPr="00382AAF">
        <w:rPr>
          <w:rFonts w:ascii="华文细黑" w:eastAsia="华文细黑" w:hAnsi="华文细黑" w:cs="微软雅黑"/>
          <w:sz w:val="22"/>
          <w:szCs w:val="22"/>
          <w:lang w:eastAsia="zh-CN"/>
        </w:rPr>
        <w:t>。</w:t>
      </w:r>
    </w:p>
    <w:p w:rsidR="00152594" w:rsidRPr="00382AAF" w:rsidRDefault="00382AAF">
      <w:pPr>
        <w:pStyle w:val="BodyText"/>
        <w:spacing w:before="240" w:after="240"/>
        <w:ind w:left="119" w:right="113" w:firstLine="475"/>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技术为客户提供量身定制的整体解决方案，并且国内和国外市场对产品的要求也不相同。</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技术在境内和在境外提供的大型成套设备本身并不具有可比性，因此在境内外市场上的价格也不具有可比性。</w:t>
      </w:r>
    </w:p>
    <w:p w:rsidR="00152594" w:rsidRPr="00382AAF" w:rsidRDefault="00382AAF">
      <w:pPr>
        <w:pStyle w:val="BodyText"/>
        <w:spacing w:before="240" w:after="240"/>
        <w:ind w:left="119" w:right="113" w:firstLine="47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作为工业设备制造商，其利润水平与宏观经济周期紧密相关，即很大程度取决于下游行业的需求。在中国大陆市场上，</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技术不仅要与跨国企业的中国子公司竞争，还要面临来自快速发展的本土竞争对手的挑战。因此，</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技术的设备类产品面临着激烈的市场竞争。此外，由于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技术最主要的收入来自于大型成套设备的销售，而国内市场上有如此规模需求的客户数量并不多，客户具有很高的议价能力，因此并没有明显的证据表明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技术会受到市场溢价的影响。</w:t>
      </w:r>
    </w:p>
    <w:p w:rsidR="00152594" w:rsidRPr="00382AAF" w:rsidRDefault="00382AAF">
      <w:pPr>
        <w:pStyle w:val="Heading2"/>
        <w:numPr>
          <w:ilvl w:val="1"/>
          <w:numId w:val="1"/>
        </w:numPr>
        <w:rPr>
          <w:rFonts w:ascii="华文细黑" w:eastAsia="华文细黑" w:hAnsi="华文细黑"/>
          <w:lang w:eastAsia="zh-CN"/>
        </w:rPr>
      </w:pPr>
      <w:bookmarkStart w:id="170" w:name="_Toc256002795"/>
      <w:r w:rsidRPr="00382AAF">
        <w:rPr>
          <w:rFonts w:ascii="华文细黑" w:eastAsia="华文细黑" w:hAnsi="华文细黑"/>
          <w:lang w:eastAsia="zh-CN"/>
        </w:rPr>
        <w:lastRenderedPageBreak/>
        <w:t>价值链各参与方财务报表</w:t>
      </w:r>
      <w:bookmarkEnd w:id="170"/>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在本报告编制时，尚无法获得相关价值链参与方</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财务年度的财务报表。如有要求，可在本公司征求关联方同意之后提供该数据。</w:t>
      </w:r>
    </w:p>
    <w:p w:rsidR="00152594" w:rsidRPr="00382AAF" w:rsidRDefault="00382AAF">
      <w:pPr>
        <w:pStyle w:val="BodyText"/>
        <w:spacing w:before="120"/>
        <w:ind w:left="119" w:right="113"/>
        <w:jc w:val="both"/>
        <w:rPr>
          <w:rFonts w:ascii="华文细黑" w:eastAsia="华文细黑" w:hAnsi="华文细黑"/>
          <w:sz w:val="22"/>
          <w:szCs w:val="22"/>
          <w:lang w:eastAsia="zh-CN"/>
        </w:rPr>
      </w:pPr>
      <w:r w:rsidRPr="00382AAF">
        <w:rPr>
          <w:rFonts w:ascii="华文细黑" w:eastAsia="华文细黑" w:hAnsi="华文细黑"/>
          <w:sz w:val="22"/>
          <w:szCs w:val="22"/>
          <w:lang w:eastAsia="zh-CN"/>
        </w:rPr>
        <w:br w:type="page"/>
      </w:r>
    </w:p>
    <w:p w:rsidR="00152594" w:rsidRPr="00382AAF" w:rsidRDefault="00152594">
      <w:pPr>
        <w:pStyle w:val="BodyText"/>
        <w:rPr>
          <w:rFonts w:ascii="华文细黑" w:eastAsia="华文细黑" w:hAnsi="华文细黑"/>
          <w:lang w:eastAsia="zh-CN"/>
        </w:rPr>
        <w:sectPr w:rsidR="00152594" w:rsidRPr="00382AAF">
          <w:pgSz w:w="12240" w:h="15840"/>
          <w:pgMar w:top="1440" w:right="1800" w:bottom="1440" w:left="1800" w:header="720" w:footer="720" w:gutter="0"/>
          <w:cols w:space="720"/>
        </w:sectPr>
      </w:pPr>
    </w:p>
    <w:p w:rsidR="00152594" w:rsidRPr="00382AAF" w:rsidRDefault="00382AAF">
      <w:pPr>
        <w:pStyle w:val="Heading1"/>
        <w:numPr>
          <w:ilvl w:val="0"/>
          <w:numId w:val="1"/>
        </w:numPr>
        <w:rPr>
          <w:rFonts w:ascii="华文细黑" w:eastAsia="华文细黑" w:hAnsi="华文细黑"/>
        </w:rPr>
      </w:pPr>
      <w:bookmarkStart w:id="171" w:name="_Toc256002796"/>
      <w:r w:rsidRPr="00382AAF">
        <w:rPr>
          <w:rFonts w:ascii="华文细黑" w:eastAsia="华文细黑" w:hAnsi="华文细黑"/>
        </w:rPr>
        <w:lastRenderedPageBreak/>
        <w:t>可比性分析</w:t>
      </w:r>
      <w:bookmarkEnd w:id="171"/>
    </w:p>
    <w:p w:rsidR="00152594" w:rsidRPr="00382AAF" w:rsidRDefault="00382AAF">
      <w:pPr>
        <w:pStyle w:val="Heading2"/>
        <w:numPr>
          <w:ilvl w:val="1"/>
          <w:numId w:val="1"/>
        </w:numPr>
        <w:rPr>
          <w:rFonts w:ascii="华文细黑" w:eastAsia="华文细黑" w:hAnsi="华文细黑"/>
        </w:rPr>
      </w:pPr>
      <w:bookmarkStart w:id="172" w:name="_Toc256002797"/>
      <w:r w:rsidRPr="00382AAF">
        <w:rPr>
          <w:rFonts w:ascii="华文细黑" w:eastAsia="华文细黑" w:hAnsi="华文细黑"/>
        </w:rPr>
        <w:t>简介</w:t>
      </w:r>
      <w:bookmarkEnd w:id="172"/>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企业所得税法第</w:t>
      </w:r>
      <w:r w:rsidRPr="00382AAF">
        <w:rPr>
          <w:rFonts w:ascii="华文细黑" w:eastAsia="华文细黑" w:hAnsi="华文细黑" w:cs="Arial"/>
          <w:sz w:val="22"/>
          <w:szCs w:val="22"/>
          <w:lang w:eastAsia="zh-CN"/>
        </w:rPr>
        <w:t>41</w:t>
      </w:r>
      <w:r w:rsidRPr="00382AAF">
        <w:rPr>
          <w:rFonts w:ascii="华文细黑" w:eastAsia="华文细黑" w:hAnsi="华文细黑" w:cs="微软雅黑"/>
          <w:sz w:val="22"/>
          <w:szCs w:val="22"/>
          <w:lang w:eastAsia="zh-CN"/>
        </w:rPr>
        <w:t>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w:t>
      </w:r>
      <w:r w:rsidRPr="00382AAF">
        <w:rPr>
          <w:rFonts w:ascii="华文细黑" w:eastAsia="华文细黑" w:hAnsi="华文细黑" w:cs="Arial"/>
          <w:sz w:val="22"/>
          <w:szCs w:val="22"/>
          <w:lang w:eastAsia="zh-CN"/>
        </w:rPr>
        <w:t>“OECD”</w:t>
      </w:r>
      <w:r w:rsidRPr="00382AAF">
        <w:rPr>
          <w:rFonts w:ascii="华文细黑" w:eastAsia="华文细黑" w:hAnsi="华文细黑" w:cs="微软雅黑"/>
          <w:sz w:val="22"/>
          <w:szCs w:val="22"/>
          <w:lang w:eastAsia="zh-CN"/>
        </w:rPr>
        <w:t>）所认可的指导原则。</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为了确定最适宜的转让定价评估方法，我们参考了中国转让定价法规和</w:t>
      </w:r>
      <w:r w:rsidRPr="00382AAF">
        <w:rPr>
          <w:rFonts w:ascii="华文细黑" w:eastAsia="华文细黑" w:hAnsi="华文细黑" w:cs="Arial"/>
          <w:sz w:val="22"/>
          <w:szCs w:val="22"/>
          <w:lang w:eastAsia="zh-CN"/>
        </w:rPr>
        <w:t>OECD</w:t>
      </w:r>
      <w:r w:rsidRPr="00382AAF">
        <w:rPr>
          <w:rFonts w:ascii="华文细黑" w:eastAsia="华文细黑" w:hAnsi="华文细黑" w:cs="微软雅黑"/>
          <w:sz w:val="22"/>
          <w:szCs w:val="22"/>
          <w:lang w:eastAsia="zh-CN"/>
        </w:rPr>
        <w:t>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对以上各种方法的详细描述，请见附件</w:t>
      </w:r>
      <w:r w:rsidRPr="00382AAF">
        <w:rPr>
          <w:rFonts w:ascii="华文细黑" w:eastAsia="华文细黑" w:hAnsi="华文细黑" w:cs="Arial"/>
          <w:sz w:val="22"/>
          <w:szCs w:val="22"/>
          <w:lang w:eastAsia="zh-CN"/>
        </w:rPr>
        <w:t>1</w:t>
      </w:r>
      <w:r w:rsidRPr="00382AAF">
        <w:rPr>
          <w:rFonts w:ascii="华文细黑" w:eastAsia="华文细黑" w:hAnsi="华文细黑" w:cs="微软雅黑"/>
          <w:sz w:val="22"/>
          <w:szCs w:val="22"/>
          <w:lang w:eastAsia="zh-CN"/>
        </w:rPr>
        <w:t>。</w:t>
      </w:r>
    </w:p>
    <w:p w:rsidR="00152594" w:rsidRPr="00382AAF" w:rsidRDefault="00382AAF">
      <w:pPr>
        <w:pStyle w:val="Heading2"/>
        <w:numPr>
          <w:ilvl w:val="1"/>
          <w:numId w:val="1"/>
        </w:numPr>
        <w:rPr>
          <w:rFonts w:ascii="华文细黑" w:eastAsia="华文细黑" w:hAnsi="华文细黑"/>
        </w:rPr>
      </w:pPr>
      <w:bookmarkStart w:id="173" w:name="_Toc256002798"/>
      <w:r w:rsidRPr="00382AAF">
        <w:rPr>
          <w:rFonts w:ascii="华文细黑" w:eastAsia="华文细黑" w:hAnsi="华文细黑"/>
        </w:rPr>
        <w:t>转让定价方法的选择</w:t>
      </w:r>
      <w:bookmarkEnd w:id="173"/>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[2016] 42</w:t>
      </w:r>
      <w:r w:rsidRPr="00382AAF">
        <w:rPr>
          <w:rFonts w:ascii="华文细黑" w:eastAsia="华文细黑" w:hAnsi="华文细黑" w:cs="微软雅黑"/>
          <w:sz w:val="22"/>
          <w:szCs w:val="22"/>
          <w:lang w:eastAsia="zh-CN"/>
        </w:rPr>
        <w:t>号公告第</w:t>
      </w:r>
      <w:r w:rsidRPr="00382AAF">
        <w:rPr>
          <w:rFonts w:ascii="华文细黑" w:eastAsia="华文细黑" w:hAnsi="华文细黑" w:cs="Arial"/>
          <w:sz w:val="22"/>
          <w:szCs w:val="22"/>
          <w:lang w:eastAsia="zh-CN"/>
        </w:rPr>
        <w:t>14</w:t>
      </w:r>
      <w:r w:rsidRPr="00382AAF">
        <w:rPr>
          <w:rFonts w:ascii="华文细黑" w:eastAsia="华文细黑" w:hAnsi="华文细黑" w:cs="微软雅黑"/>
          <w:sz w:val="22"/>
          <w:szCs w:val="22"/>
          <w:lang w:eastAsia="zh-CN"/>
        </w:rPr>
        <w:t>条规定，可比性分析考虑的因素，包括交易资产或者劳务特性，交易各方功能、风险和资产，合同条款，经济环境，经营策略等。</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w:t>
      </w:r>
      <w:r w:rsidRPr="00382AAF">
        <w:rPr>
          <w:rFonts w:ascii="华文细黑" w:eastAsia="华文细黑" w:hAnsi="华文细黑" w:cs="Arial"/>
          <w:color w:val="000000"/>
          <w:sz w:val="11"/>
          <w:szCs w:val="11"/>
          <w:vertAlign w:val="superscript"/>
        </w:rPr>
        <w:footnoteReference w:id="19"/>
      </w:r>
      <w:r w:rsidRPr="00382AAF">
        <w:rPr>
          <w:rFonts w:ascii="华文细黑" w:eastAsia="华文细黑" w:hAnsi="华文细黑" w:cs="微软雅黑"/>
          <w:sz w:val="22"/>
          <w:szCs w:val="22"/>
          <w:lang w:eastAsia="zh-CN"/>
        </w:rPr>
        <w:t>由于最合适的转让定价方法是比较各方法相对优点的结果，因此，不完美的方法仍可能被接受，除非有证据证明其他方法更加可靠或能更加准确估算独立交易的结果。</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以下图表总结了转让定价方法的选择过程：</w:t>
      </w:r>
    </w:p>
    <w:p w:rsidR="00152594" w:rsidRPr="00382AAF" w:rsidRDefault="00382AAF">
      <w:pPr>
        <w:pStyle w:val="BodyText"/>
        <w:keepN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19</w:t>
      </w:r>
      <w:r w:rsidRPr="00382AAF">
        <w:rPr>
          <w:rFonts w:ascii="华文细黑" w:eastAsia="华文细黑" w:hAnsi="华文细黑" w:cs="微软雅黑"/>
          <w:b/>
          <w:bCs/>
          <w:sz w:val="18"/>
          <w:szCs w:val="18"/>
          <w:lang w:eastAsia="zh-CN"/>
        </w:rPr>
        <w:t>：合适转让定价方法的选择</w:t>
      </w:r>
    </w:p>
    <w:p w:rsidR="00152594" w:rsidRPr="00382AAF" w:rsidRDefault="00382AAF">
      <w:pPr>
        <w:pStyle w:val="Heading2"/>
        <w:numPr>
          <w:ilvl w:val="1"/>
          <w:numId w:val="1"/>
        </w:numPr>
        <w:rPr>
          <w:rFonts w:ascii="华文细黑" w:eastAsia="华文细黑" w:hAnsi="华文细黑"/>
        </w:rPr>
      </w:pPr>
      <w:bookmarkStart w:id="174" w:name="_Toc256002799"/>
      <w:r w:rsidRPr="00382AAF">
        <w:rPr>
          <w:rFonts w:ascii="华文细黑" w:eastAsia="华文细黑" w:hAnsi="华文细黑"/>
        </w:rPr>
        <w:t>验证对象的选择</w:t>
      </w:r>
      <w:bookmarkEnd w:id="174"/>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可比非受控价格法适用于参与受控交易的任何一方，利润分割法通常适用于受控交易的各方，而用其他的转让定价方法时必须首先明确应对哪一方的毛利或营业利润进行分析。</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验证对象</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lastRenderedPageBreak/>
        <w:t>在受测关联交易中，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技术主要承担有限的研发功能、采购功能、生产功能、质量控制功能、存货管理功能以及一般行政管理功能；</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技术主要承担有限的市场风险、有限的研发风险、有限的生产风险、有限的存货风险、产品责任风险以及汇率风险。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技术的关联企业主要负责有限的采购功能、研发功能、生产功能、质量控制功能、存货管理、工程设计功能、市场营销与销售功能、售后服务功能、付款请求和回收功能以及一般行政管理功能；</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技术的关联企业承担市场风险、研发风险、生产风险、存货风险、产品责任风险、信用风险以及汇率风险。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在关联交易中，</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综上所述，我们选择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技术作为受测关联交易的验证对象。</w:t>
      </w:r>
    </w:p>
    <w:p w:rsidR="00152594" w:rsidRPr="00382AAF" w:rsidRDefault="00382AAF">
      <w:pPr>
        <w:pStyle w:val="Heading2"/>
        <w:numPr>
          <w:ilvl w:val="1"/>
          <w:numId w:val="1"/>
        </w:numPr>
        <w:rPr>
          <w:rFonts w:ascii="华文细黑" w:eastAsia="华文细黑" w:hAnsi="华文细黑"/>
        </w:rPr>
      </w:pPr>
      <w:bookmarkStart w:id="175" w:name="_Toc256002800"/>
      <w:r w:rsidRPr="00382AAF">
        <w:rPr>
          <w:rFonts w:ascii="华文细黑" w:eastAsia="华文细黑" w:hAnsi="华文细黑"/>
        </w:rPr>
        <w:t>转让定价方法的应用</w:t>
      </w:r>
      <w:bookmarkEnd w:id="175"/>
    </w:p>
    <w:p w:rsidR="00152594" w:rsidRPr="00382AAF" w:rsidRDefault="00382AAF">
      <w:pPr>
        <w:pStyle w:val="Heading3"/>
        <w:numPr>
          <w:ilvl w:val="2"/>
          <w:numId w:val="1"/>
        </w:numPr>
        <w:rPr>
          <w:rFonts w:ascii="华文细黑" w:eastAsia="华文细黑" w:hAnsi="华文细黑"/>
        </w:rPr>
      </w:pPr>
      <w:bookmarkStart w:id="176" w:name="_Toc256002801"/>
      <w:r w:rsidRPr="00382AAF">
        <w:rPr>
          <w:rFonts w:ascii="华文细黑" w:eastAsia="华文细黑" w:hAnsi="华文细黑"/>
        </w:rPr>
        <w:t>概述</w:t>
      </w:r>
      <w:bookmarkEnd w:id="176"/>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[2016]42</w:t>
      </w:r>
      <w:r w:rsidRPr="00382AAF">
        <w:rPr>
          <w:rFonts w:ascii="华文细黑" w:eastAsia="华文细黑" w:hAnsi="华文细黑" w:cs="微软雅黑"/>
          <w:sz w:val="22"/>
          <w:szCs w:val="22"/>
          <w:lang w:eastAsia="zh-CN"/>
        </w:rPr>
        <w:t>号公告中列举的各种转让定价方法的分析（详见上文章节</w:t>
      </w:r>
      <w:r w:rsidRPr="00382AAF">
        <w:rPr>
          <w:rFonts w:ascii="华文细黑" w:eastAsia="华文细黑" w:hAnsi="华文细黑" w:cs="Arial"/>
          <w:sz w:val="22"/>
          <w:szCs w:val="22"/>
          <w:lang w:eastAsia="zh-CN"/>
        </w:rPr>
        <w:t>7.2)</w:t>
      </w:r>
      <w:r w:rsidRPr="00382AAF">
        <w:rPr>
          <w:rFonts w:ascii="华文细黑" w:eastAsia="华文细黑" w:hAnsi="华文细黑" w:cs="微软雅黑"/>
          <w:sz w:val="22"/>
          <w:szCs w:val="22"/>
          <w:lang w:eastAsia="zh-CN"/>
        </w:rPr>
        <w:t>，交易净利润法被确定为对受测关联交易进行可比性分析最合适的转让定价方法。根据</w:t>
      </w:r>
      <w:r w:rsidRPr="00382AAF">
        <w:rPr>
          <w:rFonts w:ascii="华文细黑" w:eastAsia="华文细黑" w:hAnsi="华文细黑" w:cs="Arial"/>
          <w:sz w:val="22"/>
          <w:szCs w:val="22"/>
          <w:lang w:eastAsia="zh-CN"/>
        </w:rPr>
        <w:t>OECD</w:t>
      </w:r>
      <w:r w:rsidRPr="00382AAF">
        <w:rPr>
          <w:rFonts w:ascii="华文细黑" w:eastAsia="华文细黑" w:hAnsi="华文细黑" w:cs="微软雅黑"/>
          <w:sz w:val="22"/>
          <w:szCs w:val="22"/>
          <w:lang w:eastAsia="zh-CN"/>
        </w:rPr>
        <w:t>转让定价指南中的相关原则，在理想的情况下，交易利润法的应用应当通过比较：纳税人在受控交易（或适宜于合并的交易）中获取的净利润指标与同一纳税人在可比非受控交易中获得的净利润指标。</w:t>
      </w:r>
      <w:r w:rsidRPr="00382AAF">
        <w:rPr>
          <w:rFonts w:ascii="华文细黑" w:eastAsia="华文细黑" w:hAnsi="华文细黑" w:cs="Arial"/>
          <w:color w:val="000000"/>
          <w:sz w:val="11"/>
          <w:szCs w:val="11"/>
          <w:vertAlign w:val="superscript"/>
        </w:rPr>
        <w:footnoteReference w:id="20"/>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下面我们将应用交易净利润法进行可比分析。</w:t>
      </w:r>
    </w:p>
    <w:p w:rsidR="00152594" w:rsidRPr="00382AAF" w:rsidRDefault="00382AAF">
      <w:pPr>
        <w:pStyle w:val="Heading3"/>
        <w:numPr>
          <w:ilvl w:val="2"/>
          <w:numId w:val="1"/>
        </w:numPr>
        <w:rPr>
          <w:rFonts w:ascii="华文细黑" w:eastAsia="华文细黑" w:hAnsi="华文细黑"/>
          <w:lang w:eastAsia="zh-CN"/>
        </w:rPr>
      </w:pPr>
      <w:bookmarkStart w:id="177" w:name="_Toc256002802"/>
      <w:r w:rsidRPr="00382AAF">
        <w:rPr>
          <w:rFonts w:ascii="华文细黑" w:eastAsia="华文细黑" w:hAnsi="华文细黑"/>
          <w:lang w:eastAsia="zh-CN"/>
        </w:rPr>
        <w:t>确定与受测关联交易相关的财务数据</w:t>
      </w:r>
      <w:bookmarkEnd w:id="177"/>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我们选择</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技术作为受测关联交易的验证对象，鉴于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技术向关联方和第三方供应商采购原材料和零部件，并向关联方和非关联方销售全部产品，因此本报告将对关联购销交易是否符合独立交易原则按关联销售和非关联销售交易分别进行整体分析和验证。</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20</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斯必克流体</w:t>
      </w:r>
      <w:r w:rsidRPr="00382AAF">
        <w:rPr>
          <w:rFonts w:ascii="华文细黑" w:eastAsia="华文细黑" w:hAnsi="华文细黑" w:cs="微软雅黑"/>
          <w:b/>
          <w:bCs/>
          <w:sz w:val="18"/>
          <w:szCs w:val="18"/>
          <w:lang w:eastAsia="zh-CN"/>
        </w:rPr>
        <w:t>技术</w:t>
      </w:r>
      <w:r w:rsidRPr="00382AAF">
        <w:rPr>
          <w:rFonts w:ascii="华文细黑" w:eastAsia="华文细黑" w:hAnsi="华文细黑" w:cs="Arial"/>
          <w:b/>
          <w:bCs/>
          <w:sz w:val="18"/>
          <w:szCs w:val="18"/>
          <w:lang w:eastAsia="zh-CN"/>
        </w:rPr>
        <w:t>2024</w:t>
      </w:r>
      <w:r w:rsidRPr="00382AAF">
        <w:rPr>
          <w:rFonts w:ascii="华文细黑" w:eastAsia="华文细黑" w:hAnsi="华文细黑" w:cs="微软雅黑"/>
          <w:b/>
          <w:bCs/>
          <w:sz w:val="18"/>
          <w:szCs w:val="18"/>
          <w:lang w:eastAsia="zh-CN"/>
        </w:rPr>
        <w:t>年度财务数据</w:t>
      </w:r>
      <w:r w:rsidRPr="00382AAF">
        <w:rPr>
          <w:rFonts w:ascii="华文细黑" w:eastAsia="华文细黑" w:hAnsi="华文细黑"/>
          <w:color w:val="000000"/>
          <w:sz w:val="12"/>
          <w:szCs w:val="12"/>
          <w:vertAlign w:val="superscript"/>
        </w:rPr>
        <w:footnoteReference w:id="21"/>
      </w:r>
    </w:p>
    <w:p w:rsidR="00152594" w:rsidRPr="00382AAF" w:rsidRDefault="00382AAF">
      <w:pPr>
        <w:pStyle w:val="BodyText"/>
        <w:ind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基于</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年度的财务数据，</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技术在关联销售中的完全成本加成率为</w:t>
      </w:r>
      <w:r w:rsidRPr="00382AAF">
        <w:rPr>
          <w:rFonts w:ascii="华文细黑" w:eastAsia="华文细黑" w:hAnsi="华文细黑" w:cs="Arial"/>
          <w:sz w:val="22"/>
          <w:szCs w:val="22"/>
          <w:lang w:eastAsia="zh-CN"/>
        </w:rPr>
        <w:t>22.93%</w:t>
      </w:r>
      <w:r w:rsidRPr="00382AAF">
        <w:rPr>
          <w:rFonts w:ascii="华文细黑" w:eastAsia="华文细黑" w:hAnsi="华文细黑" w:cs="微软雅黑"/>
          <w:sz w:val="22"/>
          <w:szCs w:val="22"/>
          <w:lang w:eastAsia="zh-CN"/>
        </w:rPr>
        <w:t>，在非关联销售中的完全成本加成率为</w:t>
      </w:r>
      <w:r w:rsidRPr="00382AAF">
        <w:rPr>
          <w:rFonts w:ascii="华文细黑" w:eastAsia="华文细黑" w:hAnsi="华文细黑" w:cs="Arial"/>
          <w:sz w:val="22"/>
          <w:szCs w:val="22"/>
          <w:lang w:eastAsia="zh-CN"/>
        </w:rPr>
        <w:t>21.63%</w:t>
      </w:r>
      <w:r w:rsidRPr="00382AAF">
        <w:rPr>
          <w:rFonts w:ascii="华文细黑" w:eastAsia="华文细黑" w:hAnsi="华文细黑" w:cs="微软雅黑"/>
          <w:sz w:val="22"/>
          <w:szCs w:val="22"/>
          <w:lang w:eastAsia="zh-CN"/>
        </w:rPr>
        <w:t>。</w:t>
      </w:r>
    </w:p>
    <w:p w:rsidR="00152594" w:rsidRPr="00382AAF" w:rsidRDefault="00382AAF">
      <w:pPr>
        <w:pStyle w:val="Heading3"/>
        <w:numPr>
          <w:ilvl w:val="2"/>
          <w:numId w:val="1"/>
        </w:numPr>
        <w:rPr>
          <w:rFonts w:ascii="华文细黑" w:eastAsia="华文细黑" w:hAnsi="华文细黑"/>
        </w:rPr>
      </w:pPr>
      <w:bookmarkStart w:id="178" w:name="_Toc256002803"/>
      <w:r w:rsidRPr="00382AAF">
        <w:rPr>
          <w:rFonts w:ascii="华文细黑" w:eastAsia="华文细黑" w:hAnsi="华文细黑"/>
        </w:rPr>
        <w:lastRenderedPageBreak/>
        <w:t>搜寻外部可比公司</w:t>
      </w:r>
      <w:bookmarkEnd w:id="178"/>
    </w:p>
    <w:p w:rsidR="00152594" w:rsidRPr="00382AAF" w:rsidRDefault="00382AAF">
      <w:pPr>
        <w:pStyle w:val="BodyText"/>
        <w:keepNext/>
        <w:numPr>
          <w:ilvl w:val="0"/>
          <w:numId w:val="30"/>
        </w:numPr>
        <w:tabs>
          <w:tab w:val="left" w:pos="1440"/>
        </w:tabs>
        <w:spacing w:before="156" w:after="156"/>
        <w:ind w:left="0" w:firstLine="0"/>
        <w:rPr>
          <w:rFonts w:ascii="华文细黑" w:eastAsia="华文细黑" w:hAnsi="华文细黑" w:cs="Arial"/>
          <w:color w:val="4F81BD"/>
          <w:sz w:val="22"/>
          <w:szCs w:val="22"/>
        </w:rPr>
      </w:pPr>
      <w:bookmarkStart w:id="179" w:name="_Toc76668449"/>
      <w:bookmarkStart w:id="180" w:name="_Toc22218"/>
      <w:bookmarkStart w:id="181" w:name="_Toc763"/>
      <w:bookmarkStart w:id="182" w:name="_Toc4637"/>
      <w:bookmarkStart w:id="183" w:name="_Toc47700080"/>
      <w:bookmarkStart w:id="184" w:name="_Toc28228"/>
      <w:bookmarkStart w:id="185" w:name="_Toc522015248"/>
      <w:r w:rsidRPr="00382AAF">
        <w:rPr>
          <w:rFonts w:ascii="华文细黑" w:eastAsia="华文细黑" w:hAnsi="华文细黑" w:cs="微软雅黑"/>
          <w:color w:val="4F81BD"/>
          <w:sz w:val="22"/>
          <w:szCs w:val="22"/>
        </w:rPr>
        <w:t>数据库</w:t>
      </w:r>
      <w:bookmarkEnd w:id="179"/>
      <w:bookmarkEnd w:id="180"/>
      <w:bookmarkEnd w:id="181"/>
      <w:bookmarkEnd w:id="182"/>
      <w:bookmarkEnd w:id="183"/>
      <w:bookmarkEnd w:id="184"/>
      <w:bookmarkEnd w:id="185"/>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为了对外部可比公司（即所执行的功能与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技术的活动宽泛可比的独立企业）进行一次基准搜索，我们使用由</w:t>
      </w:r>
      <w:r w:rsidRPr="00382AAF">
        <w:rPr>
          <w:rFonts w:ascii="华文细黑" w:eastAsia="华文细黑" w:hAnsi="华文细黑" w:cs="Arial"/>
          <w:sz w:val="22"/>
          <w:szCs w:val="22"/>
          <w:lang w:eastAsia="zh-CN"/>
        </w:rPr>
        <w:t>Bureau van Dijk</w:t>
      </w:r>
      <w:r w:rsidRPr="00382AAF">
        <w:rPr>
          <w:rFonts w:ascii="华文细黑" w:eastAsia="华文细黑" w:hAnsi="华文细黑" w:cs="Arial"/>
          <w:color w:val="000000"/>
          <w:sz w:val="11"/>
          <w:szCs w:val="11"/>
          <w:vertAlign w:val="superscript"/>
        </w:rPr>
        <w:footnoteReference w:id="22"/>
      </w:r>
      <w:r w:rsidRPr="00382AAF">
        <w:rPr>
          <w:rFonts w:ascii="华文细黑" w:eastAsia="华文细黑" w:hAnsi="华文细黑" w:cs="微软雅黑"/>
          <w:sz w:val="22"/>
          <w:szCs w:val="22"/>
          <w:lang w:eastAsia="zh-CN"/>
        </w:rPr>
        <w:t>提供的</w:t>
      </w:r>
      <w:r w:rsidRPr="00382AAF">
        <w:rPr>
          <w:rFonts w:ascii="华文细黑" w:eastAsia="华文细黑" w:hAnsi="华文细黑" w:cs="Arial"/>
          <w:sz w:val="22"/>
          <w:szCs w:val="22"/>
          <w:lang w:eastAsia="zh-CN"/>
        </w:rPr>
        <w:t>TP Catalyst</w:t>
      </w:r>
      <w:r w:rsidRPr="00382AAF">
        <w:rPr>
          <w:rFonts w:ascii="华文细黑" w:eastAsia="华文细黑" w:hAnsi="华文细黑" w:cs="微软雅黑"/>
          <w:sz w:val="22"/>
          <w:szCs w:val="22"/>
          <w:lang w:eastAsia="zh-CN"/>
        </w:rPr>
        <w:t>数据库（</w:t>
      </w:r>
      <w:r w:rsidRPr="00382AAF">
        <w:rPr>
          <w:rFonts w:ascii="华文细黑" w:eastAsia="华文细黑" w:hAnsi="华文细黑" w:cs="Arial"/>
          <w:sz w:val="22"/>
          <w:szCs w:val="22"/>
          <w:lang w:eastAsia="zh-CN"/>
        </w:rPr>
        <w:t>2025</w:t>
      </w:r>
      <w:r w:rsidRPr="00382AAF">
        <w:rPr>
          <w:rFonts w:ascii="华文细黑" w:eastAsia="华文细黑" w:hAnsi="华文细黑" w:cs="微软雅黑"/>
          <w:sz w:val="22"/>
          <w:szCs w:val="22"/>
          <w:lang w:eastAsia="zh-CN"/>
        </w:rPr>
        <w:t>年</w:t>
      </w:r>
      <w:r w:rsidRPr="00382AAF">
        <w:rPr>
          <w:rFonts w:ascii="华文细黑" w:eastAsia="华文细黑" w:hAnsi="华文细黑" w:cs="Arial"/>
          <w:sz w:val="22"/>
          <w:szCs w:val="22"/>
          <w:lang w:eastAsia="zh-CN"/>
        </w:rPr>
        <w:t>2</w:t>
      </w:r>
      <w:r w:rsidRPr="00382AAF">
        <w:rPr>
          <w:rFonts w:ascii="华文细黑" w:eastAsia="华文细黑" w:hAnsi="华文细黑" w:cs="微软雅黑"/>
          <w:sz w:val="22"/>
          <w:szCs w:val="22"/>
          <w:lang w:eastAsia="zh-CN"/>
        </w:rPr>
        <w:t>月版）搜索其中符合条件的上市公司作为可比公司。目前，中国税务主管机关在转让定价调查审计中也使用</w:t>
      </w:r>
      <w:r w:rsidRPr="00382AAF">
        <w:rPr>
          <w:rFonts w:ascii="华文细黑" w:eastAsia="华文细黑" w:hAnsi="华文细黑" w:cs="Arial"/>
          <w:sz w:val="22"/>
          <w:szCs w:val="22"/>
          <w:lang w:eastAsia="zh-CN"/>
        </w:rPr>
        <w:t>Bureau van Dijk</w:t>
      </w:r>
      <w:r w:rsidRPr="00382AAF">
        <w:rPr>
          <w:rFonts w:ascii="华文细黑" w:eastAsia="华文细黑" w:hAnsi="华文细黑" w:cs="微软雅黑"/>
          <w:sz w:val="22"/>
          <w:szCs w:val="22"/>
          <w:lang w:eastAsia="zh-CN"/>
        </w:rPr>
        <w:t>提供的数据库。</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TP Catalyst</w:t>
      </w:r>
      <w:r w:rsidRPr="00382AAF">
        <w:rPr>
          <w:rFonts w:ascii="华文细黑" w:eastAsia="华文细黑" w:hAnsi="华文细黑" w:cs="微软雅黑"/>
          <w:sz w:val="22"/>
          <w:szCs w:val="22"/>
          <w:lang w:eastAsia="zh-CN"/>
        </w:rPr>
        <w:t>数据库囊括了全球逾</w:t>
      </w:r>
      <w:r w:rsidRPr="00382AAF">
        <w:rPr>
          <w:rFonts w:ascii="华文细黑" w:eastAsia="华文细黑" w:hAnsi="华文细黑" w:cs="Arial"/>
          <w:sz w:val="22"/>
          <w:szCs w:val="22"/>
          <w:lang w:eastAsia="zh-CN"/>
        </w:rPr>
        <w:t>65,000</w:t>
      </w:r>
      <w:r w:rsidRPr="00382AAF">
        <w:rPr>
          <w:rFonts w:ascii="华文细黑" w:eastAsia="华文细黑" w:hAnsi="华文细黑" w:cs="微软雅黑"/>
          <w:sz w:val="22"/>
          <w:szCs w:val="22"/>
          <w:lang w:eastAsia="zh-CN"/>
        </w:rPr>
        <w:t>家上市公司的财务数据，向专业用户提供深入分析各国上市公司所需的详细财务经营报表、分析比率、股权结构、企业评级数据、历年股价系列与企业行业分析。</w:t>
      </w:r>
      <w:r w:rsidRPr="00382AAF">
        <w:rPr>
          <w:rFonts w:ascii="华文细黑" w:eastAsia="华文细黑" w:hAnsi="华文细黑" w:cs="Arial"/>
          <w:sz w:val="22"/>
          <w:szCs w:val="22"/>
          <w:lang w:eastAsia="zh-CN"/>
        </w:rPr>
        <w:t>TP Catalyst</w:t>
      </w:r>
      <w:r w:rsidRPr="00382AAF">
        <w:rPr>
          <w:rFonts w:ascii="华文细黑" w:eastAsia="华文细黑" w:hAnsi="华文细黑" w:cs="微软雅黑"/>
          <w:sz w:val="22"/>
          <w:szCs w:val="22"/>
          <w:lang w:eastAsia="zh-CN"/>
        </w:rPr>
        <w:t>数据库是目前欧美各国广泛使用于全球上市公司证券投资分析、企业战略经营分析、跨国企业转让定价、公司财务分析等领域的著名实证分析数据库。</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TP Catalyst</w:t>
      </w:r>
      <w:r w:rsidRPr="00382AAF">
        <w:rPr>
          <w:rFonts w:ascii="华文细黑" w:eastAsia="华文细黑" w:hAnsi="华文细黑" w:cs="微软雅黑"/>
          <w:sz w:val="22"/>
          <w:szCs w:val="22"/>
          <w:lang w:eastAsia="zh-CN"/>
        </w:rPr>
        <w:t>数据库按照四位数的美国标准行业分类（</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）编码对公司进行分类。</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编码系统将商业活动分成几种职能大类，如制造，批发销售，服务等。两位数的</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编码代表不同的行业大类。例如，</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代码</w:t>
      </w:r>
      <w:r w:rsidRPr="00382AAF">
        <w:rPr>
          <w:rFonts w:ascii="华文细黑" w:eastAsia="华文细黑" w:hAnsi="华文细黑" w:cs="Arial"/>
          <w:sz w:val="22"/>
          <w:szCs w:val="22"/>
          <w:lang w:eastAsia="zh-CN"/>
        </w:rPr>
        <w:t>50</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耐用品的批发贸易</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）所包含的公司为主要从事向工程承包商、零售商、代理商或其他批发商销售耐用性零部件和产成品的公司。随着</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编码位数的增加，所包含公司的行业分类也随之细化。</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在</w:t>
      </w:r>
      <w:r w:rsidRPr="00382AAF">
        <w:rPr>
          <w:rFonts w:ascii="华文细黑" w:eastAsia="华文细黑" w:hAnsi="华文细黑" w:cs="Arial"/>
          <w:sz w:val="22"/>
          <w:szCs w:val="22"/>
          <w:lang w:eastAsia="zh-CN"/>
        </w:rPr>
        <w:t>TP Catalyst</w:t>
      </w:r>
      <w:r w:rsidRPr="00382AAF">
        <w:rPr>
          <w:rFonts w:ascii="华文细黑" w:eastAsia="华文细黑" w:hAnsi="华文细黑" w:cs="微软雅黑"/>
          <w:sz w:val="22"/>
          <w:szCs w:val="22"/>
          <w:lang w:eastAsia="zh-CN"/>
        </w:rPr>
        <w:t>数据库中的每个公司都有一个主</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编码和多个次级编码。主</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编码用来表示占公司的销售收入比重最大的业务类别。该业务通常代表了公司生产或销售的主要产品或产品种类、或提供的主要服务类型。然而，只有少部分公司的业务仅限于一个四位</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编码。次级</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编码就是用来表示占公司销售收入比重显着的其他业务类别。一般而言，次级编码所代表的其他业务类别的销售收入比重至少要达到</w:t>
      </w:r>
      <w:r w:rsidRPr="00382AAF">
        <w:rPr>
          <w:rFonts w:ascii="华文细黑" w:eastAsia="华文细黑" w:hAnsi="华文细黑" w:cs="Arial"/>
          <w:sz w:val="22"/>
          <w:szCs w:val="22"/>
          <w:lang w:eastAsia="zh-CN"/>
        </w:rPr>
        <w:t>10</w:t>
      </w:r>
      <w:r w:rsidRPr="00382AAF">
        <w:rPr>
          <w:rFonts w:ascii="华文细黑" w:eastAsia="华文细黑" w:hAnsi="华文细黑" w:cs="微软雅黑"/>
          <w:sz w:val="22"/>
          <w:szCs w:val="22"/>
          <w:lang w:eastAsia="zh-CN"/>
        </w:rPr>
        <w:t>％。</w:t>
      </w:r>
    </w:p>
    <w:p w:rsidR="00152594" w:rsidRPr="00382AAF" w:rsidRDefault="00382AAF">
      <w:pPr>
        <w:pStyle w:val="BodyText"/>
        <w:keepNext/>
        <w:numPr>
          <w:ilvl w:val="0"/>
          <w:numId w:val="31"/>
        </w:numPr>
        <w:tabs>
          <w:tab w:val="left" w:pos="1440"/>
        </w:tabs>
        <w:spacing w:before="156" w:after="156"/>
        <w:ind w:left="0" w:firstLine="0"/>
        <w:rPr>
          <w:rFonts w:ascii="华文细黑" w:eastAsia="华文细黑" w:hAnsi="华文细黑" w:cs="Arial"/>
          <w:color w:val="4F81BD"/>
          <w:sz w:val="22"/>
          <w:szCs w:val="22"/>
          <w:lang w:eastAsia="zh-CN"/>
        </w:rPr>
      </w:pPr>
      <w:bookmarkStart w:id="186" w:name="_Toc22245"/>
      <w:bookmarkStart w:id="187" w:name="_Toc47700081"/>
      <w:bookmarkStart w:id="188" w:name="_Toc76668450"/>
      <w:bookmarkStart w:id="189" w:name="_Toc25055"/>
      <w:bookmarkStart w:id="190" w:name="_Toc522015249"/>
      <w:bookmarkStart w:id="191" w:name="_Toc1314"/>
      <w:bookmarkStart w:id="192" w:name="_Toc26591"/>
      <w:r w:rsidRPr="00382AAF">
        <w:rPr>
          <w:rFonts w:ascii="华文细黑" w:eastAsia="华文细黑" w:hAnsi="华文细黑" w:cs="Arial"/>
          <w:color w:val="4F81BD"/>
          <w:sz w:val="22"/>
          <w:szCs w:val="22"/>
          <w:lang w:eastAsia="zh-CN"/>
        </w:rPr>
        <w:t>SIC</w:t>
      </w:r>
      <w:r w:rsidRPr="00382AAF">
        <w:rPr>
          <w:rFonts w:ascii="华文细黑" w:eastAsia="华文细黑" w:hAnsi="华文细黑" w:cs="微软雅黑"/>
          <w:color w:val="4F81BD"/>
          <w:sz w:val="22"/>
          <w:szCs w:val="22"/>
          <w:lang w:eastAsia="zh-CN"/>
        </w:rPr>
        <w:t>编码及地区的选择</w:t>
      </w:r>
      <w:bookmarkEnd w:id="186"/>
      <w:bookmarkEnd w:id="187"/>
      <w:bookmarkEnd w:id="188"/>
      <w:bookmarkEnd w:id="189"/>
      <w:bookmarkEnd w:id="190"/>
      <w:bookmarkEnd w:id="191"/>
      <w:bookmarkEnd w:id="192"/>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根据</w:t>
      </w:r>
      <w:r w:rsidRPr="00382AAF">
        <w:rPr>
          <w:rFonts w:ascii="华文细黑" w:eastAsia="华文细黑" w:hAnsi="华文细黑" w:cs="Arial"/>
          <w:sz w:val="22"/>
          <w:szCs w:val="22"/>
          <w:lang w:eastAsia="zh-CN"/>
        </w:rPr>
        <w:t>[2017]6</w:t>
      </w:r>
      <w:r w:rsidRPr="00382AAF">
        <w:rPr>
          <w:rFonts w:ascii="华文细黑" w:eastAsia="华文细黑" w:hAnsi="华文细黑" w:cs="微软雅黑"/>
          <w:sz w:val="22"/>
          <w:szCs w:val="22"/>
          <w:lang w:eastAsia="zh-CN"/>
        </w:rPr>
        <w:t>号公告第</w:t>
      </w:r>
      <w:r w:rsidRPr="00382AAF">
        <w:rPr>
          <w:rFonts w:ascii="华文细黑" w:eastAsia="华文细黑" w:hAnsi="华文细黑" w:cs="Arial"/>
          <w:sz w:val="22"/>
          <w:szCs w:val="22"/>
          <w:lang w:eastAsia="zh-CN"/>
        </w:rPr>
        <w:t>20</w:t>
      </w:r>
      <w:r w:rsidRPr="00382AAF">
        <w:rPr>
          <w:rFonts w:ascii="华文细黑" w:eastAsia="华文细黑" w:hAnsi="华文细黑" w:cs="微软雅黑"/>
          <w:sz w:val="22"/>
          <w:szCs w:val="22"/>
          <w:lang w:eastAsia="zh-CN"/>
        </w:rPr>
        <w:t>条规定，应用交易净利润法进行可比性分析应特别考察关联交易与非关联交易之间在例如执行功能、承担风险和使用资产等各方面的可比性因素。由于</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的分类方法是基于企业在功能及产品的可比性制定的，因此，</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编码是用来初步搜寻潜在可比公司的一个有效的筛选标准。</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我们对美国</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编码列表进行了全面查阅，并选择了最合适的</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编码（见下图表）来搜寻与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技术在制造活动中承担的职能宽泛可比的潜在可比公司。</w:t>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21</w:t>
      </w:r>
      <w:r w:rsidRPr="00382AAF">
        <w:rPr>
          <w:rFonts w:ascii="华文细黑" w:eastAsia="华文细黑" w:hAnsi="华文细黑" w:cs="微软雅黑"/>
          <w:b/>
          <w:bCs/>
          <w:sz w:val="18"/>
          <w:szCs w:val="18"/>
          <w:lang w:eastAsia="zh-CN"/>
        </w:rPr>
        <w:t>：</w:t>
      </w:r>
      <w:r w:rsidRPr="00382AAF">
        <w:rPr>
          <w:rFonts w:ascii="华文细黑" w:eastAsia="华文细黑" w:hAnsi="华文细黑" w:cs="Arial"/>
          <w:b/>
          <w:bCs/>
          <w:sz w:val="18"/>
          <w:szCs w:val="18"/>
          <w:lang w:eastAsia="zh-CN"/>
        </w:rPr>
        <w:t>SIC</w:t>
      </w:r>
      <w:r w:rsidRPr="00382AAF">
        <w:rPr>
          <w:rFonts w:ascii="华文细黑" w:eastAsia="华文细黑" w:hAnsi="华文细黑" w:cs="微软雅黑"/>
          <w:b/>
          <w:bCs/>
          <w:sz w:val="18"/>
          <w:szCs w:val="18"/>
          <w:lang w:eastAsia="zh-CN"/>
        </w:rPr>
        <w:t>编码的选择</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通过以上图表中所选定的</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编码，我们在</w:t>
      </w:r>
      <w:r w:rsidRPr="00382AAF">
        <w:rPr>
          <w:rFonts w:ascii="华文细黑" w:eastAsia="华文细黑" w:hAnsi="华文细黑" w:cs="Arial"/>
          <w:sz w:val="22"/>
          <w:szCs w:val="22"/>
          <w:lang w:eastAsia="zh-CN"/>
        </w:rPr>
        <w:t>TP Catalyst</w:t>
      </w:r>
      <w:r w:rsidRPr="00382AAF">
        <w:rPr>
          <w:rFonts w:ascii="华文细黑" w:eastAsia="华文细黑" w:hAnsi="华文细黑" w:cs="微软雅黑"/>
          <w:sz w:val="22"/>
          <w:szCs w:val="22"/>
          <w:lang w:eastAsia="zh-CN"/>
        </w:rPr>
        <w:t>数据库中进行了初步搜索，通过这种</w:t>
      </w:r>
      <w:r w:rsidRPr="00382AAF">
        <w:rPr>
          <w:rFonts w:ascii="华文细黑" w:eastAsia="华文细黑" w:hAnsi="华文细黑" w:cs="Arial"/>
          <w:sz w:val="22"/>
          <w:szCs w:val="22"/>
          <w:lang w:eastAsia="zh-CN"/>
        </w:rPr>
        <w:t>SIC</w:t>
      </w:r>
      <w:r w:rsidRPr="00382AAF">
        <w:rPr>
          <w:rFonts w:ascii="华文细黑" w:eastAsia="华文细黑" w:hAnsi="华文细黑" w:cs="微软雅黑"/>
          <w:sz w:val="22"/>
          <w:szCs w:val="22"/>
          <w:lang w:eastAsia="zh-CN"/>
        </w:rPr>
        <w:t>编码的筛选，我们得到了一部分潜在的可比公司。</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通过对</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技术地理位置及商业描述的分析，我们将搜索范围确定在亚太地区，包括：</w:t>
      </w:r>
    </w:p>
    <w:p w:rsidR="00152594" w:rsidRPr="00382AAF" w:rsidRDefault="00382AAF">
      <w:pPr>
        <w:pStyle w:val="BodyText"/>
        <w:spacing w:after="0"/>
        <w:rPr>
          <w:rFonts w:ascii="华文细黑" w:eastAsia="华文细黑" w:hAnsi="华文细黑"/>
          <w:sz w:val="22"/>
          <w:szCs w:val="22"/>
          <w:lang w:eastAsia="zh-CN"/>
        </w:rPr>
      </w:pPr>
      <w:r w:rsidRPr="00382AAF">
        <w:rPr>
          <w:rFonts w:ascii="华文细黑" w:eastAsia="华文细黑" w:hAnsi="华文细黑"/>
          <w:sz w:val="22"/>
          <w:szCs w:val="22"/>
          <w:lang w:eastAsia="zh-CN"/>
        </w:rPr>
        <w:br w:type="page"/>
      </w:r>
    </w:p>
    <w:p w:rsidR="00152594" w:rsidRPr="00382AAF" w:rsidRDefault="00382AAF">
      <w:pPr>
        <w:pStyle w:val="BodyText"/>
        <w:spacing w:before="120"/>
        <w:ind w:left="119" w:right="113"/>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通过以上筛选，我们从数据库中得到</w:t>
      </w:r>
      <w:r w:rsidRPr="00382AAF">
        <w:rPr>
          <w:rFonts w:ascii="华文细黑" w:eastAsia="华文细黑" w:hAnsi="华文细黑" w:cs="Arial"/>
          <w:sz w:val="22"/>
          <w:szCs w:val="22"/>
          <w:lang w:eastAsia="zh-CN"/>
        </w:rPr>
        <w:t>374</w:t>
      </w:r>
      <w:r w:rsidRPr="00382AAF">
        <w:rPr>
          <w:rFonts w:ascii="华文细黑" w:eastAsia="华文细黑" w:hAnsi="华文细黑" w:cs="微软雅黑"/>
          <w:sz w:val="22"/>
          <w:szCs w:val="22"/>
          <w:lang w:eastAsia="zh-CN"/>
        </w:rPr>
        <w:t>家上市公司。</w:t>
      </w:r>
    </w:p>
    <w:p w:rsidR="00152594" w:rsidRPr="00382AAF" w:rsidRDefault="00382AAF">
      <w:pPr>
        <w:pStyle w:val="BodyText"/>
        <w:keepNext/>
        <w:numPr>
          <w:ilvl w:val="0"/>
          <w:numId w:val="32"/>
        </w:numPr>
        <w:tabs>
          <w:tab w:val="left" w:pos="1440"/>
        </w:tabs>
        <w:spacing w:before="156" w:after="156"/>
        <w:ind w:left="0" w:firstLine="0"/>
        <w:rPr>
          <w:rFonts w:ascii="华文细黑" w:eastAsia="华文细黑" w:hAnsi="华文细黑" w:cs="Arial"/>
          <w:color w:val="4F81BD"/>
          <w:sz w:val="22"/>
          <w:szCs w:val="22"/>
        </w:rPr>
      </w:pPr>
      <w:bookmarkStart w:id="193" w:name="_Toc9419"/>
      <w:bookmarkStart w:id="194" w:name="_Toc47700083"/>
      <w:bookmarkStart w:id="195" w:name="_Toc29975"/>
      <w:bookmarkStart w:id="196" w:name="_Toc5281"/>
      <w:bookmarkStart w:id="197" w:name="_Toc76668452"/>
      <w:r w:rsidRPr="00382AAF">
        <w:rPr>
          <w:rFonts w:ascii="华文细黑" w:eastAsia="华文细黑" w:hAnsi="华文细黑" w:cs="微软雅黑"/>
          <w:color w:val="4F81BD"/>
          <w:sz w:val="22"/>
          <w:szCs w:val="22"/>
        </w:rPr>
        <w:t>定量筛选</w:t>
      </w:r>
      <w:bookmarkEnd w:id="193"/>
      <w:bookmarkEnd w:id="194"/>
      <w:bookmarkEnd w:id="195"/>
      <w:bookmarkEnd w:id="196"/>
      <w:bookmarkEnd w:id="197"/>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我们将</w:t>
      </w:r>
      <w:r w:rsidRPr="00382AAF">
        <w:rPr>
          <w:rFonts w:ascii="华文细黑" w:eastAsia="华文细黑" w:hAnsi="华文细黑" w:cs="Arial"/>
          <w:sz w:val="22"/>
          <w:szCs w:val="22"/>
          <w:lang w:eastAsia="zh-CN"/>
        </w:rPr>
        <w:t>374</w:t>
      </w:r>
      <w:r w:rsidRPr="00382AAF">
        <w:rPr>
          <w:rFonts w:ascii="华文细黑" w:eastAsia="华文细黑" w:hAnsi="华文细黑" w:cs="微软雅黑"/>
          <w:sz w:val="22"/>
          <w:szCs w:val="22"/>
          <w:lang w:eastAsia="zh-CN"/>
        </w:rPr>
        <w:t>家样本公司中在</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财年内满足以下一项或多项特征的样本公司予以排除，从而提高潜在可比公司样本的可比性：</w:t>
      </w:r>
    </w:p>
    <w:p w:rsidR="00152594" w:rsidRPr="00382AAF" w:rsidRDefault="00382AAF">
      <w:pPr>
        <w:pStyle w:val="BodyText"/>
        <w:spacing w:before="120"/>
        <w:ind w:left="119" w:right="113" w:firstLine="440"/>
        <w:jc w:val="both"/>
        <w:rPr>
          <w:rFonts w:ascii="华文细黑" w:eastAsia="华文细黑" w:hAnsi="华文细黑"/>
          <w:sz w:val="22"/>
          <w:szCs w:val="22"/>
        </w:rPr>
      </w:pPr>
      <w:r w:rsidRPr="00382AAF">
        <w:rPr>
          <w:rFonts w:ascii="华文细黑" w:eastAsia="华文细黑" w:hAnsi="华文细黑" w:cs="微软雅黑"/>
          <w:b/>
          <w:bCs/>
          <w:sz w:val="22"/>
          <w:szCs w:val="22"/>
          <w:lang w:eastAsia="zh-CN"/>
        </w:rPr>
        <w:t>独立性：</w:t>
      </w:r>
      <w:r w:rsidRPr="00382AAF">
        <w:rPr>
          <w:rFonts w:ascii="华文细黑" w:eastAsia="华文细黑" w:hAnsi="华文细黑" w:cs="微软雅黑"/>
          <w:sz w:val="22"/>
          <w:szCs w:val="22"/>
          <w:lang w:eastAsia="zh-CN"/>
        </w:rPr>
        <w:t>受控企业或者非独立企业的交易价格或利润水平可能会受到其与关联公司之间进行的可能违反独立交易原则的交易的影响而发生扭曲。</w:t>
      </w:r>
      <w:r w:rsidRPr="00382AAF">
        <w:rPr>
          <w:rFonts w:ascii="华文细黑" w:eastAsia="华文细黑" w:hAnsi="华文细黑" w:cs="微软雅黑"/>
          <w:sz w:val="22"/>
          <w:szCs w:val="22"/>
        </w:rPr>
        <w:t>因此，我们采用了</w:t>
      </w:r>
      <w:r w:rsidRPr="00382AAF">
        <w:rPr>
          <w:rFonts w:ascii="华文细黑" w:eastAsia="华文细黑" w:hAnsi="华文细黑" w:cs="Arial"/>
          <w:sz w:val="22"/>
          <w:szCs w:val="22"/>
        </w:rPr>
        <w:t>Bureau van Dijk</w:t>
      </w:r>
      <w:r w:rsidRPr="00382AAF">
        <w:rPr>
          <w:rFonts w:ascii="华文细黑" w:eastAsia="华文细黑" w:hAnsi="华文细黑" w:cs="微软雅黑"/>
          <w:sz w:val="22"/>
          <w:szCs w:val="22"/>
        </w:rPr>
        <w:t>的独立性指标，来排除那些可能被认定为非独立性的公司。</w:t>
      </w:r>
    </w:p>
    <w:p w:rsidR="00152594" w:rsidRPr="00382AAF" w:rsidRDefault="00382AAF">
      <w:pPr>
        <w:pStyle w:val="BodyText"/>
        <w:numPr>
          <w:ilvl w:val="0"/>
          <w:numId w:val="33"/>
        </w:numPr>
        <w:tabs>
          <w:tab w:val="left" w:pos="1031"/>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Arial"/>
          <w:sz w:val="22"/>
          <w:szCs w:val="22"/>
          <w:lang w:eastAsia="zh-CN"/>
        </w:rPr>
        <w:t>A+</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A</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A-</w:t>
      </w:r>
      <w:r w:rsidRPr="00382AAF">
        <w:rPr>
          <w:rFonts w:ascii="华文细黑" w:eastAsia="华文细黑" w:hAnsi="华文细黑" w:cs="微软雅黑"/>
          <w:sz w:val="22"/>
          <w:szCs w:val="22"/>
          <w:lang w:eastAsia="zh-CN"/>
        </w:rPr>
        <w:t>：表明没有任何单个股东控制该公司的股份超过</w:t>
      </w:r>
      <w:r w:rsidRPr="00382AAF">
        <w:rPr>
          <w:rFonts w:ascii="华文细黑" w:eastAsia="华文细黑" w:hAnsi="华文细黑" w:cs="Arial"/>
          <w:sz w:val="22"/>
          <w:szCs w:val="22"/>
          <w:lang w:eastAsia="zh-CN"/>
        </w:rPr>
        <w:t>25%</w:t>
      </w:r>
      <w:r w:rsidRPr="00382AAF">
        <w:rPr>
          <w:rFonts w:ascii="华文细黑" w:eastAsia="华文细黑" w:hAnsi="华文细黑" w:cs="微软雅黑"/>
          <w:sz w:val="22"/>
          <w:szCs w:val="22"/>
          <w:lang w:eastAsia="zh-CN"/>
        </w:rPr>
        <w:t>；</w:t>
      </w:r>
    </w:p>
    <w:p w:rsidR="00152594" w:rsidRPr="00382AAF" w:rsidRDefault="00382AAF">
      <w:pPr>
        <w:pStyle w:val="BodyText"/>
        <w:numPr>
          <w:ilvl w:val="0"/>
          <w:numId w:val="33"/>
        </w:numPr>
        <w:tabs>
          <w:tab w:val="left" w:pos="1031"/>
        </w:tabs>
        <w:spacing w:before="120"/>
        <w:ind w:left="979" w:right="113" w:hanging="420"/>
        <w:jc w:val="both"/>
        <w:rPr>
          <w:rFonts w:ascii="华文细黑" w:eastAsia="华文细黑" w:hAnsi="华文细黑"/>
          <w:sz w:val="22"/>
          <w:szCs w:val="22"/>
          <w:lang w:eastAsia="zh-CN"/>
        </w:rPr>
      </w:pPr>
      <w:r w:rsidRPr="00382AAF">
        <w:rPr>
          <w:rFonts w:ascii="华文细黑" w:eastAsia="华文细黑" w:hAnsi="华文细黑"/>
          <w:sz w:val="14"/>
          <w:szCs w:val="14"/>
          <w:lang w:eastAsia="zh-CN"/>
        </w:rPr>
        <w:t xml:space="preserve">             </w:t>
      </w:r>
      <w:r w:rsidRPr="00382AAF">
        <w:rPr>
          <w:rFonts w:ascii="华文细黑" w:eastAsia="华文细黑" w:hAnsi="华文细黑" w:cs="Arial"/>
          <w:sz w:val="22"/>
          <w:szCs w:val="22"/>
          <w:lang w:eastAsia="zh-CN"/>
        </w:rPr>
        <w:t>B+</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 xml:space="preserve">B </w:t>
      </w:r>
      <w:r w:rsidRPr="00382AAF">
        <w:rPr>
          <w:rFonts w:ascii="华文细黑" w:eastAsia="华文细黑" w:hAnsi="华文细黑" w:cs="微软雅黑"/>
          <w:sz w:val="22"/>
          <w:szCs w:val="22"/>
          <w:lang w:eastAsia="zh-CN"/>
        </w:rPr>
        <w:t xml:space="preserve">或者 </w:t>
      </w:r>
      <w:r w:rsidRPr="00382AAF">
        <w:rPr>
          <w:rFonts w:ascii="华文细黑" w:eastAsia="华文细黑" w:hAnsi="华文细黑" w:cs="Arial"/>
          <w:sz w:val="22"/>
          <w:szCs w:val="22"/>
          <w:lang w:eastAsia="zh-CN"/>
        </w:rPr>
        <w:t>B-</w:t>
      </w:r>
      <w:r w:rsidRPr="00382AAF">
        <w:rPr>
          <w:rFonts w:ascii="华文细黑" w:eastAsia="华文细黑" w:hAnsi="华文细黑" w:cs="微软雅黑"/>
          <w:sz w:val="22"/>
          <w:szCs w:val="22"/>
          <w:lang w:eastAsia="zh-CN"/>
        </w:rPr>
        <w:t>：表明没有任何单个股东控制该公司的股份超过</w:t>
      </w:r>
      <w:r w:rsidRPr="00382AAF">
        <w:rPr>
          <w:rFonts w:ascii="华文细黑" w:eastAsia="华文细黑" w:hAnsi="华文细黑" w:cs="Arial"/>
          <w:sz w:val="22"/>
          <w:szCs w:val="22"/>
          <w:lang w:eastAsia="zh-CN"/>
        </w:rPr>
        <w:t>50%</w:t>
      </w:r>
      <w:r w:rsidRPr="00382AAF">
        <w:rPr>
          <w:rFonts w:ascii="华文细黑" w:eastAsia="华文细黑" w:hAnsi="华文细黑" w:cs="微软雅黑"/>
          <w:sz w:val="22"/>
          <w:szCs w:val="22"/>
          <w:lang w:eastAsia="zh-CN"/>
        </w:rPr>
        <w:t>，但有单个或单个以上的股东控制该公司的股份超过</w:t>
      </w:r>
      <w:r w:rsidRPr="00382AAF">
        <w:rPr>
          <w:rFonts w:ascii="华文细黑" w:eastAsia="华文细黑" w:hAnsi="华文细黑" w:cs="Arial"/>
          <w:sz w:val="22"/>
          <w:szCs w:val="22"/>
          <w:lang w:eastAsia="zh-CN"/>
        </w:rPr>
        <w:t>25%</w:t>
      </w:r>
      <w:r w:rsidRPr="00382AAF">
        <w:rPr>
          <w:rFonts w:ascii="华文细黑" w:eastAsia="华文细黑" w:hAnsi="华文细黑" w:cs="微软雅黑"/>
          <w:sz w:val="22"/>
          <w:szCs w:val="22"/>
          <w:lang w:eastAsia="zh-CN"/>
        </w:rPr>
        <w:t>。</w:t>
      </w:r>
    </w:p>
    <w:p w:rsidR="00152594" w:rsidRPr="00382AAF" w:rsidRDefault="00382AAF">
      <w:pPr>
        <w:pStyle w:val="BodyText"/>
        <w:numPr>
          <w:ilvl w:val="0"/>
          <w:numId w:val="33"/>
        </w:numPr>
        <w:tabs>
          <w:tab w:val="left" w:pos="1031"/>
        </w:tabs>
        <w:spacing w:before="120"/>
        <w:ind w:left="979" w:right="113" w:hanging="420"/>
        <w:jc w:val="both"/>
        <w:rPr>
          <w:rFonts w:ascii="华文细黑" w:eastAsia="华文细黑" w:hAnsi="华文细黑"/>
          <w:sz w:val="22"/>
          <w:szCs w:val="22"/>
        </w:rPr>
      </w:pPr>
      <w:r w:rsidRPr="00382AAF">
        <w:rPr>
          <w:rFonts w:ascii="华文细黑" w:eastAsia="华文细黑" w:hAnsi="华文细黑"/>
          <w:sz w:val="14"/>
          <w:szCs w:val="14"/>
          <w:lang w:eastAsia="zh-CN"/>
        </w:rPr>
        <w:t xml:space="preserve">             </w:t>
      </w:r>
      <w:r w:rsidRPr="00382AAF">
        <w:rPr>
          <w:rFonts w:ascii="华文细黑" w:eastAsia="华文细黑" w:hAnsi="华文细黑" w:cs="Arial"/>
          <w:sz w:val="22"/>
          <w:szCs w:val="22"/>
        </w:rPr>
        <w:t>U</w:t>
      </w:r>
      <w:r w:rsidRPr="00382AAF">
        <w:rPr>
          <w:rFonts w:ascii="华文细黑" w:eastAsia="华文细黑" w:hAnsi="华文细黑" w:cs="微软雅黑"/>
          <w:sz w:val="22"/>
          <w:szCs w:val="22"/>
        </w:rPr>
        <w:t>：表明持股不详。</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b/>
          <w:bCs/>
          <w:sz w:val="22"/>
          <w:szCs w:val="22"/>
          <w:lang w:eastAsia="zh-CN"/>
        </w:rPr>
        <w:t>数据完整性：</w:t>
      </w:r>
      <w:r w:rsidRPr="00382AAF">
        <w:rPr>
          <w:rFonts w:ascii="华文细黑" w:eastAsia="华文细黑" w:hAnsi="华文细黑" w:cs="微软雅黑"/>
          <w:sz w:val="22"/>
          <w:szCs w:val="22"/>
          <w:lang w:eastAsia="zh-CN"/>
        </w:rPr>
        <w:t>正如我们将在以下章节</w:t>
      </w:r>
      <w:r w:rsidRPr="00382AAF">
        <w:rPr>
          <w:rFonts w:ascii="华文细黑" w:eastAsia="华文细黑" w:hAnsi="华文细黑" w:cs="Arial"/>
          <w:sz w:val="22"/>
          <w:szCs w:val="22"/>
          <w:lang w:eastAsia="zh-CN"/>
        </w:rPr>
        <w:t>7.4.4.2</w:t>
      </w:r>
      <w:r w:rsidRPr="00382AAF">
        <w:rPr>
          <w:rFonts w:ascii="华文细黑" w:eastAsia="华文细黑" w:hAnsi="华文细黑" w:cs="微软雅黑"/>
          <w:sz w:val="22"/>
          <w:szCs w:val="22"/>
          <w:lang w:eastAsia="zh-CN"/>
        </w:rPr>
        <w:t>中所讨论的，使用多年度数据可以降低短期市场波动对转让定价分析的影响。因此，我们排除了那些在</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年至</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财年期间，缺少至少</w:t>
      </w:r>
      <w:r w:rsidRPr="00382AAF">
        <w:rPr>
          <w:rFonts w:ascii="华文细黑" w:eastAsia="华文细黑" w:hAnsi="华文细黑" w:cs="Arial"/>
          <w:sz w:val="22"/>
          <w:szCs w:val="22"/>
          <w:lang w:eastAsia="zh-CN"/>
        </w:rPr>
        <w:t>2</w:t>
      </w:r>
      <w:r w:rsidRPr="00382AAF">
        <w:rPr>
          <w:rFonts w:ascii="华文细黑" w:eastAsia="华文细黑" w:hAnsi="华文细黑" w:cs="微软雅黑"/>
          <w:sz w:val="22"/>
          <w:szCs w:val="22"/>
          <w:lang w:eastAsia="zh-CN"/>
        </w:rPr>
        <w:t>年有效财务数据的公司。</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b/>
          <w:bCs/>
          <w:sz w:val="22"/>
          <w:szCs w:val="22"/>
          <w:lang w:eastAsia="zh-CN"/>
        </w:rPr>
        <w:t>连续亏损：</w:t>
      </w:r>
      <w:r w:rsidRPr="00382AAF">
        <w:rPr>
          <w:rFonts w:ascii="华文细黑" w:eastAsia="华文细黑" w:hAnsi="华文细黑" w:cs="微软雅黑"/>
          <w:sz w:val="22"/>
          <w:szCs w:val="22"/>
          <w:lang w:eastAsia="zh-CN"/>
        </w:rPr>
        <w:t>有连续亏损的独立公司对于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技术这样持续经营的公司而言，不具备足够的可比性。因此，我们将</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财年期间三年连续经营亏损或只有两年数据且两年均亏损的公司从可比样本中排除。</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通过定量筛选，我们排除了总计</w:t>
      </w:r>
      <w:r w:rsidRPr="00382AAF">
        <w:rPr>
          <w:rFonts w:ascii="华文细黑" w:eastAsia="华文细黑" w:hAnsi="华文细黑" w:cs="Arial"/>
          <w:sz w:val="22"/>
          <w:szCs w:val="22"/>
          <w:lang w:eastAsia="zh-CN"/>
        </w:rPr>
        <w:t>177</w:t>
      </w:r>
      <w:r w:rsidRPr="00382AAF">
        <w:rPr>
          <w:rFonts w:ascii="华文细黑" w:eastAsia="华文细黑" w:hAnsi="华文细黑" w:cs="微软雅黑"/>
          <w:sz w:val="22"/>
          <w:szCs w:val="22"/>
          <w:lang w:eastAsia="zh-CN"/>
        </w:rPr>
        <w:t>家公司，剩下</w:t>
      </w:r>
      <w:r w:rsidRPr="00382AAF">
        <w:rPr>
          <w:rFonts w:ascii="华文细黑" w:eastAsia="华文细黑" w:hAnsi="华文细黑" w:cs="Arial"/>
          <w:sz w:val="22"/>
          <w:szCs w:val="22"/>
          <w:lang w:eastAsia="zh-CN"/>
        </w:rPr>
        <w:t>197</w:t>
      </w:r>
      <w:r w:rsidRPr="00382AAF">
        <w:rPr>
          <w:rFonts w:ascii="华文细黑" w:eastAsia="华文细黑" w:hAnsi="华文细黑" w:cs="微软雅黑"/>
          <w:sz w:val="22"/>
          <w:szCs w:val="22"/>
          <w:lang w:eastAsia="zh-CN"/>
        </w:rPr>
        <w:t>家样本公司。</w:t>
      </w:r>
    </w:p>
    <w:p w:rsidR="00152594" w:rsidRPr="00382AAF" w:rsidRDefault="00382AAF">
      <w:pPr>
        <w:pStyle w:val="BodyText"/>
        <w:keepNext/>
        <w:numPr>
          <w:ilvl w:val="0"/>
          <w:numId w:val="34"/>
        </w:numPr>
        <w:tabs>
          <w:tab w:val="left" w:pos="1440"/>
        </w:tabs>
        <w:spacing w:before="156" w:after="156"/>
        <w:ind w:left="0" w:firstLine="0"/>
        <w:rPr>
          <w:rFonts w:ascii="华文细黑" w:eastAsia="华文细黑" w:hAnsi="华文细黑" w:cs="Arial"/>
          <w:color w:val="4F81BD"/>
          <w:sz w:val="22"/>
          <w:szCs w:val="22"/>
        </w:rPr>
      </w:pPr>
      <w:bookmarkStart w:id="198" w:name="_Toc47700084"/>
      <w:bookmarkStart w:id="199" w:name="_Toc22494"/>
      <w:bookmarkStart w:id="200" w:name="_Toc76668453"/>
      <w:bookmarkStart w:id="201" w:name="_Toc447817229"/>
      <w:bookmarkStart w:id="202" w:name="_Toc25365"/>
      <w:bookmarkStart w:id="203" w:name="_Toc419796234"/>
      <w:bookmarkStart w:id="204" w:name="_Toc2094"/>
      <w:bookmarkStart w:id="205" w:name="_Toc522015252"/>
      <w:bookmarkStart w:id="206" w:name="_Toc435807886"/>
      <w:bookmarkStart w:id="207" w:name="_Toc31406"/>
      <w:r w:rsidRPr="00382AAF">
        <w:rPr>
          <w:rFonts w:ascii="华文细黑" w:eastAsia="华文细黑" w:hAnsi="华文细黑" w:cs="微软雅黑"/>
          <w:color w:val="4F81BD"/>
          <w:sz w:val="22"/>
          <w:szCs w:val="22"/>
        </w:rPr>
        <w:t>定性筛选</w:t>
      </w:r>
      <w:bookmarkEnd w:id="198"/>
      <w:bookmarkEnd w:id="199"/>
      <w:bookmarkEnd w:id="200"/>
      <w:bookmarkEnd w:id="201"/>
      <w:bookmarkEnd w:id="202"/>
      <w:bookmarkEnd w:id="203"/>
      <w:bookmarkEnd w:id="204"/>
      <w:bookmarkEnd w:id="205"/>
      <w:bookmarkEnd w:id="206"/>
      <w:bookmarkEnd w:id="207"/>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我们审阅了剩下的每一家公司在</w:t>
      </w:r>
      <w:r w:rsidRPr="00382AAF">
        <w:rPr>
          <w:rFonts w:ascii="华文细黑" w:eastAsia="华文细黑" w:hAnsi="华文细黑" w:cs="Arial"/>
          <w:sz w:val="22"/>
          <w:szCs w:val="22"/>
          <w:lang w:eastAsia="zh-CN"/>
        </w:rPr>
        <w:t>TP Catalyst</w:t>
      </w:r>
      <w:r w:rsidRPr="00382AAF">
        <w:rPr>
          <w:rFonts w:ascii="华文细黑" w:eastAsia="华文细黑" w:hAnsi="华文细黑" w:cs="微软雅黑"/>
          <w:sz w:val="22"/>
          <w:szCs w:val="22"/>
          <w:lang w:eastAsia="zh-CN"/>
        </w:rPr>
        <w:t>数据库中的业务描述，以此来排除执行的功能（例如，研发，生产，服务等）与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技术的在受测关联交易中执行的职能不具有宽泛可比性的公司。</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通过定性筛选，我们排除了总计</w:t>
      </w:r>
      <w:r w:rsidRPr="00382AAF">
        <w:rPr>
          <w:rFonts w:ascii="华文细黑" w:eastAsia="华文细黑" w:hAnsi="华文细黑" w:cs="Arial"/>
          <w:sz w:val="22"/>
          <w:szCs w:val="22"/>
          <w:lang w:eastAsia="zh-CN"/>
        </w:rPr>
        <w:t>180</w:t>
      </w:r>
      <w:r w:rsidRPr="00382AAF">
        <w:rPr>
          <w:rFonts w:ascii="华文细黑" w:eastAsia="华文细黑" w:hAnsi="华文细黑" w:cs="微软雅黑"/>
          <w:sz w:val="22"/>
          <w:szCs w:val="22"/>
          <w:lang w:eastAsia="zh-CN"/>
        </w:rPr>
        <w:t>家公司，它们因满足以下一项或多项条件使得它们与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技术的关联企业的受测关联交易不具备充足的可比性：</w:t>
      </w:r>
    </w:p>
    <w:p w:rsidR="00152594" w:rsidRPr="00382AAF" w:rsidRDefault="00382AAF">
      <w:pPr>
        <w:pStyle w:val="BodyText"/>
        <w:numPr>
          <w:ilvl w:val="0"/>
          <w:numId w:val="35"/>
        </w:numPr>
        <w:pBdr>
          <w:left w:val="none" w:sz="0" w:space="10" w:color="auto"/>
        </w:pBdr>
        <w:spacing w:before="120"/>
        <w:ind w:left="919" w:right="113" w:hanging="56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企业执行的功能与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技术存在显著差异；</w:t>
      </w:r>
    </w:p>
    <w:p w:rsidR="00152594" w:rsidRPr="00382AAF" w:rsidRDefault="00382AAF">
      <w:pPr>
        <w:pStyle w:val="BodyText"/>
        <w:numPr>
          <w:ilvl w:val="0"/>
          <w:numId w:val="35"/>
        </w:numPr>
        <w:pBdr>
          <w:left w:val="none" w:sz="0" w:space="10" w:color="auto"/>
        </w:pBdr>
        <w:ind w:left="919" w:right="113" w:hanging="565"/>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企业销售的产品或服务与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技术存在显著差异。</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我们最终选定</w:t>
      </w:r>
      <w:r w:rsidRPr="00382AAF">
        <w:rPr>
          <w:rFonts w:ascii="华文细黑" w:eastAsia="华文细黑" w:hAnsi="华文细黑" w:cs="Arial"/>
          <w:sz w:val="22"/>
          <w:szCs w:val="22"/>
          <w:lang w:eastAsia="zh-CN"/>
        </w:rPr>
        <w:t>17</w:t>
      </w:r>
      <w:r w:rsidRPr="00382AAF">
        <w:rPr>
          <w:rFonts w:ascii="华文细黑" w:eastAsia="华文细黑" w:hAnsi="华文细黑" w:cs="微软雅黑"/>
          <w:sz w:val="22"/>
          <w:szCs w:val="22"/>
          <w:lang w:eastAsia="zh-CN"/>
        </w:rPr>
        <w:t>家营业地位于亚太地区的公司作为</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技术的可比公司。</w:t>
      </w:r>
    </w:p>
    <w:p w:rsidR="00152594" w:rsidRPr="00382AAF" w:rsidRDefault="00382AAF">
      <w:pPr>
        <w:pStyle w:val="BodyText"/>
        <w:keepNext/>
        <w:numPr>
          <w:ilvl w:val="0"/>
          <w:numId w:val="36"/>
        </w:numPr>
        <w:tabs>
          <w:tab w:val="left" w:pos="1440"/>
        </w:tabs>
        <w:spacing w:before="156" w:after="156"/>
        <w:ind w:left="0" w:firstLine="0"/>
        <w:rPr>
          <w:rFonts w:ascii="华文细黑" w:eastAsia="华文细黑" w:hAnsi="华文细黑" w:cs="Arial"/>
          <w:color w:val="4F81BD"/>
          <w:sz w:val="22"/>
          <w:szCs w:val="22"/>
        </w:rPr>
      </w:pPr>
      <w:bookmarkStart w:id="208" w:name="_Toc76668454"/>
      <w:bookmarkStart w:id="209" w:name="_Toc522015254"/>
      <w:bookmarkStart w:id="210" w:name="_Toc47700085"/>
      <w:bookmarkStart w:id="211" w:name="_Toc1411"/>
      <w:bookmarkStart w:id="212" w:name="_Toc24652"/>
      <w:bookmarkStart w:id="213" w:name="_Toc22809"/>
      <w:r w:rsidRPr="00382AAF">
        <w:rPr>
          <w:rFonts w:ascii="华文细黑" w:eastAsia="华文细黑" w:hAnsi="华文细黑" w:cs="微软雅黑"/>
          <w:color w:val="4F81BD"/>
          <w:sz w:val="22"/>
          <w:szCs w:val="22"/>
        </w:rPr>
        <w:t>外部可比公司搜寻过程</w:t>
      </w:r>
      <w:bookmarkEnd w:id="208"/>
      <w:bookmarkEnd w:id="209"/>
      <w:bookmarkEnd w:id="210"/>
      <w:bookmarkEnd w:id="211"/>
      <w:bookmarkEnd w:id="212"/>
      <w:bookmarkEnd w:id="213"/>
    </w:p>
    <w:p w:rsidR="00152594" w:rsidRPr="00382AAF" w:rsidRDefault="00382AAF">
      <w:pPr>
        <w:pStyle w:val="BodyText"/>
        <w:spacing w:before="120"/>
        <w:ind w:left="119" w:right="113" w:firstLine="440"/>
        <w:jc w:val="both"/>
        <w:rPr>
          <w:rFonts w:ascii="华文细黑" w:eastAsia="华文细黑" w:hAnsi="华文细黑"/>
          <w:sz w:val="22"/>
          <w:szCs w:val="22"/>
        </w:rPr>
      </w:pPr>
      <w:r w:rsidRPr="00382AAF">
        <w:rPr>
          <w:rFonts w:ascii="华文细黑" w:eastAsia="华文细黑" w:hAnsi="华文细黑" w:cs="微软雅黑"/>
          <w:sz w:val="22"/>
          <w:szCs w:val="22"/>
        </w:rPr>
        <w:t>搜索策略和结果如下：</w:t>
      </w:r>
    </w:p>
    <w:p w:rsidR="00152594" w:rsidRPr="00382AAF" w:rsidRDefault="00382AAF">
      <w:pPr>
        <w:pStyle w:val="BodyText"/>
        <w:spacing w:after="0"/>
        <w:jc w:val="center"/>
        <w:rPr>
          <w:rFonts w:ascii="华文细黑" w:eastAsia="华文细黑" w:hAnsi="华文细黑"/>
          <w:sz w:val="18"/>
          <w:szCs w:val="18"/>
        </w:rPr>
      </w:pPr>
      <w:r w:rsidRPr="00382AAF">
        <w:rPr>
          <w:rFonts w:ascii="华文细黑" w:eastAsia="华文细黑" w:hAnsi="华文细黑" w:cs="微软雅黑"/>
          <w:b/>
          <w:bCs/>
          <w:sz w:val="18"/>
          <w:szCs w:val="18"/>
        </w:rPr>
        <w:t>图表</w:t>
      </w:r>
      <w:r w:rsidRPr="00382AAF">
        <w:rPr>
          <w:rFonts w:ascii="华文细黑" w:eastAsia="华文细黑" w:hAnsi="华文细黑" w:cs="Arial"/>
          <w:b/>
          <w:bCs/>
          <w:sz w:val="18"/>
          <w:szCs w:val="18"/>
        </w:rPr>
        <w:t>22</w:t>
      </w:r>
      <w:r w:rsidRPr="00382AAF">
        <w:rPr>
          <w:rFonts w:ascii="华文细黑" w:eastAsia="华文细黑" w:hAnsi="华文细黑" w:cs="微软雅黑"/>
          <w:b/>
          <w:bCs/>
          <w:sz w:val="18"/>
          <w:szCs w:val="18"/>
        </w:rPr>
        <w:t>：可比公司搜索表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选定的</w:t>
      </w:r>
      <w:r w:rsidRPr="00382AAF">
        <w:rPr>
          <w:rFonts w:ascii="华文细黑" w:eastAsia="华文细黑" w:hAnsi="华文细黑" w:cs="Arial"/>
          <w:sz w:val="22"/>
          <w:szCs w:val="22"/>
          <w:lang w:eastAsia="zh-CN"/>
        </w:rPr>
        <w:t>17</w:t>
      </w:r>
      <w:r w:rsidRPr="00382AAF">
        <w:rPr>
          <w:rFonts w:ascii="华文细黑" w:eastAsia="华文细黑" w:hAnsi="华文细黑" w:cs="微软雅黑"/>
          <w:sz w:val="22"/>
          <w:szCs w:val="22"/>
          <w:lang w:eastAsia="zh-CN"/>
        </w:rPr>
        <w:t>家公司的简要业务描述，请见附件</w:t>
      </w:r>
      <w:r w:rsidRPr="00382AAF">
        <w:rPr>
          <w:rFonts w:ascii="华文细黑" w:eastAsia="华文细黑" w:hAnsi="华文细黑" w:cs="Arial"/>
          <w:sz w:val="22"/>
          <w:szCs w:val="22"/>
          <w:lang w:eastAsia="zh-CN"/>
        </w:rPr>
        <w:t>3</w:t>
      </w:r>
      <w:r w:rsidRPr="00382AAF">
        <w:rPr>
          <w:rFonts w:ascii="华文细黑" w:eastAsia="华文细黑" w:hAnsi="华文细黑" w:cs="微软雅黑"/>
          <w:sz w:val="22"/>
          <w:szCs w:val="22"/>
          <w:lang w:eastAsia="zh-CN"/>
        </w:rPr>
        <w:t>。</w:t>
      </w:r>
    </w:p>
    <w:p w:rsidR="00152594" w:rsidRPr="00382AAF" w:rsidRDefault="00382AAF">
      <w:pPr>
        <w:pStyle w:val="Heading3"/>
        <w:numPr>
          <w:ilvl w:val="2"/>
          <w:numId w:val="1"/>
        </w:numPr>
        <w:rPr>
          <w:rFonts w:ascii="华文细黑" w:eastAsia="华文细黑" w:hAnsi="华文细黑"/>
        </w:rPr>
      </w:pPr>
      <w:bookmarkStart w:id="214" w:name="_Toc256002804"/>
      <w:r w:rsidRPr="00382AAF">
        <w:rPr>
          <w:rFonts w:ascii="华文细黑" w:eastAsia="华文细黑" w:hAnsi="华文细黑"/>
        </w:rPr>
        <w:lastRenderedPageBreak/>
        <w:t>可比公司利润水平</w:t>
      </w:r>
      <w:bookmarkEnd w:id="214"/>
    </w:p>
    <w:p w:rsidR="00152594" w:rsidRPr="00382AAF" w:rsidRDefault="00382AAF">
      <w:pPr>
        <w:pStyle w:val="BodyText"/>
        <w:keepNext/>
        <w:numPr>
          <w:ilvl w:val="0"/>
          <w:numId w:val="37"/>
        </w:numPr>
        <w:tabs>
          <w:tab w:val="left" w:pos="1440"/>
        </w:tabs>
        <w:spacing w:before="156" w:after="156"/>
        <w:ind w:left="0" w:firstLine="0"/>
        <w:rPr>
          <w:rFonts w:ascii="华文细黑" w:eastAsia="华文细黑" w:hAnsi="华文细黑" w:cs="Arial"/>
          <w:color w:val="4F81BD"/>
          <w:sz w:val="22"/>
          <w:szCs w:val="22"/>
        </w:rPr>
      </w:pPr>
      <w:bookmarkStart w:id="215" w:name="_Toc47700087"/>
      <w:bookmarkStart w:id="216" w:name="_Toc12559"/>
      <w:bookmarkStart w:id="217" w:name="_Toc32745"/>
      <w:bookmarkStart w:id="218" w:name="_Toc522015256"/>
      <w:bookmarkStart w:id="219" w:name="_Toc76668456"/>
      <w:bookmarkStart w:id="220" w:name="_Toc5507"/>
      <w:bookmarkStart w:id="221" w:name="_Toc15862"/>
      <w:r w:rsidRPr="00382AAF">
        <w:rPr>
          <w:rFonts w:ascii="华文细黑" w:eastAsia="华文细黑" w:hAnsi="华文细黑" w:cs="微软雅黑"/>
          <w:color w:val="4F81BD"/>
          <w:sz w:val="22"/>
          <w:szCs w:val="22"/>
        </w:rPr>
        <w:t>利润水平指标的选择</w:t>
      </w:r>
      <w:bookmarkEnd w:id="215"/>
      <w:bookmarkEnd w:id="216"/>
      <w:bookmarkEnd w:id="217"/>
      <w:bookmarkEnd w:id="218"/>
      <w:bookmarkEnd w:id="219"/>
      <w:bookmarkEnd w:id="220"/>
      <w:bookmarkEnd w:id="221"/>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利润水平指标是衡量利润与产品销售额、发生的成本或所运用的资产之间关系的财务比率。利润水平指标的选择是否恰当取决于被测试方经营活动的性质以及可比企业数据的可靠性。</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根据</w:t>
      </w:r>
      <w:r w:rsidRPr="00382AAF">
        <w:rPr>
          <w:rFonts w:ascii="华文细黑" w:eastAsia="华文细黑" w:hAnsi="华文细黑" w:cs="Arial"/>
          <w:sz w:val="22"/>
          <w:szCs w:val="22"/>
          <w:lang w:eastAsia="zh-CN"/>
        </w:rPr>
        <w:t>[2017]6</w:t>
      </w:r>
      <w:r w:rsidRPr="00382AAF">
        <w:rPr>
          <w:rFonts w:ascii="华文细黑" w:eastAsia="华文细黑" w:hAnsi="华文细黑" w:cs="微软雅黑"/>
          <w:sz w:val="22"/>
          <w:szCs w:val="22"/>
          <w:lang w:eastAsia="zh-CN"/>
        </w:rPr>
        <w:t>号公告第</w:t>
      </w:r>
      <w:r w:rsidRPr="00382AAF">
        <w:rPr>
          <w:rFonts w:ascii="华文细黑" w:eastAsia="华文细黑" w:hAnsi="华文细黑" w:cs="Arial"/>
          <w:sz w:val="22"/>
          <w:szCs w:val="22"/>
          <w:lang w:eastAsia="zh-CN"/>
        </w:rPr>
        <w:t>20</w:t>
      </w:r>
      <w:r w:rsidRPr="00382AAF">
        <w:rPr>
          <w:rFonts w:ascii="华文细黑" w:eastAsia="华文细黑" w:hAnsi="华文细黑" w:cs="微软雅黑"/>
          <w:sz w:val="22"/>
          <w:szCs w:val="22"/>
          <w:lang w:eastAsia="zh-CN"/>
        </w:rPr>
        <w:t>条的规定，交易净利润法以可比非关联交易的利润指标确定关联交易的利润。利润指标包括息税前利润率、完全成本加成率、资产收益率、贝里比率等。具体计算公式如下：</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bookmarkStart w:id="222" w:name="No100_T20K1X1"/>
      <w:bookmarkEnd w:id="222"/>
      <w:r w:rsidRPr="00382AAF">
        <w:rPr>
          <w:rFonts w:ascii="华文细黑" w:eastAsia="华文细黑" w:hAnsi="华文细黑" w:cs="微软雅黑"/>
          <w:sz w:val="22"/>
          <w:szCs w:val="22"/>
          <w:lang w:eastAsia="zh-CN"/>
        </w:rPr>
        <w:t>（一）息税前利润率</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息税前利润</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营业收入</w:t>
      </w:r>
      <w:r w:rsidRPr="00382AAF">
        <w:rPr>
          <w:rFonts w:ascii="华文细黑" w:eastAsia="华文细黑" w:hAnsi="华文细黑" w:cs="Arial"/>
          <w:sz w:val="22"/>
          <w:szCs w:val="22"/>
          <w:lang w:eastAsia="zh-CN"/>
        </w:rPr>
        <w:t>×100%</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bookmarkStart w:id="223" w:name="No101_T20K1X2"/>
      <w:bookmarkEnd w:id="223"/>
      <w:r w:rsidRPr="00382AAF">
        <w:rPr>
          <w:rFonts w:ascii="华文细黑" w:eastAsia="华文细黑" w:hAnsi="华文细黑" w:cs="微软雅黑"/>
          <w:sz w:val="22"/>
          <w:szCs w:val="22"/>
          <w:lang w:eastAsia="zh-CN"/>
        </w:rPr>
        <w:t>（二）完全成本加成率</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息税前利润</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完全成本</w:t>
      </w:r>
      <w:r w:rsidRPr="00382AAF">
        <w:rPr>
          <w:rFonts w:ascii="华文细黑" w:eastAsia="华文细黑" w:hAnsi="华文细黑" w:cs="Arial"/>
          <w:sz w:val="22"/>
          <w:szCs w:val="22"/>
          <w:lang w:eastAsia="zh-CN"/>
        </w:rPr>
        <w:t>×100%</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bookmarkStart w:id="224" w:name="No102_T20K1X3"/>
      <w:bookmarkEnd w:id="224"/>
      <w:r w:rsidRPr="00382AAF">
        <w:rPr>
          <w:rFonts w:ascii="华文细黑" w:eastAsia="华文细黑" w:hAnsi="华文细黑" w:cs="微软雅黑"/>
          <w:sz w:val="22"/>
          <w:szCs w:val="22"/>
          <w:lang w:eastAsia="zh-CN"/>
        </w:rPr>
        <w:t>（三）资产收益率</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息税前利润</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（年初资产总额</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年末资产总额）</w:t>
      </w:r>
      <w:r w:rsidRPr="00382AAF">
        <w:rPr>
          <w:rFonts w:ascii="华文细黑" w:eastAsia="华文细黑" w:hAnsi="华文细黑" w:cs="Arial"/>
          <w:sz w:val="22"/>
          <w:szCs w:val="22"/>
          <w:lang w:eastAsia="zh-CN"/>
        </w:rPr>
        <w:t>/2]×100%</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bookmarkStart w:id="225" w:name="No103_T20K1X4"/>
      <w:bookmarkEnd w:id="225"/>
      <w:r w:rsidRPr="00382AAF">
        <w:rPr>
          <w:rFonts w:ascii="华文细黑" w:eastAsia="华文细黑" w:hAnsi="华文细黑" w:cs="微软雅黑"/>
          <w:sz w:val="22"/>
          <w:szCs w:val="22"/>
          <w:lang w:eastAsia="zh-CN"/>
        </w:rPr>
        <w:t>（四）贝里比率</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毛利</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（营业费用</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管理费用）</w:t>
      </w:r>
      <w:r w:rsidRPr="00382AAF">
        <w:rPr>
          <w:rFonts w:ascii="华文细黑" w:eastAsia="华文细黑" w:hAnsi="华文细黑" w:cs="Arial"/>
          <w:sz w:val="22"/>
          <w:szCs w:val="22"/>
          <w:lang w:eastAsia="zh-CN"/>
        </w:rPr>
        <w:t>×100%</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综上所述，我们选择了完全成本加成率作为评估</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技术受测关联交易是否符合独立交易原则最合理的利润水平指标。</w:t>
      </w:r>
    </w:p>
    <w:p w:rsidR="00152594" w:rsidRPr="00382AAF" w:rsidRDefault="00382AAF">
      <w:pPr>
        <w:pStyle w:val="BodyText"/>
        <w:keepNext/>
        <w:numPr>
          <w:ilvl w:val="0"/>
          <w:numId w:val="38"/>
        </w:numPr>
        <w:tabs>
          <w:tab w:val="left" w:pos="1440"/>
        </w:tabs>
        <w:spacing w:before="156" w:after="156"/>
        <w:ind w:left="0" w:firstLine="0"/>
        <w:rPr>
          <w:rFonts w:ascii="华文细黑" w:eastAsia="华文细黑" w:hAnsi="华文细黑" w:cs="Arial"/>
          <w:color w:val="4F81BD"/>
          <w:sz w:val="22"/>
          <w:szCs w:val="22"/>
        </w:rPr>
      </w:pPr>
      <w:bookmarkStart w:id="226" w:name="_Toc4123"/>
      <w:bookmarkStart w:id="227" w:name="_Toc47700088"/>
      <w:bookmarkStart w:id="228" w:name="_Toc76668457"/>
      <w:bookmarkStart w:id="229" w:name="_Toc735"/>
      <w:bookmarkStart w:id="230" w:name="_Toc3962"/>
      <w:bookmarkStart w:id="231" w:name="_Toc24197"/>
      <w:bookmarkStart w:id="232" w:name="_Toc522015257"/>
      <w:r w:rsidRPr="00382AAF">
        <w:rPr>
          <w:rFonts w:ascii="华文细黑" w:eastAsia="华文细黑" w:hAnsi="华文细黑" w:cs="微软雅黑"/>
          <w:color w:val="4F81BD"/>
          <w:sz w:val="22"/>
          <w:szCs w:val="22"/>
        </w:rPr>
        <w:t>多年度数据的使用</w:t>
      </w:r>
      <w:bookmarkEnd w:id="226"/>
      <w:bookmarkEnd w:id="227"/>
      <w:bookmarkEnd w:id="228"/>
      <w:bookmarkEnd w:id="229"/>
      <w:bookmarkEnd w:id="230"/>
      <w:bookmarkEnd w:id="231"/>
      <w:bookmarkEnd w:id="232"/>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OECD</w:t>
      </w:r>
      <w:r w:rsidRPr="00382AAF">
        <w:rPr>
          <w:rFonts w:ascii="华文细黑" w:eastAsia="华文细黑" w:hAnsi="华文细黑" w:cs="微软雅黑"/>
          <w:sz w:val="22"/>
          <w:szCs w:val="22"/>
          <w:lang w:eastAsia="zh-CN"/>
        </w:rPr>
        <w:t>转让定价指南关于使用多个年度的数据给出了如下准则：</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通常，分析受测年度及之前年度的数据可以有助于全面了解受控交易的事实及情况</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这种多年度数据分析在应用交易利润法时可能特别适用</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多年度财务数据还可以有助于了解长期合约。</w:t>
      </w:r>
      <w:r w:rsidRPr="00382AAF">
        <w:rPr>
          <w:rFonts w:ascii="华文细黑" w:eastAsia="华文细黑" w:hAnsi="华文细黑" w:cs="Arial"/>
          <w:sz w:val="22"/>
          <w:szCs w:val="22"/>
          <w:lang w:eastAsia="zh-CN"/>
        </w:rPr>
        <w:t>”</w:t>
      </w:r>
      <w:r w:rsidRPr="00382AAF">
        <w:rPr>
          <w:rFonts w:ascii="华文细黑" w:eastAsia="华文细黑" w:hAnsi="华文细黑" w:cs="Arial"/>
          <w:color w:val="000000"/>
          <w:sz w:val="11"/>
          <w:szCs w:val="11"/>
          <w:vertAlign w:val="superscript"/>
        </w:rPr>
        <w:footnoteReference w:id="23"/>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[2017]6</w:t>
      </w:r>
      <w:r w:rsidRPr="00382AAF">
        <w:rPr>
          <w:rFonts w:ascii="华文细黑" w:eastAsia="华文细黑" w:hAnsi="华文细黑" w:cs="微软雅黑"/>
          <w:sz w:val="22"/>
          <w:szCs w:val="22"/>
          <w:lang w:eastAsia="zh-CN"/>
        </w:rPr>
        <w:t>号公告第</w:t>
      </w:r>
      <w:r w:rsidRPr="00382AAF">
        <w:rPr>
          <w:rFonts w:ascii="华文细黑" w:eastAsia="华文细黑" w:hAnsi="华文细黑" w:cs="Arial"/>
          <w:sz w:val="22"/>
          <w:szCs w:val="22"/>
          <w:lang w:eastAsia="zh-CN"/>
        </w:rPr>
        <w:t>20</w:t>
      </w:r>
      <w:r w:rsidRPr="00382AAF">
        <w:rPr>
          <w:rFonts w:ascii="华文细黑" w:eastAsia="华文细黑" w:hAnsi="华文细黑" w:cs="微软雅黑"/>
          <w:sz w:val="22"/>
          <w:szCs w:val="22"/>
          <w:lang w:eastAsia="zh-CN"/>
        </w:rPr>
        <w:t>条特别指出，在使用交易净利润法进行可比性分析时，应特别考察经济周期和产品生命周期。</w:t>
      </w:r>
      <w:r w:rsidRPr="00382AAF">
        <w:rPr>
          <w:rFonts w:ascii="华文细黑" w:eastAsia="华文细黑" w:hAnsi="华文细黑" w:cs="Arial"/>
          <w:sz w:val="22"/>
          <w:szCs w:val="22"/>
          <w:lang w:eastAsia="zh-CN"/>
        </w:rPr>
        <w:t>OECD</w:t>
      </w:r>
      <w:r w:rsidRPr="00382AAF">
        <w:rPr>
          <w:rFonts w:ascii="华文细黑" w:eastAsia="华文细黑" w:hAnsi="华文细黑" w:cs="微软雅黑"/>
          <w:sz w:val="22"/>
          <w:szCs w:val="22"/>
          <w:lang w:eastAsia="zh-CN"/>
        </w:rPr>
        <w:t>转让定价指南中也就行业和产品生命周期提出了如下准则：</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sidRPr="00382AAF">
        <w:rPr>
          <w:rFonts w:ascii="华文细黑" w:eastAsia="华文细黑" w:hAnsi="华文细黑" w:cs="Arial"/>
          <w:sz w:val="22"/>
          <w:szCs w:val="22"/>
          <w:lang w:eastAsia="zh-CN"/>
        </w:rPr>
        <w:t>”</w:t>
      </w:r>
      <w:r w:rsidRPr="00382AAF">
        <w:rPr>
          <w:rFonts w:ascii="华文细黑" w:eastAsia="华文细黑" w:hAnsi="华文细黑" w:cs="Arial"/>
          <w:color w:val="000000"/>
          <w:sz w:val="11"/>
          <w:szCs w:val="11"/>
          <w:vertAlign w:val="superscript"/>
        </w:rPr>
        <w:footnoteReference w:id="24"/>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lastRenderedPageBreak/>
        <w:t>为了在交易净利润分析中运用多年度数据，我们通过比较</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w:t>
      </w:r>
      <w:r w:rsidRPr="00382AAF">
        <w:rPr>
          <w:rFonts w:ascii="华文细黑" w:eastAsia="华文细黑" w:hAnsi="华文细黑" w:cs="Arial"/>
          <w:sz w:val="22"/>
          <w:szCs w:val="22"/>
          <w:lang w:eastAsia="zh-CN"/>
        </w:rPr>
        <w:t>2024</w:t>
      </w:r>
      <w:r w:rsidRPr="00382AAF">
        <w:rPr>
          <w:rFonts w:ascii="华文细黑" w:eastAsia="华文细黑" w:hAnsi="华文细黑" w:cs="微软雅黑"/>
          <w:sz w:val="22"/>
          <w:szCs w:val="22"/>
          <w:lang w:eastAsia="zh-CN"/>
        </w:rPr>
        <w:t>年度受测关联交易的利润水平和可比公司</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财年的加权平均利润水平，来评估</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技术的受测关联交易是否符合独立交易原则。</w:t>
      </w:r>
    </w:p>
    <w:p w:rsidR="00152594" w:rsidRPr="00382AAF" w:rsidRDefault="00382AAF">
      <w:pPr>
        <w:pStyle w:val="BodyText"/>
        <w:keepNext/>
        <w:numPr>
          <w:ilvl w:val="0"/>
          <w:numId w:val="39"/>
        </w:numPr>
        <w:tabs>
          <w:tab w:val="left" w:pos="1440"/>
        </w:tabs>
        <w:spacing w:before="156" w:after="156"/>
        <w:ind w:left="0" w:firstLine="0"/>
        <w:rPr>
          <w:rFonts w:ascii="华文细黑" w:eastAsia="华文细黑" w:hAnsi="华文细黑" w:cs="Arial"/>
          <w:color w:val="4F81BD"/>
          <w:sz w:val="22"/>
          <w:szCs w:val="22"/>
        </w:rPr>
      </w:pPr>
      <w:bookmarkStart w:id="233" w:name="_Toc47700089"/>
      <w:bookmarkStart w:id="234" w:name="_Toc522015258"/>
      <w:bookmarkStart w:id="235" w:name="_Toc25536"/>
      <w:bookmarkStart w:id="236" w:name="_Toc25220"/>
      <w:bookmarkStart w:id="237" w:name="_Toc26863"/>
      <w:bookmarkStart w:id="238" w:name="_Toc76668458"/>
      <w:bookmarkStart w:id="239" w:name="_Toc9834"/>
      <w:r w:rsidRPr="00382AAF">
        <w:rPr>
          <w:rFonts w:ascii="华文细黑" w:eastAsia="华文细黑" w:hAnsi="华文细黑" w:cs="微软雅黑"/>
          <w:color w:val="4F81BD"/>
          <w:sz w:val="22"/>
          <w:szCs w:val="22"/>
        </w:rPr>
        <w:t>独立交易区间</w:t>
      </w:r>
      <w:bookmarkEnd w:id="233"/>
      <w:bookmarkEnd w:id="234"/>
      <w:bookmarkEnd w:id="235"/>
      <w:bookmarkEnd w:id="236"/>
      <w:bookmarkEnd w:id="237"/>
      <w:bookmarkEnd w:id="238"/>
      <w:bookmarkEnd w:id="239"/>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sidRPr="00382AAF">
        <w:rPr>
          <w:rFonts w:ascii="华文细黑" w:eastAsia="华文细黑" w:hAnsi="华文细黑" w:cs="Arial"/>
          <w:color w:val="000000"/>
          <w:sz w:val="11"/>
          <w:szCs w:val="11"/>
          <w:vertAlign w:val="superscript"/>
        </w:rPr>
        <w:footnoteReference w:id="25"/>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章节</w:t>
      </w:r>
      <w:r w:rsidRPr="00382AAF">
        <w:rPr>
          <w:rFonts w:ascii="华文细黑" w:eastAsia="华文细黑" w:hAnsi="华文细黑" w:cs="Arial"/>
          <w:sz w:val="22"/>
          <w:szCs w:val="22"/>
          <w:lang w:eastAsia="zh-CN"/>
        </w:rPr>
        <w:t>7.4.3.5</w:t>
      </w:r>
      <w:r w:rsidRPr="00382AAF">
        <w:rPr>
          <w:rFonts w:ascii="华文细黑" w:eastAsia="华文细黑" w:hAnsi="华文细黑" w:cs="微软雅黑"/>
          <w:sz w:val="22"/>
          <w:szCs w:val="22"/>
          <w:lang w:eastAsia="zh-CN"/>
        </w:rPr>
        <w:t>中所使用的筛选标准旨在寻找和消除对</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然而应该承认，尽管选定的可比公司已经是可获得的最可比的样本了，在他们与</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财年期间加权平均完全成本加成率的四分位区间。</w:t>
      </w:r>
      <w:r w:rsidRPr="00382AAF">
        <w:rPr>
          <w:rFonts w:ascii="华文细黑" w:eastAsia="华文细黑" w:hAnsi="华文细黑" w:cs="Arial"/>
          <w:color w:val="000000"/>
          <w:sz w:val="11"/>
          <w:szCs w:val="11"/>
          <w:vertAlign w:val="superscript"/>
        </w:rPr>
        <w:footnoteReference w:id="26"/>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我们从</w:t>
      </w:r>
      <w:r w:rsidRPr="00382AAF">
        <w:rPr>
          <w:rFonts w:ascii="华文细黑" w:eastAsia="华文细黑" w:hAnsi="华文细黑" w:cs="Arial"/>
          <w:sz w:val="22"/>
          <w:szCs w:val="22"/>
          <w:lang w:eastAsia="zh-CN"/>
        </w:rPr>
        <w:t>TP Catalyst</w:t>
      </w:r>
      <w:r w:rsidRPr="00382AAF">
        <w:rPr>
          <w:rFonts w:ascii="华文细黑" w:eastAsia="华文细黑" w:hAnsi="华文细黑" w:cs="微软雅黑"/>
          <w:sz w:val="22"/>
          <w:szCs w:val="22"/>
          <w:lang w:eastAsia="zh-CN"/>
        </w:rPr>
        <w:t>数据库（</w:t>
      </w:r>
      <w:r w:rsidRPr="00382AAF">
        <w:rPr>
          <w:rFonts w:ascii="华文细黑" w:eastAsia="华文细黑" w:hAnsi="华文细黑" w:cs="Arial"/>
          <w:sz w:val="22"/>
          <w:szCs w:val="22"/>
          <w:lang w:eastAsia="zh-CN"/>
        </w:rPr>
        <w:t>2025</w:t>
      </w:r>
      <w:r w:rsidRPr="00382AAF">
        <w:rPr>
          <w:rFonts w:ascii="华文细黑" w:eastAsia="华文细黑" w:hAnsi="华文细黑" w:cs="微软雅黑"/>
          <w:sz w:val="22"/>
          <w:szCs w:val="22"/>
          <w:lang w:eastAsia="zh-CN"/>
        </w:rPr>
        <w:t>年</w:t>
      </w:r>
      <w:r w:rsidRPr="00382AAF">
        <w:rPr>
          <w:rFonts w:ascii="华文细黑" w:eastAsia="华文细黑" w:hAnsi="华文细黑" w:cs="Arial"/>
          <w:sz w:val="22"/>
          <w:szCs w:val="22"/>
          <w:lang w:eastAsia="zh-CN"/>
        </w:rPr>
        <w:t>2</w:t>
      </w:r>
      <w:r w:rsidRPr="00382AAF">
        <w:rPr>
          <w:rFonts w:ascii="华文细黑" w:eastAsia="华文细黑" w:hAnsi="华文细黑" w:cs="微软雅黑"/>
          <w:sz w:val="22"/>
          <w:szCs w:val="22"/>
          <w:lang w:eastAsia="zh-CN"/>
        </w:rPr>
        <w:t>月版）提取了</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财年每家可比公司的损益表中的信息。被选可比公司的财务信息及完全成本加成率计算详见附件</w:t>
      </w:r>
      <w:r w:rsidRPr="00382AAF">
        <w:rPr>
          <w:rFonts w:ascii="华文细黑" w:eastAsia="华文细黑" w:hAnsi="华文细黑" w:cs="Arial"/>
          <w:sz w:val="22"/>
          <w:szCs w:val="22"/>
          <w:lang w:eastAsia="zh-CN"/>
        </w:rPr>
        <w:t>4</w:t>
      </w:r>
      <w:r w:rsidRPr="00382AAF">
        <w:rPr>
          <w:rFonts w:ascii="华文细黑" w:eastAsia="华文细黑" w:hAnsi="华文细黑" w:cs="微软雅黑"/>
          <w:sz w:val="22"/>
          <w:szCs w:val="22"/>
          <w:lang w:eastAsia="zh-CN"/>
        </w:rPr>
        <w:t>。</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我们计算了选中的</w:t>
      </w:r>
      <w:r w:rsidRPr="00382AAF">
        <w:rPr>
          <w:rFonts w:ascii="华文细黑" w:eastAsia="华文细黑" w:hAnsi="华文细黑" w:cs="Arial"/>
          <w:sz w:val="22"/>
          <w:szCs w:val="22"/>
          <w:lang w:eastAsia="zh-CN"/>
        </w:rPr>
        <w:t>17</w:t>
      </w:r>
      <w:r w:rsidRPr="00382AAF">
        <w:rPr>
          <w:rFonts w:ascii="华文细黑" w:eastAsia="华文细黑" w:hAnsi="华文细黑" w:cs="微软雅黑"/>
          <w:sz w:val="22"/>
          <w:szCs w:val="22"/>
          <w:lang w:eastAsia="zh-CN"/>
        </w:rPr>
        <w:t>家可比公司</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财年加权平均完全成本加成率。如下图所示，</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年完全成本加成率的独立交易区间为</w:t>
      </w:r>
      <w:r w:rsidRPr="00382AAF">
        <w:rPr>
          <w:rFonts w:ascii="华文细黑" w:eastAsia="华文细黑" w:hAnsi="华文细黑" w:cs="Arial"/>
          <w:sz w:val="22"/>
          <w:szCs w:val="22"/>
          <w:lang w:eastAsia="zh-CN"/>
        </w:rPr>
        <w:t>3.00%(</w:t>
      </w:r>
      <w:r w:rsidRPr="00382AAF">
        <w:rPr>
          <w:rFonts w:ascii="华文细黑" w:eastAsia="华文细黑" w:hAnsi="华文细黑" w:cs="微软雅黑"/>
          <w:sz w:val="22"/>
          <w:szCs w:val="22"/>
          <w:lang w:eastAsia="zh-CN"/>
        </w:rPr>
        <w:t>第一四分位数</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至</w:t>
      </w:r>
      <w:r w:rsidRPr="00382AAF">
        <w:rPr>
          <w:rFonts w:ascii="华文细黑" w:eastAsia="华文细黑" w:hAnsi="华文细黑" w:cs="Arial"/>
          <w:sz w:val="22"/>
          <w:szCs w:val="22"/>
          <w:lang w:eastAsia="zh-CN"/>
        </w:rPr>
        <w:t>12.74% (</w:t>
      </w:r>
      <w:r w:rsidRPr="00382AAF">
        <w:rPr>
          <w:rFonts w:ascii="华文细黑" w:eastAsia="华文细黑" w:hAnsi="华文细黑" w:cs="微软雅黑"/>
          <w:sz w:val="22"/>
          <w:szCs w:val="22"/>
          <w:lang w:eastAsia="zh-CN"/>
        </w:rPr>
        <w:t>第三四分位数</w:t>
      </w:r>
      <w:r w:rsidRPr="00382AAF">
        <w:rPr>
          <w:rFonts w:ascii="华文细黑" w:eastAsia="华文细黑" w:hAnsi="华文细黑" w:cs="Arial"/>
          <w:sz w:val="22"/>
          <w:szCs w:val="22"/>
          <w:lang w:eastAsia="zh-CN"/>
        </w:rPr>
        <w:t>)</w:t>
      </w:r>
      <w:r w:rsidRPr="00382AAF">
        <w:rPr>
          <w:rFonts w:ascii="华文细黑" w:eastAsia="华文细黑" w:hAnsi="华文细黑" w:cs="微软雅黑"/>
          <w:sz w:val="22"/>
          <w:szCs w:val="22"/>
          <w:lang w:eastAsia="zh-CN"/>
        </w:rPr>
        <w:t>，中位值为</w:t>
      </w:r>
      <w:r w:rsidRPr="00382AAF">
        <w:rPr>
          <w:rFonts w:ascii="华文细黑" w:eastAsia="华文细黑" w:hAnsi="华文细黑" w:cs="Arial"/>
          <w:sz w:val="22"/>
          <w:szCs w:val="22"/>
          <w:lang w:eastAsia="zh-CN"/>
        </w:rPr>
        <w:t>8.41%</w:t>
      </w:r>
      <w:r w:rsidRPr="00382AAF">
        <w:rPr>
          <w:rFonts w:ascii="华文细黑" w:eastAsia="华文细黑" w:hAnsi="华文细黑" w:cs="微软雅黑"/>
          <w:sz w:val="22"/>
          <w:szCs w:val="22"/>
          <w:lang w:eastAsia="zh-CN"/>
        </w:rPr>
        <w:t>。</w:t>
      </w:r>
    </w:p>
    <w:p w:rsidR="00152594" w:rsidRPr="00382AAF" w:rsidRDefault="00382AAF">
      <w:pPr>
        <w:pStyle w:val="BodyText"/>
        <w:spacing w:after="0"/>
        <w:rPr>
          <w:rFonts w:ascii="华文细黑" w:eastAsia="华文细黑" w:hAnsi="华文细黑"/>
          <w:sz w:val="22"/>
          <w:szCs w:val="22"/>
          <w:lang w:eastAsia="zh-CN"/>
        </w:rPr>
      </w:pPr>
      <w:r w:rsidRPr="00382AAF">
        <w:rPr>
          <w:rFonts w:ascii="华文细黑" w:eastAsia="华文细黑" w:hAnsi="华文细黑"/>
          <w:sz w:val="22"/>
          <w:szCs w:val="22"/>
          <w:lang w:eastAsia="zh-CN"/>
        </w:rPr>
        <w:br w:type="page"/>
      </w:r>
    </w:p>
    <w:p w:rsidR="00152594" w:rsidRPr="00382AAF" w:rsidRDefault="00382AAF">
      <w:pPr>
        <w:pStyle w:val="BodyText"/>
        <w:spacing w:after="0"/>
        <w:jc w:val="center"/>
        <w:rPr>
          <w:rFonts w:ascii="华文细黑" w:eastAsia="华文细黑" w:hAnsi="华文细黑"/>
          <w:sz w:val="18"/>
          <w:szCs w:val="18"/>
          <w:lang w:eastAsia="zh-CN"/>
        </w:rPr>
      </w:pPr>
      <w:r w:rsidRPr="00382AAF">
        <w:rPr>
          <w:rFonts w:ascii="华文细黑" w:eastAsia="华文细黑" w:hAnsi="华文细黑" w:cs="微软雅黑"/>
          <w:b/>
          <w:bCs/>
          <w:sz w:val="18"/>
          <w:szCs w:val="18"/>
          <w:lang w:eastAsia="zh-CN"/>
        </w:rPr>
        <w:t>图表</w:t>
      </w:r>
      <w:r w:rsidRPr="00382AAF">
        <w:rPr>
          <w:rFonts w:ascii="华文细黑" w:eastAsia="华文细黑" w:hAnsi="华文细黑" w:cs="Arial"/>
          <w:b/>
          <w:bCs/>
          <w:sz w:val="18"/>
          <w:szCs w:val="18"/>
          <w:lang w:eastAsia="zh-CN"/>
        </w:rPr>
        <w:t>23</w:t>
      </w:r>
      <w:r w:rsidRPr="00382AAF">
        <w:rPr>
          <w:rFonts w:ascii="华文细黑" w:eastAsia="华文细黑" w:hAnsi="华文细黑" w:cs="微软雅黑"/>
          <w:b/>
          <w:bCs/>
          <w:sz w:val="18"/>
          <w:szCs w:val="18"/>
          <w:lang w:eastAsia="zh-CN"/>
        </w:rPr>
        <w:t>：可比企业完全成本加成率四分位区间表</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通过上述交易净利润法分析，</w:t>
      </w:r>
      <w:r w:rsidRPr="00382AAF">
        <w:rPr>
          <w:rFonts w:ascii="华文细黑" w:eastAsia="华文细黑" w:hAnsi="华文细黑" w:cs="Arial"/>
          <w:sz w:val="22"/>
          <w:szCs w:val="22"/>
          <w:lang w:eastAsia="zh-CN"/>
        </w:rPr>
        <w:t>2021</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2023</w:t>
      </w:r>
      <w:r w:rsidRPr="00382AAF">
        <w:rPr>
          <w:rFonts w:ascii="华文细黑" w:eastAsia="华文细黑" w:hAnsi="华文细黑" w:cs="微软雅黑"/>
          <w:sz w:val="22"/>
          <w:szCs w:val="22"/>
          <w:lang w:eastAsia="zh-CN"/>
        </w:rPr>
        <w:t>财年加权平均完全成本加成率独立交易区间为</w:t>
      </w:r>
      <w:r w:rsidRPr="00382AAF">
        <w:rPr>
          <w:rFonts w:ascii="华文细黑" w:eastAsia="华文细黑" w:hAnsi="华文细黑" w:cs="Arial"/>
          <w:sz w:val="22"/>
          <w:szCs w:val="22"/>
          <w:lang w:eastAsia="zh-CN"/>
        </w:rPr>
        <w:t>3.00%</w:t>
      </w:r>
      <w:r w:rsidRPr="00382AAF">
        <w:rPr>
          <w:rFonts w:ascii="华文细黑" w:eastAsia="华文细黑" w:hAnsi="华文细黑" w:cs="微软雅黑"/>
          <w:sz w:val="22"/>
          <w:szCs w:val="22"/>
          <w:lang w:eastAsia="zh-CN"/>
        </w:rPr>
        <w:t>到</w:t>
      </w:r>
      <w:r w:rsidRPr="00382AAF">
        <w:rPr>
          <w:rFonts w:ascii="华文细黑" w:eastAsia="华文细黑" w:hAnsi="华文细黑" w:cs="Arial"/>
          <w:sz w:val="22"/>
          <w:szCs w:val="22"/>
          <w:lang w:eastAsia="zh-CN"/>
        </w:rPr>
        <w:t>12.74%</w:t>
      </w:r>
      <w:r w:rsidRPr="00382AAF">
        <w:rPr>
          <w:rFonts w:ascii="华文细黑" w:eastAsia="华文细黑" w:hAnsi="华文细黑" w:cs="微软雅黑"/>
          <w:sz w:val="22"/>
          <w:szCs w:val="22"/>
          <w:lang w:eastAsia="zh-CN"/>
        </w:rPr>
        <w:t>，中位值为</w:t>
      </w:r>
      <w:r w:rsidRPr="00382AAF">
        <w:rPr>
          <w:rFonts w:ascii="华文细黑" w:eastAsia="华文细黑" w:hAnsi="华文细黑" w:cs="Arial"/>
          <w:sz w:val="22"/>
          <w:szCs w:val="22"/>
          <w:lang w:eastAsia="zh-CN"/>
        </w:rPr>
        <w:t>8.41%</w:t>
      </w:r>
      <w:r w:rsidRPr="00382AAF">
        <w:rPr>
          <w:rFonts w:ascii="华文细黑" w:eastAsia="华文细黑" w:hAnsi="华文细黑" w:cs="微软雅黑"/>
          <w:sz w:val="22"/>
          <w:szCs w:val="22"/>
          <w:lang w:eastAsia="zh-CN"/>
        </w:rPr>
        <w:t>。</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技术在关联销售中的完全成本加成率为</w:t>
      </w:r>
      <w:r w:rsidRPr="00382AAF">
        <w:rPr>
          <w:rFonts w:ascii="华文细黑" w:eastAsia="华文细黑" w:hAnsi="华文细黑" w:cs="Arial"/>
          <w:sz w:val="22"/>
          <w:szCs w:val="22"/>
          <w:lang w:eastAsia="zh-CN"/>
        </w:rPr>
        <w:t>22.93%</w:t>
      </w:r>
      <w:r w:rsidRPr="00382AAF">
        <w:rPr>
          <w:rFonts w:ascii="华文细黑" w:eastAsia="华文细黑" w:hAnsi="华文细黑" w:cs="微软雅黑"/>
          <w:sz w:val="22"/>
          <w:szCs w:val="22"/>
          <w:lang w:eastAsia="zh-CN"/>
        </w:rPr>
        <w:t>，在非关联销售中的完全成本加成率为</w:t>
      </w:r>
      <w:r w:rsidRPr="00382AAF">
        <w:rPr>
          <w:rFonts w:ascii="华文细黑" w:eastAsia="华文细黑" w:hAnsi="华文细黑" w:cs="Arial"/>
          <w:sz w:val="22"/>
          <w:szCs w:val="22"/>
          <w:lang w:eastAsia="zh-CN"/>
        </w:rPr>
        <w:t>21.63%</w:t>
      </w:r>
      <w:r w:rsidRPr="00382AAF">
        <w:rPr>
          <w:rFonts w:ascii="华文细黑" w:eastAsia="华文细黑" w:hAnsi="华文细黑" w:cs="微软雅黑"/>
          <w:sz w:val="22"/>
          <w:szCs w:val="22"/>
          <w:lang w:eastAsia="zh-CN"/>
        </w:rPr>
        <w:t>，均高于可比公司完全成本加成率的中位值。</w:t>
      </w:r>
    </w:p>
    <w:p w:rsidR="00152594" w:rsidRPr="00382AAF" w:rsidRDefault="00382AAF">
      <w:pPr>
        <w:pStyle w:val="BodyText"/>
        <w:spacing w:before="120"/>
        <w:ind w:left="119" w:right="113" w:firstLine="440"/>
        <w:jc w:val="both"/>
        <w:rPr>
          <w:rFonts w:ascii="华文细黑" w:eastAsia="华文细黑" w:hAnsi="华文细黑"/>
          <w:sz w:val="22"/>
          <w:szCs w:val="22"/>
          <w:lang w:eastAsia="zh-CN"/>
        </w:rPr>
      </w:pPr>
      <w:r w:rsidRPr="00382AAF">
        <w:rPr>
          <w:rFonts w:ascii="华文细黑" w:eastAsia="华文细黑" w:hAnsi="华文细黑" w:cs="微软雅黑"/>
          <w:sz w:val="22"/>
          <w:szCs w:val="22"/>
          <w:lang w:eastAsia="zh-CN"/>
        </w:rPr>
        <w:t>因此，从中国转让定价的角度，</w:t>
      </w:r>
      <w:r w:rsidRPr="00382AAF">
        <w:rPr>
          <w:rFonts w:ascii="华文细黑" w:eastAsia="华文细黑" w:hAnsi="华文细黑" w:cs="Arial"/>
          <w:sz w:val="22"/>
          <w:szCs w:val="22"/>
          <w:lang w:eastAsia="zh-CN"/>
        </w:rPr>
        <w:t>斯必克流体</w:t>
      </w:r>
      <w:r w:rsidRPr="00382AAF">
        <w:rPr>
          <w:rFonts w:ascii="华文细黑" w:eastAsia="华文细黑" w:hAnsi="华文细黑" w:cs="微软雅黑"/>
          <w:sz w:val="22"/>
          <w:szCs w:val="22"/>
          <w:lang w:eastAsia="zh-CN"/>
        </w:rPr>
        <w:t>技术的关联交易的定价符合独立交易原则。</w:t>
      </w:r>
    </w:p>
    <w:p w:rsidR="00152594" w:rsidRPr="00382AAF" w:rsidRDefault="00152594">
      <w:pPr>
        <w:pStyle w:val="BodyText"/>
        <w:rPr>
          <w:rFonts w:ascii="华文细黑" w:eastAsia="华文细黑" w:hAnsi="华文细黑"/>
          <w:lang w:eastAsia="zh-CN"/>
        </w:rPr>
      </w:pPr>
    </w:p>
    <w:sectPr w:rsidR="00152594" w:rsidRPr="00382AA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505F" w:rsidRDefault="00F7505F">
      <w:r>
        <w:separator/>
      </w:r>
    </w:p>
  </w:endnote>
  <w:endnote w:type="continuationSeparator" w:id="0">
    <w:p w:rsidR="00F7505F" w:rsidRDefault="00F75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仿宋_GB2312">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505F" w:rsidRDefault="00F7505F">
      <w:r>
        <w:separator/>
      </w:r>
    </w:p>
  </w:footnote>
  <w:footnote w:type="continuationSeparator" w:id="0">
    <w:p w:rsidR="00F7505F" w:rsidRDefault="00F7505F">
      <w:r>
        <w:continuationSeparator/>
      </w:r>
    </w:p>
  </w:footnote>
  <w:footnote w:id="1">
    <w:p w:rsidR="00382AAF" w:rsidRDefault="00382AAF">
      <w:pPr>
        <w:pStyle w:val="BodyText"/>
        <w:widowControl w:val="0"/>
        <w:spacing w:after="0"/>
        <w:ind w:left="119" w:right="113"/>
        <w:jc w:val="both"/>
        <w:rPr>
          <w:rFonts w:ascii="Arial" w:eastAsia="Arial" w:hAnsi="Arial" w:cs="Arial"/>
          <w:color w:val="000000"/>
          <w:sz w:val="11"/>
          <w:szCs w:val="11"/>
          <w:vertAlign w:val="superscript"/>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rPr>
        <w:t xml:space="preserve"> 资料来源：</w:t>
      </w:r>
      <w:r>
        <w:rPr>
          <w:rFonts w:ascii="Arial" w:eastAsia="Arial" w:hAnsi="Arial" w:cs="Arial"/>
          <w:sz w:val="16"/>
          <w:szCs w:val="16"/>
        </w:rPr>
        <w:t>斯必克流体</w:t>
      </w:r>
      <w:r>
        <w:rPr>
          <w:rFonts w:ascii="微软雅黑" w:eastAsia="微软雅黑" w:hAnsi="微软雅黑" w:cs="微软雅黑"/>
          <w:sz w:val="16"/>
          <w:szCs w:val="16"/>
        </w:rPr>
        <w:t>集团官方网站，</w:t>
      </w:r>
      <w:r>
        <w:rPr>
          <w:rFonts w:ascii="Arial" w:eastAsia="Arial" w:hAnsi="Arial" w:cs="Arial"/>
          <w:sz w:val="16"/>
          <w:szCs w:val="16"/>
        </w:rPr>
        <w:t>https://www.spxflow.com/about/our-company</w:t>
      </w:r>
    </w:p>
  </w:footnote>
  <w:footnote w:id="2">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w:t>
      </w:r>
      <w:r>
        <w:rPr>
          <w:rFonts w:ascii="Arial" w:eastAsia="Arial" w:hAnsi="Arial" w:cs="Arial"/>
          <w:sz w:val="16"/>
          <w:szCs w:val="16"/>
          <w:lang w:eastAsia="zh-CN"/>
        </w:rPr>
        <w:t>2024</w:t>
      </w:r>
      <w:r>
        <w:rPr>
          <w:rFonts w:ascii="微软雅黑" w:eastAsia="微软雅黑" w:hAnsi="微软雅黑" w:cs="微软雅黑"/>
          <w:sz w:val="16"/>
          <w:szCs w:val="16"/>
          <w:lang w:eastAsia="zh-CN"/>
        </w:rPr>
        <w:t>年度审计报告</w:t>
      </w:r>
    </w:p>
  </w:footnote>
  <w:footnote w:id="3">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技术管理层</w:t>
      </w:r>
    </w:p>
  </w:footnote>
  <w:footnote w:id="4">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w:t>
      </w:r>
      <w:r>
        <w:rPr>
          <w:rFonts w:ascii="Arial" w:eastAsia="Arial" w:hAnsi="Arial" w:cs="Arial"/>
          <w:sz w:val="16"/>
          <w:szCs w:val="16"/>
          <w:lang w:eastAsia="zh-CN"/>
        </w:rPr>
        <w:t>2024</w:t>
      </w:r>
      <w:r>
        <w:rPr>
          <w:rFonts w:ascii="微软雅黑" w:eastAsia="微软雅黑" w:hAnsi="微软雅黑" w:cs="微软雅黑"/>
          <w:sz w:val="16"/>
          <w:szCs w:val="16"/>
          <w:lang w:eastAsia="zh-CN"/>
        </w:rPr>
        <w:t>年度审计报告</w:t>
      </w:r>
    </w:p>
  </w:footnote>
  <w:footnote w:id="5">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OECD</w:t>
      </w:r>
      <w:r>
        <w:rPr>
          <w:rFonts w:ascii="微软雅黑" w:eastAsia="微软雅黑" w:hAnsi="微软雅黑" w:cs="微软雅黑"/>
          <w:sz w:val="16"/>
          <w:szCs w:val="16"/>
          <w:lang w:eastAsia="zh-CN"/>
        </w:rPr>
        <w:t>跨国企业与税务机关转让定价指南》，第</w:t>
      </w:r>
      <w:r>
        <w:rPr>
          <w:rFonts w:ascii="Arial" w:eastAsia="Arial" w:hAnsi="Arial" w:cs="Arial"/>
          <w:sz w:val="16"/>
          <w:szCs w:val="16"/>
          <w:lang w:eastAsia="zh-CN"/>
        </w:rPr>
        <w:t>V</w:t>
      </w:r>
      <w:r>
        <w:rPr>
          <w:rFonts w:ascii="微软雅黑" w:eastAsia="微软雅黑" w:hAnsi="微软雅黑" w:cs="微软雅黑"/>
          <w:sz w:val="16"/>
          <w:szCs w:val="16"/>
          <w:lang w:eastAsia="zh-CN"/>
        </w:rPr>
        <w:t>章，</w:t>
      </w:r>
      <w:r>
        <w:rPr>
          <w:rFonts w:ascii="Arial" w:eastAsia="Arial" w:hAnsi="Arial" w:cs="Arial"/>
          <w:sz w:val="16"/>
          <w:szCs w:val="16"/>
          <w:lang w:eastAsia="zh-CN"/>
        </w:rPr>
        <w:t>C</w:t>
      </w:r>
      <w:r>
        <w:rPr>
          <w:rFonts w:ascii="微软雅黑" w:eastAsia="微软雅黑" w:hAnsi="微软雅黑" w:cs="微软雅黑"/>
          <w:sz w:val="16"/>
          <w:szCs w:val="16"/>
          <w:lang w:eastAsia="zh-CN"/>
        </w:rPr>
        <w:t>部分，第</w:t>
      </w:r>
      <w:r>
        <w:rPr>
          <w:rFonts w:ascii="Arial" w:eastAsia="Arial" w:hAnsi="Arial" w:cs="Arial"/>
          <w:sz w:val="16"/>
          <w:szCs w:val="16"/>
          <w:lang w:eastAsia="zh-CN"/>
        </w:rPr>
        <w:t>5.22</w:t>
      </w:r>
      <w:r>
        <w:rPr>
          <w:rFonts w:ascii="微软雅黑" w:eastAsia="微软雅黑" w:hAnsi="微软雅黑" w:cs="微软雅黑"/>
          <w:sz w:val="16"/>
          <w:szCs w:val="16"/>
          <w:lang w:eastAsia="zh-CN"/>
        </w:rPr>
        <w:t>段落</w:t>
      </w:r>
    </w:p>
  </w:footnote>
  <w:footnote w:id="6">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技术管理层</w:t>
      </w:r>
    </w:p>
  </w:footnote>
  <w:footnote w:id="7">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w:t>
      </w:r>
      <w:r>
        <w:rPr>
          <w:rFonts w:ascii="Arial" w:eastAsia="Arial" w:hAnsi="Arial" w:cs="Arial"/>
          <w:sz w:val="16"/>
          <w:szCs w:val="16"/>
          <w:lang w:eastAsia="zh-CN"/>
        </w:rPr>
        <w:t>2024</w:t>
      </w:r>
      <w:r>
        <w:rPr>
          <w:rFonts w:ascii="微软雅黑" w:eastAsia="微软雅黑" w:hAnsi="微软雅黑" w:cs="微软雅黑"/>
          <w:sz w:val="16"/>
          <w:szCs w:val="16"/>
          <w:lang w:eastAsia="zh-CN"/>
        </w:rPr>
        <w:t>年度审计报告</w:t>
      </w:r>
    </w:p>
  </w:footnote>
  <w:footnote w:id="8">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w:t>
      </w:r>
      <w:r>
        <w:rPr>
          <w:rFonts w:ascii="Arial" w:eastAsia="Arial" w:hAnsi="Arial" w:cs="Arial"/>
          <w:sz w:val="16"/>
          <w:szCs w:val="16"/>
          <w:lang w:eastAsia="zh-CN"/>
        </w:rPr>
        <w:t>2024</w:t>
      </w:r>
      <w:r>
        <w:rPr>
          <w:rFonts w:ascii="微软雅黑" w:eastAsia="微软雅黑" w:hAnsi="微软雅黑" w:cs="微软雅黑"/>
          <w:sz w:val="16"/>
          <w:szCs w:val="16"/>
          <w:lang w:eastAsia="zh-CN"/>
        </w:rPr>
        <w:t>年度审计报告</w:t>
      </w:r>
    </w:p>
  </w:footnote>
  <w:footnote w:id="9">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w:t>
      </w:r>
      <w:r>
        <w:rPr>
          <w:rFonts w:ascii="Arial" w:eastAsia="Arial" w:hAnsi="Arial" w:cs="Arial"/>
          <w:sz w:val="16"/>
          <w:szCs w:val="16"/>
          <w:lang w:eastAsia="zh-CN"/>
        </w:rPr>
        <w:t>2024</w:t>
      </w:r>
      <w:r>
        <w:rPr>
          <w:rFonts w:ascii="微软雅黑" w:eastAsia="微软雅黑" w:hAnsi="微软雅黑" w:cs="微软雅黑"/>
          <w:sz w:val="16"/>
          <w:szCs w:val="16"/>
          <w:lang w:eastAsia="zh-CN"/>
        </w:rPr>
        <w:t>年度审计报告及关联业务往来报告表</w:t>
      </w:r>
    </w:p>
  </w:footnote>
  <w:footnote w:id="10">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w:t>
      </w:r>
      <w:r>
        <w:rPr>
          <w:rFonts w:ascii="Arial" w:eastAsia="Arial" w:hAnsi="Arial" w:cs="Arial"/>
          <w:sz w:val="16"/>
          <w:szCs w:val="16"/>
          <w:lang w:eastAsia="zh-CN"/>
        </w:rPr>
        <w:t>2024</w:t>
      </w:r>
      <w:r>
        <w:rPr>
          <w:rFonts w:ascii="微软雅黑" w:eastAsia="微软雅黑" w:hAnsi="微软雅黑" w:cs="微软雅黑"/>
          <w:sz w:val="16"/>
          <w:szCs w:val="16"/>
          <w:lang w:eastAsia="zh-CN"/>
        </w:rPr>
        <w:t>年度审计报告及关联业务往来报告表</w:t>
      </w:r>
    </w:p>
  </w:footnote>
  <w:footnote w:id="11">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1"/>
          <w:szCs w:val="11"/>
          <w:vertAlign w:val="superscript"/>
          <w:lang w:eastAsia="zh-CN"/>
        </w:rPr>
        <w:t xml:space="preserve"> </w:t>
      </w:r>
      <w:r>
        <w:rPr>
          <w:rFonts w:ascii="微软雅黑" w:eastAsia="微软雅黑" w:hAnsi="微软雅黑" w:cs="微软雅黑"/>
          <w:sz w:val="16"/>
          <w:szCs w:val="16"/>
          <w:lang w:eastAsia="zh-CN"/>
        </w:rPr>
        <w:t>《</w:t>
      </w:r>
      <w:r>
        <w:rPr>
          <w:rFonts w:ascii="Arial" w:eastAsia="Arial" w:hAnsi="Arial" w:cs="Arial"/>
          <w:sz w:val="16"/>
          <w:szCs w:val="16"/>
          <w:lang w:eastAsia="zh-CN"/>
        </w:rPr>
        <w:t xml:space="preserve">OECD </w:t>
      </w:r>
      <w:r>
        <w:rPr>
          <w:rFonts w:ascii="微软雅黑" w:eastAsia="微软雅黑" w:hAnsi="微软雅黑" w:cs="微软雅黑"/>
          <w:sz w:val="16"/>
          <w:szCs w:val="16"/>
          <w:lang w:eastAsia="zh-CN"/>
        </w:rPr>
        <w:t xml:space="preserve">跨国企业与税务机关转让定价指南》，第 </w:t>
      </w:r>
      <w:r>
        <w:rPr>
          <w:rFonts w:ascii="Arial" w:eastAsia="Arial" w:hAnsi="Arial" w:cs="Arial"/>
          <w:sz w:val="16"/>
          <w:szCs w:val="16"/>
          <w:lang w:eastAsia="zh-CN"/>
        </w:rPr>
        <w:t xml:space="preserve">III </w:t>
      </w:r>
      <w:r>
        <w:rPr>
          <w:rFonts w:ascii="微软雅黑" w:eastAsia="微软雅黑" w:hAnsi="微软雅黑" w:cs="微软雅黑"/>
          <w:sz w:val="16"/>
          <w:szCs w:val="16"/>
          <w:lang w:eastAsia="zh-CN"/>
        </w:rPr>
        <w:t>章，</w:t>
      </w:r>
      <w:r>
        <w:rPr>
          <w:rFonts w:ascii="Arial" w:eastAsia="Arial" w:hAnsi="Arial" w:cs="Arial"/>
          <w:sz w:val="16"/>
          <w:szCs w:val="16"/>
          <w:lang w:eastAsia="zh-CN"/>
        </w:rPr>
        <w:t xml:space="preserve">A </w:t>
      </w:r>
      <w:r>
        <w:rPr>
          <w:rFonts w:ascii="微软雅黑" w:eastAsia="微软雅黑" w:hAnsi="微软雅黑" w:cs="微软雅黑"/>
          <w:sz w:val="16"/>
          <w:szCs w:val="16"/>
          <w:lang w:eastAsia="zh-CN"/>
        </w:rPr>
        <w:t xml:space="preserve">部分，第 </w:t>
      </w:r>
      <w:r>
        <w:rPr>
          <w:rFonts w:ascii="Arial" w:eastAsia="Arial" w:hAnsi="Arial" w:cs="Arial"/>
          <w:sz w:val="16"/>
          <w:szCs w:val="16"/>
          <w:lang w:eastAsia="zh-CN"/>
        </w:rPr>
        <w:t xml:space="preserve">3.9 </w:t>
      </w:r>
      <w:r>
        <w:rPr>
          <w:rFonts w:ascii="微软雅黑" w:eastAsia="微软雅黑" w:hAnsi="微软雅黑" w:cs="微软雅黑"/>
          <w:sz w:val="16"/>
          <w:szCs w:val="16"/>
          <w:lang w:eastAsia="zh-CN"/>
        </w:rPr>
        <w:t>段落</w:t>
      </w:r>
    </w:p>
  </w:footnote>
  <w:footnote w:id="12">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技术管理层</w:t>
      </w:r>
    </w:p>
  </w:footnote>
  <w:footnote w:id="13">
    <w:p w:rsidR="00382AAF" w:rsidRDefault="00382AAF">
      <w:pPr>
        <w:pStyle w:val="BodyText"/>
        <w:widowControl w:val="0"/>
        <w:spacing w:after="0"/>
        <w:ind w:left="119" w:right="113"/>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1"/>
          <w:szCs w:val="11"/>
          <w:vertAlign w:val="superscript"/>
          <w:lang w:eastAsia="zh-CN"/>
        </w:rPr>
        <w:t xml:space="preserve"> </w:t>
      </w:r>
      <w:r>
        <w:rPr>
          <w:rFonts w:ascii="微软雅黑" w:eastAsia="微软雅黑" w:hAnsi="微软雅黑" w:cs="微软雅黑"/>
          <w:sz w:val="16"/>
          <w:szCs w:val="16"/>
          <w:lang w:eastAsia="zh-CN"/>
        </w:rPr>
        <w:t>资料来源：《联合国发展中国家转让定价操作手册》，第</w:t>
      </w:r>
      <w:r>
        <w:rPr>
          <w:rFonts w:ascii="Arial" w:eastAsia="Arial" w:hAnsi="Arial" w:cs="Arial"/>
          <w:sz w:val="16"/>
          <w:szCs w:val="16"/>
          <w:lang w:eastAsia="zh-CN"/>
        </w:rPr>
        <w:t>10</w:t>
      </w:r>
      <w:r>
        <w:rPr>
          <w:rFonts w:ascii="微软雅黑" w:eastAsia="微软雅黑" w:hAnsi="微软雅黑" w:cs="微软雅黑"/>
          <w:sz w:val="16"/>
          <w:szCs w:val="16"/>
          <w:lang w:eastAsia="zh-CN"/>
        </w:rPr>
        <w:t>章，第</w:t>
      </w:r>
      <w:r>
        <w:rPr>
          <w:rFonts w:ascii="Arial" w:eastAsia="Arial" w:hAnsi="Arial" w:cs="Arial"/>
          <w:sz w:val="16"/>
          <w:szCs w:val="16"/>
          <w:lang w:eastAsia="zh-CN"/>
        </w:rPr>
        <w:t>10.3.3.2</w:t>
      </w:r>
      <w:r>
        <w:rPr>
          <w:rFonts w:ascii="微软雅黑" w:eastAsia="微软雅黑" w:hAnsi="微软雅黑" w:cs="微软雅黑"/>
          <w:sz w:val="16"/>
          <w:szCs w:val="16"/>
          <w:lang w:eastAsia="zh-CN"/>
        </w:rPr>
        <w:t>段落</w:t>
      </w:r>
    </w:p>
  </w:footnote>
  <w:footnote w:id="14">
    <w:p w:rsidR="00382AAF" w:rsidRDefault="00382AAF">
      <w:pPr>
        <w:pStyle w:val="BodyText"/>
        <w:widowControl w:val="0"/>
        <w:spacing w:after="0"/>
        <w:ind w:left="119" w:right="113"/>
        <w:jc w:val="both"/>
        <w:rPr>
          <w:rFonts w:ascii="Arial" w:eastAsia="Arial" w:hAnsi="Arial" w:cs="Arial"/>
          <w:color w:val="000000"/>
          <w:sz w:val="11"/>
          <w:szCs w:val="11"/>
          <w:vertAlign w:val="superscript"/>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rPr>
        <w:t xml:space="preserve"> 《</w:t>
      </w:r>
      <w:r>
        <w:rPr>
          <w:rFonts w:ascii="Arial" w:eastAsia="Arial" w:hAnsi="Arial" w:cs="Arial"/>
          <w:sz w:val="16"/>
          <w:szCs w:val="16"/>
        </w:rPr>
        <w:t>2022/23</w:t>
      </w:r>
      <w:r>
        <w:rPr>
          <w:rFonts w:ascii="微软雅黑" w:eastAsia="微软雅黑" w:hAnsi="微软雅黑" w:cs="微软雅黑"/>
          <w:sz w:val="16"/>
          <w:szCs w:val="16"/>
        </w:rPr>
        <w:t>国际工资报告》，</w:t>
      </w:r>
      <w:r>
        <w:rPr>
          <w:rFonts w:ascii="Arial" w:eastAsia="Arial" w:hAnsi="Arial" w:cs="Arial"/>
          <w:sz w:val="16"/>
          <w:szCs w:val="16"/>
        </w:rPr>
        <w:t>https://www.ilo.org/sites/default/files/wcmsp5/groups/public/@asia/@ro-bangkok/@ilo-beijing/documents/publication/wcms_886275.pdf</w:t>
      </w:r>
    </w:p>
  </w:footnote>
  <w:footnote w:id="15">
    <w:p w:rsidR="00382AAF" w:rsidRDefault="00382AAF">
      <w:pPr>
        <w:pStyle w:val="BodyText"/>
        <w:widowControl w:val="0"/>
        <w:spacing w:after="0"/>
        <w:ind w:left="119" w:right="113"/>
        <w:rPr>
          <w:rFonts w:ascii="Arial" w:eastAsia="Arial" w:hAnsi="Arial" w:cs="Arial"/>
          <w:color w:val="000000"/>
          <w:sz w:val="11"/>
          <w:szCs w:val="11"/>
          <w:vertAlign w:val="superscript"/>
        </w:rPr>
      </w:pPr>
      <w:r>
        <w:rPr>
          <w:rStyle w:val="FootnoteReference"/>
          <w:rFonts w:ascii="Arial" w:eastAsia="Arial" w:hAnsi="Arial" w:cs="Arial"/>
          <w:color w:val="000000"/>
          <w:sz w:val="11"/>
          <w:szCs w:val="11"/>
        </w:rPr>
        <w:footnoteRef/>
      </w:r>
      <w:r>
        <w:rPr>
          <w:rFonts w:ascii="Arial" w:eastAsia="Arial" w:hAnsi="Arial" w:cs="Arial"/>
          <w:sz w:val="11"/>
          <w:szCs w:val="11"/>
          <w:vertAlign w:val="superscript"/>
        </w:rPr>
        <w:t xml:space="preserve"> </w:t>
      </w:r>
      <w:bookmarkStart w:id="163" w:name="_Hlk169895110"/>
      <w:r>
        <w:rPr>
          <w:rFonts w:ascii="微软雅黑" w:eastAsia="微软雅黑" w:hAnsi="微软雅黑" w:cs="微软雅黑"/>
          <w:sz w:val="16"/>
          <w:szCs w:val="16"/>
        </w:rPr>
        <w:t>资料来源：《全国各省、自治区、直辖市最低工资标准情况（截至</w:t>
      </w:r>
      <w:r>
        <w:rPr>
          <w:rFonts w:ascii="Arial" w:eastAsia="Arial" w:hAnsi="Arial" w:cs="Arial"/>
          <w:sz w:val="16"/>
          <w:szCs w:val="16"/>
        </w:rPr>
        <w:t>2025</w:t>
      </w:r>
      <w:r>
        <w:rPr>
          <w:rFonts w:ascii="微软雅黑" w:eastAsia="微软雅黑" w:hAnsi="微软雅黑" w:cs="微软雅黑"/>
          <w:sz w:val="16"/>
          <w:szCs w:val="16"/>
        </w:rPr>
        <w:t>年</w:t>
      </w:r>
      <w:r>
        <w:rPr>
          <w:rFonts w:ascii="Arial" w:eastAsia="Arial" w:hAnsi="Arial" w:cs="Arial"/>
          <w:sz w:val="16"/>
          <w:szCs w:val="16"/>
        </w:rPr>
        <w:t>1</w:t>
      </w:r>
      <w:r>
        <w:rPr>
          <w:rFonts w:ascii="微软雅黑" w:eastAsia="微软雅黑" w:hAnsi="微软雅黑" w:cs="微软雅黑"/>
          <w:sz w:val="16"/>
          <w:szCs w:val="16"/>
        </w:rPr>
        <w:t>月</w:t>
      </w:r>
      <w:r>
        <w:rPr>
          <w:rFonts w:ascii="Arial" w:eastAsia="Arial" w:hAnsi="Arial" w:cs="Arial"/>
          <w:sz w:val="16"/>
          <w:szCs w:val="16"/>
        </w:rPr>
        <w:t>1</w:t>
      </w:r>
      <w:r>
        <w:rPr>
          <w:rFonts w:ascii="微软雅黑" w:eastAsia="微软雅黑" w:hAnsi="微软雅黑" w:cs="微软雅黑"/>
          <w:sz w:val="16"/>
          <w:szCs w:val="16"/>
        </w:rPr>
        <w:t>日）》，</w:t>
      </w:r>
      <w:bookmarkStart w:id="164" w:name="OLE_LINK3"/>
      <w:r>
        <w:rPr>
          <w:rFonts w:ascii="Arial" w:eastAsia="Arial" w:hAnsi="Arial" w:cs="Arial"/>
          <w:sz w:val="16"/>
          <w:szCs w:val="16"/>
        </w:rPr>
        <w:t>https://www.mohrss.gov.cn/SYrlzyhshbzb/laodongguanxi_/fwyd/202501/t20250114_534601.html</w:t>
      </w:r>
      <w:bookmarkEnd w:id="163"/>
      <w:bookmarkEnd w:id="164"/>
    </w:p>
  </w:footnote>
  <w:footnote w:id="16">
    <w:p w:rsidR="00382AAF" w:rsidRDefault="00382AAF">
      <w:pPr>
        <w:pStyle w:val="BodyText"/>
        <w:widowControl w:val="0"/>
        <w:spacing w:after="0"/>
        <w:ind w:left="119" w:right="113"/>
        <w:rPr>
          <w:rFonts w:ascii="Arial" w:eastAsia="Arial" w:hAnsi="Arial" w:cs="Arial"/>
          <w:color w:val="000000"/>
          <w:sz w:val="11"/>
          <w:szCs w:val="11"/>
          <w:vertAlign w:val="superscript"/>
        </w:rPr>
      </w:pPr>
      <w:r>
        <w:rPr>
          <w:rStyle w:val="FootnoteReference"/>
          <w:rFonts w:ascii="Arial" w:eastAsia="Arial" w:hAnsi="Arial" w:cs="Arial"/>
          <w:color w:val="000000"/>
          <w:sz w:val="11"/>
          <w:szCs w:val="11"/>
        </w:rPr>
        <w:footnoteRef/>
      </w:r>
      <w:r>
        <w:rPr>
          <w:rFonts w:ascii="Arial" w:eastAsia="Arial" w:hAnsi="Arial" w:cs="Arial"/>
          <w:sz w:val="11"/>
          <w:szCs w:val="11"/>
          <w:vertAlign w:val="superscript"/>
        </w:rPr>
        <w:t xml:space="preserve"> </w:t>
      </w:r>
      <w:r>
        <w:rPr>
          <w:rFonts w:ascii="微软雅黑" w:eastAsia="微软雅黑" w:hAnsi="微软雅黑" w:cs="微软雅黑"/>
          <w:sz w:val="16"/>
          <w:szCs w:val="16"/>
        </w:rPr>
        <w:t>资料来源：国家统计局《</w:t>
      </w:r>
      <w:r>
        <w:rPr>
          <w:rFonts w:ascii="Arial" w:eastAsia="Arial" w:hAnsi="Arial" w:cs="Arial"/>
          <w:sz w:val="16"/>
          <w:szCs w:val="16"/>
        </w:rPr>
        <w:t>2024</w:t>
      </w:r>
      <w:r>
        <w:rPr>
          <w:rFonts w:ascii="微软雅黑" w:eastAsia="微软雅黑" w:hAnsi="微软雅黑" w:cs="微软雅黑"/>
          <w:sz w:val="16"/>
          <w:szCs w:val="16"/>
        </w:rPr>
        <w:t>年城镇单位就业人员年平均工资情况》，</w:t>
      </w:r>
      <w:bookmarkStart w:id="166" w:name="OLE_LINK5"/>
      <w:r>
        <w:rPr>
          <w:rFonts w:ascii="Arial" w:eastAsia="Arial" w:hAnsi="Arial" w:cs="Arial"/>
          <w:sz w:val="16"/>
          <w:szCs w:val="16"/>
        </w:rPr>
        <w:t>https://www.stats.gov.cn/sj/zxfb/202505/t20250516_1959826.html</w:t>
      </w:r>
      <w:bookmarkEnd w:id="166"/>
    </w:p>
  </w:footnote>
  <w:footnote w:id="17">
    <w:p w:rsidR="00382AAF" w:rsidRDefault="00382AAF">
      <w:pPr>
        <w:pStyle w:val="BodyText"/>
        <w:widowControl w:val="0"/>
        <w:spacing w:after="0"/>
        <w:ind w:left="119" w:right="113"/>
        <w:rPr>
          <w:rFonts w:ascii="Arial" w:eastAsia="Arial" w:hAnsi="Arial" w:cs="Arial"/>
          <w:color w:val="000000"/>
          <w:sz w:val="11"/>
          <w:szCs w:val="11"/>
          <w:vertAlign w:val="superscript"/>
        </w:rPr>
      </w:pPr>
      <w:r>
        <w:rPr>
          <w:rStyle w:val="FootnoteReference"/>
          <w:rFonts w:ascii="Arial" w:eastAsia="Arial" w:hAnsi="Arial" w:cs="Arial"/>
          <w:color w:val="000000"/>
          <w:sz w:val="11"/>
          <w:szCs w:val="11"/>
        </w:rPr>
        <w:footnoteRef/>
      </w:r>
      <w:r>
        <w:rPr>
          <w:rFonts w:ascii="Arial" w:eastAsia="Arial" w:hAnsi="Arial" w:cs="Arial"/>
          <w:sz w:val="16"/>
          <w:szCs w:val="16"/>
        </w:rPr>
        <w:t xml:space="preserve"> </w:t>
      </w:r>
      <w:r>
        <w:rPr>
          <w:rFonts w:ascii="微软雅黑" w:eastAsia="微软雅黑" w:hAnsi="微软雅黑" w:cs="微软雅黑"/>
          <w:sz w:val="16"/>
          <w:szCs w:val="16"/>
        </w:rPr>
        <w:t>资料来源：国家统计局《</w:t>
      </w:r>
      <w:r>
        <w:rPr>
          <w:rFonts w:ascii="Arial" w:eastAsia="Arial" w:hAnsi="Arial" w:cs="Arial"/>
          <w:sz w:val="16"/>
          <w:szCs w:val="16"/>
        </w:rPr>
        <w:t>2024</w:t>
      </w:r>
      <w:r>
        <w:rPr>
          <w:rFonts w:ascii="微软雅黑" w:eastAsia="微软雅黑" w:hAnsi="微软雅黑" w:cs="微软雅黑"/>
          <w:sz w:val="16"/>
          <w:szCs w:val="16"/>
        </w:rPr>
        <w:t>年城镇单位就业人员年平均工资情况》，</w:t>
      </w:r>
      <w:r>
        <w:rPr>
          <w:rFonts w:ascii="Arial" w:eastAsia="Arial" w:hAnsi="Arial" w:cs="Arial"/>
          <w:sz w:val="16"/>
          <w:szCs w:val="16"/>
        </w:rPr>
        <w:t>https://www.stats.gov.cn/sj/zxfb/202505/t20250516_1959826.html</w:t>
      </w:r>
    </w:p>
  </w:footnote>
  <w:footnote w:id="18">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1"/>
          <w:szCs w:val="11"/>
          <w:vertAlign w:val="superscript"/>
          <w:lang w:eastAsia="zh-CN"/>
        </w:rPr>
        <w:t xml:space="preserve"> </w:t>
      </w:r>
      <w:r>
        <w:rPr>
          <w:rFonts w:ascii="微软雅黑" w:eastAsia="微软雅黑" w:hAnsi="微软雅黑" w:cs="微软雅黑"/>
          <w:sz w:val="16"/>
          <w:szCs w:val="16"/>
          <w:lang w:eastAsia="zh-CN"/>
        </w:rPr>
        <w:t>资料来源：《联合国发展中国家转让定价操作手册》，第</w:t>
      </w:r>
      <w:r>
        <w:rPr>
          <w:rFonts w:ascii="Arial" w:eastAsia="Arial" w:hAnsi="Arial" w:cs="Arial"/>
          <w:sz w:val="16"/>
          <w:szCs w:val="16"/>
          <w:lang w:eastAsia="zh-CN"/>
        </w:rPr>
        <w:t>10</w:t>
      </w:r>
      <w:r>
        <w:rPr>
          <w:rFonts w:ascii="微软雅黑" w:eastAsia="微软雅黑" w:hAnsi="微软雅黑" w:cs="微软雅黑"/>
          <w:sz w:val="16"/>
          <w:szCs w:val="16"/>
          <w:lang w:eastAsia="zh-CN"/>
        </w:rPr>
        <w:t>章，第</w:t>
      </w:r>
      <w:r>
        <w:rPr>
          <w:rFonts w:ascii="Arial" w:eastAsia="Arial" w:hAnsi="Arial" w:cs="Arial"/>
          <w:sz w:val="16"/>
          <w:szCs w:val="16"/>
          <w:lang w:eastAsia="zh-CN"/>
        </w:rPr>
        <w:t>10.3.3.3</w:t>
      </w:r>
      <w:r>
        <w:rPr>
          <w:rFonts w:ascii="微软雅黑" w:eastAsia="微软雅黑" w:hAnsi="微软雅黑" w:cs="微软雅黑"/>
          <w:sz w:val="16"/>
          <w:szCs w:val="16"/>
          <w:lang w:eastAsia="zh-CN"/>
        </w:rPr>
        <w:t>段落</w:t>
      </w:r>
    </w:p>
  </w:footnote>
  <w:footnote w:id="19">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资料来源：《</w:t>
      </w:r>
      <w:r>
        <w:rPr>
          <w:rFonts w:ascii="Arial" w:eastAsia="Arial" w:hAnsi="Arial" w:cs="Arial"/>
          <w:sz w:val="16"/>
          <w:szCs w:val="16"/>
          <w:lang w:eastAsia="zh-CN"/>
        </w:rPr>
        <w:t>OECD</w:t>
      </w:r>
      <w:r>
        <w:rPr>
          <w:rFonts w:ascii="微软雅黑" w:eastAsia="微软雅黑" w:hAnsi="微软雅黑" w:cs="微软雅黑"/>
          <w:sz w:val="16"/>
          <w:szCs w:val="16"/>
          <w:lang w:eastAsia="zh-CN"/>
        </w:rPr>
        <w:t>转让定价指南》</w:t>
      </w:r>
      <w:r>
        <w:rPr>
          <w:rFonts w:ascii="Arial" w:eastAsia="Arial" w:hAnsi="Arial" w:cs="Arial"/>
          <w:sz w:val="16"/>
          <w:szCs w:val="16"/>
          <w:lang w:eastAsia="zh-CN"/>
        </w:rPr>
        <w:t>2.11</w:t>
      </w:r>
      <w:r>
        <w:rPr>
          <w:rFonts w:ascii="微软雅黑" w:eastAsia="微软雅黑" w:hAnsi="微软雅黑" w:cs="微软雅黑"/>
          <w:sz w:val="16"/>
          <w:szCs w:val="16"/>
          <w:lang w:eastAsia="zh-CN"/>
        </w:rPr>
        <w:t>章</w:t>
      </w:r>
    </w:p>
  </w:footnote>
  <w:footnote w:id="20">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w:t>
      </w:r>
      <w:r>
        <w:rPr>
          <w:rFonts w:ascii="Arial" w:eastAsia="Arial" w:hAnsi="Arial" w:cs="Arial"/>
          <w:sz w:val="16"/>
          <w:szCs w:val="16"/>
          <w:lang w:eastAsia="zh-CN"/>
        </w:rPr>
        <w:t>OECD</w:t>
      </w:r>
      <w:r>
        <w:rPr>
          <w:rFonts w:ascii="微软雅黑" w:eastAsia="微软雅黑" w:hAnsi="微软雅黑" w:cs="微软雅黑"/>
          <w:sz w:val="16"/>
          <w:szCs w:val="16"/>
          <w:lang w:eastAsia="zh-CN"/>
        </w:rPr>
        <w:t>转让定价指南》</w:t>
      </w:r>
      <w:r>
        <w:rPr>
          <w:rFonts w:ascii="Arial" w:eastAsia="Arial" w:hAnsi="Arial" w:cs="Arial"/>
          <w:sz w:val="16"/>
          <w:szCs w:val="16"/>
          <w:lang w:eastAsia="zh-CN"/>
        </w:rPr>
        <w:t>2.58</w:t>
      </w:r>
      <w:r>
        <w:rPr>
          <w:rFonts w:ascii="微软雅黑" w:eastAsia="微软雅黑" w:hAnsi="微软雅黑" w:cs="微软雅黑"/>
          <w:sz w:val="16"/>
          <w:szCs w:val="16"/>
          <w:lang w:eastAsia="zh-CN"/>
        </w:rPr>
        <w:t>章</w:t>
      </w:r>
    </w:p>
  </w:footnote>
  <w:footnote w:id="21">
    <w:p w:rsidR="00382AAF" w:rsidRDefault="00382AAF">
      <w:pPr>
        <w:pStyle w:val="BodyText"/>
        <w:widowControl w:val="0"/>
        <w:spacing w:after="0"/>
        <w:ind w:left="119" w:right="113"/>
        <w:jc w:val="both"/>
        <w:rPr>
          <w:color w:val="000000"/>
          <w:sz w:val="12"/>
          <w:szCs w:val="12"/>
          <w:vertAlign w:val="superscript"/>
          <w:lang w:eastAsia="zh-CN"/>
        </w:rPr>
      </w:pPr>
      <w:r>
        <w:rPr>
          <w:rStyle w:val="FootnoteReference"/>
          <w:rFonts w:eastAsia="Times New Roman"/>
          <w:color w:val="000000"/>
          <w:sz w:val="12"/>
          <w:szCs w:val="12"/>
        </w:rPr>
        <w:footnoteRef/>
      </w:r>
      <w:r>
        <w:rPr>
          <w:rFonts w:ascii="宋体" w:eastAsia="宋体" w:hAnsi="宋体" w:cs="宋体"/>
          <w:sz w:val="18"/>
          <w:szCs w:val="18"/>
          <w:lang w:eastAsia="zh-CN"/>
        </w:rPr>
        <w:t xml:space="preserve"> </w:t>
      </w:r>
      <w:r>
        <w:rPr>
          <w:rFonts w:ascii="微软雅黑" w:eastAsia="微软雅黑" w:hAnsi="微软雅黑" w:cs="微软雅黑"/>
          <w:sz w:val="16"/>
          <w:szCs w:val="16"/>
          <w:lang w:eastAsia="zh-CN"/>
        </w:rPr>
        <w:t>资料来源：</w:t>
      </w:r>
      <w:r>
        <w:rPr>
          <w:rFonts w:ascii="Arial" w:eastAsia="Arial" w:hAnsi="Arial" w:cs="Arial"/>
          <w:sz w:val="16"/>
          <w:szCs w:val="16"/>
          <w:lang w:eastAsia="zh-CN"/>
        </w:rPr>
        <w:t>斯必克流体</w:t>
      </w:r>
      <w:r>
        <w:rPr>
          <w:rFonts w:ascii="微软雅黑" w:eastAsia="微软雅黑" w:hAnsi="微软雅黑" w:cs="微软雅黑"/>
          <w:sz w:val="16"/>
          <w:szCs w:val="16"/>
          <w:lang w:eastAsia="zh-CN"/>
        </w:rPr>
        <w:t>技术关联业务往来报告表及管理层信息</w:t>
      </w:r>
    </w:p>
  </w:footnote>
  <w:footnote w:id="22">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在</w:t>
      </w:r>
      <w:r>
        <w:rPr>
          <w:rFonts w:ascii="Arial" w:eastAsia="Arial" w:hAnsi="Arial" w:cs="Arial"/>
          <w:sz w:val="16"/>
          <w:szCs w:val="16"/>
          <w:lang w:eastAsia="zh-CN"/>
        </w:rPr>
        <w:t>2005</w:t>
      </w:r>
      <w:r>
        <w:rPr>
          <w:rFonts w:ascii="微软雅黑" w:eastAsia="微软雅黑" w:hAnsi="微软雅黑" w:cs="微软雅黑"/>
          <w:sz w:val="16"/>
          <w:szCs w:val="16"/>
          <w:lang w:eastAsia="zh-CN"/>
        </w:rPr>
        <w:t>年</w:t>
      </w:r>
      <w:r>
        <w:rPr>
          <w:rFonts w:ascii="Arial" w:eastAsia="Arial" w:hAnsi="Arial" w:cs="Arial"/>
          <w:sz w:val="16"/>
          <w:szCs w:val="16"/>
          <w:lang w:eastAsia="zh-CN"/>
        </w:rPr>
        <w:t>3</w:t>
      </w:r>
      <w:r>
        <w:rPr>
          <w:rFonts w:ascii="微软雅黑" w:eastAsia="微软雅黑" w:hAnsi="微软雅黑" w:cs="微软雅黑"/>
          <w:sz w:val="16"/>
          <w:szCs w:val="16"/>
          <w:lang w:eastAsia="zh-CN"/>
        </w:rPr>
        <w:t>月</w:t>
      </w:r>
      <w:r>
        <w:rPr>
          <w:rFonts w:ascii="Arial" w:eastAsia="Arial" w:hAnsi="Arial" w:cs="Arial"/>
          <w:sz w:val="16"/>
          <w:szCs w:val="16"/>
          <w:lang w:eastAsia="zh-CN"/>
        </w:rPr>
        <w:t>25</w:t>
      </w:r>
      <w:r>
        <w:rPr>
          <w:rFonts w:ascii="微软雅黑" w:eastAsia="微软雅黑" w:hAnsi="微软雅黑" w:cs="微软雅黑"/>
          <w:sz w:val="16"/>
          <w:szCs w:val="16"/>
          <w:lang w:eastAsia="zh-CN"/>
        </w:rPr>
        <w:t>日由国税总局发布的国税函</w:t>
      </w:r>
      <w:r>
        <w:rPr>
          <w:rFonts w:ascii="Arial" w:eastAsia="Arial" w:hAnsi="Arial" w:cs="Arial"/>
          <w:sz w:val="16"/>
          <w:szCs w:val="16"/>
          <w:lang w:eastAsia="zh-CN"/>
        </w:rPr>
        <w:t>[2005]239</w:t>
      </w:r>
      <w:r>
        <w:rPr>
          <w:rFonts w:ascii="微软雅黑" w:eastAsia="微软雅黑" w:hAnsi="微软雅黑" w:cs="微软雅黑"/>
          <w:sz w:val="16"/>
          <w:szCs w:val="16"/>
          <w:lang w:eastAsia="zh-CN"/>
        </w:rPr>
        <w:t>号文（</w:t>
      </w:r>
      <w:r>
        <w:rPr>
          <w:rFonts w:ascii="Arial" w:eastAsia="Arial" w:hAnsi="Arial" w:cs="Arial"/>
          <w:sz w:val="16"/>
          <w:szCs w:val="16"/>
          <w:lang w:eastAsia="zh-CN"/>
        </w:rPr>
        <w:t>“</w:t>
      </w:r>
      <w:r>
        <w:rPr>
          <w:rFonts w:ascii="微软雅黑" w:eastAsia="微软雅黑" w:hAnsi="微软雅黑" w:cs="微软雅黑"/>
          <w:sz w:val="16"/>
          <w:szCs w:val="16"/>
          <w:lang w:eastAsia="zh-CN"/>
        </w:rPr>
        <w:t>国家税务总局关于</w:t>
      </w:r>
      <w:r>
        <w:rPr>
          <w:rFonts w:ascii="Arial" w:eastAsia="Arial" w:hAnsi="Arial" w:cs="Arial"/>
          <w:sz w:val="16"/>
          <w:szCs w:val="16"/>
          <w:lang w:eastAsia="zh-CN"/>
        </w:rPr>
        <w:t>2005</w:t>
      </w:r>
      <w:r>
        <w:rPr>
          <w:rFonts w:ascii="微软雅黑" w:eastAsia="微软雅黑" w:hAnsi="微软雅黑" w:cs="微软雅黑"/>
          <w:sz w:val="16"/>
          <w:szCs w:val="16"/>
          <w:lang w:eastAsia="zh-CN"/>
        </w:rPr>
        <w:t>年度反避税工作的通知</w:t>
      </w:r>
      <w:r>
        <w:rPr>
          <w:rFonts w:ascii="Arial" w:eastAsia="Arial" w:hAnsi="Arial" w:cs="Arial"/>
          <w:sz w:val="16"/>
          <w:szCs w:val="16"/>
          <w:lang w:eastAsia="zh-CN"/>
        </w:rPr>
        <w:t>”</w:t>
      </w:r>
      <w:r>
        <w:rPr>
          <w:rFonts w:ascii="微软雅黑" w:eastAsia="微软雅黑" w:hAnsi="微软雅黑" w:cs="微软雅黑"/>
          <w:sz w:val="16"/>
          <w:szCs w:val="16"/>
          <w:lang w:eastAsia="zh-CN"/>
        </w:rPr>
        <w:t>）中，国税总局要求在进行反避税调查和纳税调整中，要积极利用</w:t>
      </w:r>
      <w:r>
        <w:rPr>
          <w:rFonts w:ascii="Arial" w:eastAsia="Arial" w:hAnsi="Arial" w:cs="Arial"/>
          <w:sz w:val="16"/>
          <w:szCs w:val="16"/>
          <w:lang w:eastAsia="zh-CN"/>
        </w:rPr>
        <w:t>Bureau van Dijk</w:t>
      </w:r>
      <w:r>
        <w:rPr>
          <w:rFonts w:ascii="微软雅黑" w:eastAsia="微软雅黑" w:hAnsi="微软雅黑" w:cs="微软雅黑"/>
          <w:sz w:val="16"/>
          <w:szCs w:val="16"/>
          <w:lang w:eastAsia="zh-CN"/>
        </w:rPr>
        <w:t>公司的数据库。</w:t>
      </w:r>
    </w:p>
  </w:footnote>
  <w:footnote w:id="23">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w:t>
      </w:r>
      <w:r>
        <w:rPr>
          <w:rFonts w:ascii="Arial" w:eastAsia="Arial" w:hAnsi="Arial" w:cs="Arial"/>
          <w:sz w:val="16"/>
          <w:szCs w:val="16"/>
          <w:lang w:eastAsia="zh-CN"/>
        </w:rPr>
        <w:t>OECD</w:t>
      </w:r>
      <w:r>
        <w:rPr>
          <w:rFonts w:ascii="微软雅黑" w:eastAsia="微软雅黑" w:hAnsi="微软雅黑" w:cs="微软雅黑"/>
          <w:sz w:val="16"/>
          <w:szCs w:val="16"/>
          <w:lang w:eastAsia="zh-CN"/>
        </w:rPr>
        <w:t>转让定价指南》</w:t>
      </w:r>
      <w:r>
        <w:rPr>
          <w:rFonts w:ascii="Arial" w:eastAsia="Arial" w:hAnsi="Arial" w:cs="Arial"/>
          <w:sz w:val="16"/>
          <w:szCs w:val="16"/>
          <w:lang w:eastAsia="zh-CN"/>
        </w:rPr>
        <w:t>3.76</w:t>
      </w:r>
      <w:r>
        <w:rPr>
          <w:rFonts w:ascii="微软雅黑" w:eastAsia="微软雅黑" w:hAnsi="微软雅黑" w:cs="微软雅黑"/>
          <w:sz w:val="16"/>
          <w:szCs w:val="16"/>
          <w:lang w:eastAsia="zh-CN"/>
        </w:rPr>
        <w:t>章</w:t>
      </w:r>
    </w:p>
  </w:footnote>
  <w:footnote w:id="24">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w:t>
      </w:r>
      <w:r>
        <w:rPr>
          <w:rFonts w:ascii="Arial" w:eastAsia="Arial" w:hAnsi="Arial" w:cs="Arial"/>
          <w:sz w:val="16"/>
          <w:szCs w:val="16"/>
          <w:lang w:eastAsia="zh-CN"/>
        </w:rPr>
        <w:t>OECD</w:t>
      </w:r>
      <w:r>
        <w:rPr>
          <w:rFonts w:ascii="微软雅黑" w:eastAsia="微软雅黑" w:hAnsi="微软雅黑" w:cs="微软雅黑"/>
          <w:sz w:val="16"/>
          <w:szCs w:val="16"/>
          <w:lang w:eastAsia="zh-CN"/>
        </w:rPr>
        <w:t>转让定价指南》</w:t>
      </w:r>
      <w:r>
        <w:rPr>
          <w:rFonts w:ascii="Arial" w:eastAsia="Arial" w:hAnsi="Arial" w:cs="Arial"/>
          <w:sz w:val="16"/>
          <w:szCs w:val="16"/>
          <w:lang w:eastAsia="zh-CN"/>
        </w:rPr>
        <w:t>3.77</w:t>
      </w:r>
      <w:r>
        <w:rPr>
          <w:rFonts w:ascii="微软雅黑" w:eastAsia="微软雅黑" w:hAnsi="微软雅黑" w:cs="微软雅黑"/>
          <w:sz w:val="16"/>
          <w:szCs w:val="16"/>
          <w:lang w:eastAsia="zh-CN"/>
        </w:rPr>
        <w:t>章</w:t>
      </w:r>
    </w:p>
  </w:footnote>
  <w:footnote w:id="25">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w:t>
      </w:r>
      <w:r>
        <w:rPr>
          <w:rFonts w:ascii="Arial" w:eastAsia="Arial" w:hAnsi="Arial" w:cs="Arial"/>
          <w:sz w:val="16"/>
          <w:szCs w:val="16"/>
          <w:lang w:eastAsia="zh-CN"/>
        </w:rPr>
        <w:t>OECD</w:t>
      </w:r>
      <w:r>
        <w:rPr>
          <w:rFonts w:ascii="微软雅黑" w:eastAsia="微软雅黑" w:hAnsi="微软雅黑" w:cs="微软雅黑"/>
          <w:sz w:val="16"/>
          <w:szCs w:val="16"/>
          <w:lang w:eastAsia="zh-CN"/>
        </w:rPr>
        <w:t>转让定价指南》</w:t>
      </w:r>
      <w:r>
        <w:rPr>
          <w:rFonts w:ascii="Arial" w:eastAsia="Arial" w:hAnsi="Arial" w:cs="Arial"/>
          <w:sz w:val="16"/>
          <w:szCs w:val="16"/>
          <w:lang w:eastAsia="zh-CN"/>
        </w:rPr>
        <w:t>3.55</w:t>
      </w:r>
      <w:r>
        <w:rPr>
          <w:rFonts w:ascii="微软雅黑" w:eastAsia="微软雅黑" w:hAnsi="微软雅黑" w:cs="微软雅黑"/>
          <w:sz w:val="16"/>
          <w:szCs w:val="16"/>
          <w:lang w:eastAsia="zh-CN"/>
        </w:rPr>
        <w:t>章</w:t>
      </w:r>
    </w:p>
  </w:footnote>
  <w:footnote w:id="26">
    <w:p w:rsidR="00382AAF" w:rsidRDefault="00382AAF">
      <w:pPr>
        <w:pStyle w:val="BodyText"/>
        <w:widowControl w:val="0"/>
        <w:spacing w:after="0"/>
        <w:ind w:left="119" w:right="113"/>
        <w:jc w:val="both"/>
        <w:rPr>
          <w:rFonts w:ascii="Arial" w:eastAsia="Arial" w:hAnsi="Arial" w:cs="Arial"/>
          <w:color w:val="000000"/>
          <w:sz w:val="11"/>
          <w:szCs w:val="11"/>
          <w:vertAlign w:val="superscript"/>
          <w:lang w:eastAsia="zh-CN"/>
        </w:rPr>
      </w:pPr>
      <w:r>
        <w:rPr>
          <w:rStyle w:val="FootnoteReference"/>
          <w:rFonts w:ascii="Arial" w:eastAsia="Arial" w:hAnsi="Arial" w:cs="Arial"/>
          <w:color w:val="000000"/>
          <w:sz w:val="11"/>
          <w:szCs w:val="11"/>
        </w:rPr>
        <w:footnoteRef/>
      </w:r>
      <w:r>
        <w:rPr>
          <w:rFonts w:ascii="微软雅黑" w:eastAsia="微软雅黑" w:hAnsi="微软雅黑" w:cs="微软雅黑"/>
          <w:sz w:val="16"/>
          <w:szCs w:val="16"/>
          <w:lang w:eastAsia="zh-CN"/>
        </w:rPr>
        <w:t xml:space="preserve"> 国家税务总局公告</w:t>
      </w:r>
      <w:r>
        <w:rPr>
          <w:rFonts w:ascii="Arial" w:eastAsia="Arial" w:hAnsi="Arial" w:cs="Arial"/>
          <w:sz w:val="16"/>
          <w:szCs w:val="16"/>
          <w:lang w:eastAsia="zh-CN"/>
        </w:rPr>
        <w:t>2017</w:t>
      </w:r>
      <w:r>
        <w:rPr>
          <w:rFonts w:ascii="微软雅黑" w:eastAsia="微软雅黑" w:hAnsi="微软雅黑" w:cs="微软雅黑"/>
          <w:sz w:val="16"/>
          <w:szCs w:val="16"/>
          <w:lang w:eastAsia="zh-CN"/>
        </w:rPr>
        <w:t>年第</w:t>
      </w:r>
      <w:r>
        <w:rPr>
          <w:rFonts w:ascii="Arial" w:eastAsia="Arial" w:hAnsi="Arial" w:cs="Arial"/>
          <w:sz w:val="16"/>
          <w:szCs w:val="16"/>
          <w:lang w:eastAsia="zh-CN"/>
        </w:rPr>
        <w:t>6</w:t>
      </w:r>
      <w:r>
        <w:rPr>
          <w:rFonts w:ascii="微软雅黑" w:eastAsia="微软雅黑" w:hAnsi="微软雅黑" w:cs="微软雅黑"/>
          <w:sz w:val="16"/>
          <w:szCs w:val="16"/>
          <w:lang w:eastAsia="zh-CN"/>
        </w:rPr>
        <w:t>号第</w:t>
      </w:r>
      <w:r>
        <w:rPr>
          <w:rFonts w:ascii="Arial" w:eastAsia="Arial" w:hAnsi="Arial" w:cs="Arial"/>
          <w:sz w:val="16"/>
          <w:szCs w:val="16"/>
          <w:lang w:eastAsia="zh-CN"/>
        </w:rPr>
        <w:t>25</w:t>
      </w:r>
      <w:r>
        <w:rPr>
          <w:rFonts w:ascii="微软雅黑" w:eastAsia="微软雅黑" w:hAnsi="微软雅黑" w:cs="微软雅黑"/>
          <w:sz w:val="16"/>
          <w:szCs w:val="16"/>
          <w:lang w:eastAsia="zh-CN"/>
        </w:rPr>
        <w:t>条提及</w:t>
      </w:r>
      <w:r>
        <w:rPr>
          <w:rFonts w:ascii="Arial" w:eastAsia="Arial" w:hAnsi="Arial" w:cs="Arial"/>
          <w:sz w:val="16"/>
          <w:szCs w:val="16"/>
          <w:lang w:eastAsia="zh-CN"/>
        </w:rPr>
        <w:t>“</w:t>
      </w:r>
      <w:r>
        <w:rPr>
          <w:rFonts w:ascii="微软雅黑" w:eastAsia="微软雅黑" w:hAnsi="微软雅黑" w:cs="微软雅黑"/>
          <w:sz w:val="16"/>
          <w:szCs w:val="16"/>
          <w:lang w:eastAsia="zh-CN"/>
        </w:rPr>
        <w:t>四分位法</w:t>
      </w:r>
      <w:r>
        <w:rPr>
          <w:rFonts w:ascii="Arial" w:eastAsia="Arial" w:hAnsi="Arial" w:cs="Arial"/>
          <w:sz w:val="16"/>
          <w:szCs w:val="16"/>
          <w:lang w:eastAsia="zh-CN"/>
        </w:rPr>
        <w:t>”</w:t>
      </w:r>
      <w:r>
        <w:rPr>
          <w:rFonts w:ascii="微软雅黑" w:eastAsia="微软雅黑" w:hAnsi="微软雅黑" w:cs="微软雅黑"/>
          <w:sz w:val="16"/>
          <w:szCs w:val="16"/>
          <w:lang w:eastAsia="zh-CN"/>
        </w:rPr>
        <w:t>的使用。四分位区间是指下四分位数至上四分位数之间的区间。</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00000002"/>
    <w:multiLevelType w:val="hybridMultilevel"/>
    <w:tmpl w:val="00000002"/>
    <w:lvl w:ilvl="0" w:tplc="953CA9EC">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tplc="5D9819E0">
      <w:start w:val="1"/>
      <w:numFmt w:val="bullet"/>
      <w:lvlText w:val="o"/>
      <w:lvlJc w:val="left"/>
      <w:pPr>
        <w:tabs>
          <w:tab w:val="num" w:pos="1440"/>
        </w:tabs>
        <w:ind w:left="1440" w:hanging="360"/>
      </w:pPr>
      <w:rPr>
        <w:rFonts w:ascii="Courier New" w:hAnsi="Courier New"/>
      </w:rPr>
    </w:lvl>
    <w:lvl w:ilvl="2" w:tplc="2518896A">
      <w:start w:val="1"/>
      <w:numFmt w:val="bullet"/>
      <w:lvlText w:val=""/>
      <w:lvlJc w:val="left"/>
      <w:pPr>
        <w:tabs>
          <w:tab w:val="num" w:pos="2160"/>
        </w:tabs>
        <w:ind w:left="2160" w:hanging="360"/>
      </w:pPr>
      <w:rPr>
        <w:rFonts w:ascii="Wingdings" w:hAnsi="Wingdings"/>
      </w:rPr>
    </w:lvl>
    <w:lvl w:ilvl="3" w:tplc="26F0152C">
      <w:start w:val="1"/>
      <w:numFmt w:val="bullet"/>
      <w:lvlText w:val=""/>
      <w:lvlJc w:val="left"/>
      <w:pPr>
        <w:tabs>
          <w:tab w:val="num" w:pos="2880"/>
        </w:tabs>
        <w:ind w:left="2880" w:hanging="360"/>
      </w:pPr>
      <w:rPr>
        <w:rFonts w:ascii="Symbol" w:hAnsi="Symbol"/>
      </w:rPr>
    </w:lvl>
    <w:lvl w:ilvl="4" w:tplc="A5D2F84C">
      <w:start w:val="1"/>
      <w:numFmt w:val="bullet"/>
      <w:lvlText w:val="o"/>
      <w:lvlJc w:val="left"/>
      <w:pPr>
        <w:tabs>
          <w:tab w:val="num" w:pos="3600"/>
        </w:tabs>
        <w:ind w:left="3600" w:hanging="360"/>
      </w:pPr>
      <w:rPr>
        <w:rFonts w:ascii="Courier New" w:hAnsi="Courier New"/>
      </w:rPr>
    </w:lvl>
    <w:lvl w:ilvl="5" w:tplc="4496C31C">
      <w:start w:val="1"/>
      <w:numFmt w:val="bullet"/>
      <w:lvlText w:val=""/>
      <w:lvlJc w:val="left"/>
      <w:pPr>
        <w:tabs>
          <w:tab w:val="num" w:pos="4320"/>
        </w:tabs>
        <w:ind w:left="4320" w:hanging="360"/>
      </w:pPr>
      <w:rPr>
        <w:rFonts w:ascii="Wingdings" w:hAnsi="Wingdings"/>
      </w:rPr>
    </w:lvl>
    <w:lvl w:ilvl="6" w:tplc="97785C48">
      <w:start w:val="1"/>
      <w:numFmt w:val="bullet"/>
      <w:lvlText w:val=""/>
      <w:lvlJc w:val="left"/>
      <w:pPr>
        <w:tabs>
          <w:tab w:val="num" w:pos="5040"/>
        </w:tabs>
        <w:ind w:left="5040" w:hanging="360"/>
      </w:pPr>
      <w:rPr>
        <w:rFonts w:ascii="Symbol" w:hAnsi="Symbol"/>
      </w:rPr>
    </w:lvl>
    <w:lvl w:ilvl="7" w:tplc="C744064A">
      <w:start w:val="1"/>
      <w:numFmt w:val="bullet"/>
      <w:lvlText w:val="o"/>
      <w:lvlJc w:val="left"/>
      <w:pPr>
        <w:tabs>
          <w:tab w:val="num" w:pos="5760"/>
        </w:tabs>
        <w:ind w:left="5760" w:hanging="360"/>
      </w:pPr>
      <w:rPr>
        <w:rFonts w:ascii="Courier New" w:hAnsi="Courier New"/>
      </w:rPr>
    </w:lvl>
    <w:lvl w:ilvl="8" w:tplc="9EE071EA">
      <w:start w:val="1"/>
      <w:numFmt w:val="bullet"/>
      <w:lvlText w:val=""/>
      <w:lvlJc w:val="left"/>
      <w:pPr>
        <w:tabs>
          <w:tab w:val="num" w:pos="6480"/>
        </w:tabs>
        <w:ind w:left="6480" w:hanging="360"/>
      </w:pPr>
      <w:rPr>
        <w:rFonts w:ascii="Wingdings" w:hAnsi="Wingdings"/>
      </w:rPr>
    </w:lvl>
  </w:abstractNum>
  <w:abstractNum w:abstractNumId="2">
    <w:nsid w:val="00000003"/>
    <w:multiLevelType w:val="multilevel"/>
    <w:tmpl w:val="00000003"/>
    <w:lvl w:ilvl="0">
      <w:start w:val="1"/>
      <w:numFmt w:val="decimal"/>
      <w:lvlText w:val="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2"/>
      <w:numFmt w:val="decimal"/>
      <w:lvlText w:val="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tplc="68AE60FC">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tplc="221E549C">
      <w:start w:val="1"/>
      <w:numFmt w:val="bullet"/>
      <w:lvlText w:val="o"/>
      <w:lvlJc w:val="left"/>
      <w:pPr>
        <w:tabs>
          <w:tab w:val="num" w:pos="1440"/>
        </w:tabs>
        <w:ind w:left="1440" w:hanging="360"/>
      </w:pPr>
      <w:rPr>
        <w:rFonts w:ascii="Courier New" w:hAnsi="Courier New"/>
      </w:rPr>
    </w:lvl>
    <w:lvl w:ilvl="2" w:tplc="3E6630BE">
      <w:start w:val="1"/>
      <w:numFmt w:val="bullet"/>
      <w:lvlText w:val=""/>
      <w:lvlJc w:val="left"/>
      <w:pPr>
        <w:tabs>
          <w:tab w:val="num" w:pos="2160"/>
        </w:tabs>
        <w:ind w:left="2160" w:hanging="360"/>
      </w:pPr>
      <w:rPr>
        <w:rFonts w:ascii="Wingdings" w:hAnsi="Wingdings"/>
      </w:rPr>
    </w:lvl>
    <w:lvl w:ilvl="3" w:tplc="4CACB624">
      <w:start w:val="1"/>
      <w:numFmt w:val="bullet"/>
      <w:lvlText w:val=""/>
      <w:lvlJc w:val="left"/>
      <w:pPr>
        <w:tabs>
          <w:tab w:val="num" w:pos="2880"/>
        </w:tabs>
        <w:ind w:left="2880" w:hanging="360"/>
      </w:pPr>
      <w:rPr>
        <w:rFonts w:ascii="Symbol" w:hAnsi="Symbol"/>
      </w:rPr>
    </w:lvl>
    <w:lvl w:ilvl="4" w:tplc="37648A20">
      <w:start w:val="1"/>
      <w:numFmt w:val="bullet"/>
      <w:lvlText w:val="o"/>
      <w:lvlJc w:val="left"/>
      <w:pPr>
        <w:tabs>
          <w:tab w:val="num" w:pos="3600"/>
        </w:tabs>
        <w:ind w:left="3600" w:hanging="360"/>
      </w:pPr>
      <w:rPr>
        <w:rFonts w:ascii="Courier New" w:hAnsi="Courier New"/>
      </w:rPr>
    </w:lvl>
    <w:lvl w:ilvl="5" w:tplc="760E9C86">
      <w:start w:val="1"/>
      <w:numFmt w:val="bullet"/>
      <w:lvlText w:val=""/>
      <w:lvlJc w:val="left"/>
      <w:pPr>
        <w:tabs>
          <w:tab w:val="num" w:pos="4320"/>
        </w:tabs>
        <w:ind w:left="4320" w:hanging="360"/>
      </w:pPr>
      <w:rPr>
        <w:rFonts w:ascii="Wingdings" w:hAnsi="Wingdings"/>
      </w:rPr>
    </w:lvl>
    <w:lvl w:ilvl="6" w:tplc="5C0465D8">
      <w:start w:val="1"/>
      <w:numFmt w:val="bullet"/>
      <w:lvlText w:val=""/>
      <w:lvlJc w:val="left"/>
      <w:pPr>
        <w:tabs>
          <w:tab w:val="num" w:pos="5040"/>
        </w:tabs>
        <w:ind w:left="5040" w:hanging="360"/>
      </w:pPr>
      <w:rPr>
        <w:rFonts w:ascii="Symbol" w:hAnsi="Symbol"/>
      </w:rPr>
    </w:lvl>
    <w:lvl w:ilvl="7" w:tplc="7C5C40AA">
      <w:start w:val="1"/>
      <w:numFmt w:val="bullet"/>
      <w:lvlText w:val="o"/>
      <w:lvlJc w:val="left"/>
      <w:pPr>
        <w:tabs>
          <w:tab w:val="num" w:pos="5760"/>
        </w:tabs>
        <w:ind w:left="5760" w:hanging="360"/>
      </w:pPr>
      <w:rPr>
        <w:rFonts w:ascii="Courier New" w:hAnsi="Courier New"/>
      </w:rPr>
    </w:lvl>
    <w:lvl w:ilvl="8" w:tplc="03FA0274">
      <w:start w:val="1"/>
      <w:numFmt w:val="bullet"/>
      <w:lvlText w:val=""/>
      <w:lvlJc w:val="left"/>
      <w:pPr>
        <w:tabs>
          <w:tab w:val="num" w:pos="6480"/>
        </w:tabs>
        <w:ind w:left="6480" w:hanging="360"/>
      </w:pPr>
      <w:rPr>
        <w:rFonts w:ascii="Wingdings" w:hAnsi="Wingdings"/>
      </w:rPr>
    </w:lvl>
  </w:abstractNum>
  <w:abstractNum w:abstractNumId="5">
    <w:nsid w:val="00000006"/>
    <w:multiLevelType w:val="multilevel"/>
    <w:tmpl w:val="00000006"/>
    <w:lvl w:ilvl="0">
      <w:start w:val="1"/>
      <w:numFmt w:val="decimal"/>
      <w:lvlText w:val="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hybridMultilevel"/>
    <w:tmpl w:val="00000008"/>
    <w:lvl w:ilvl="0" w:tplc="97ECB668">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tplc="6950C3CC">
      <w:start w:val="1"/>
      <w:numFmt w:val="bullet"/>
      <w:lvlText w:val="o"/>
      <w:lvlJc w:val="left"/>
      <w:pPr>
        <w:tabs>
          <w:tab w:val="num" w:pos="1440"/>
        </w:tabs>
        <w:ind w:left="1440" w:hanging="360"/>
      </w:pPr>
      <w:rPr>
        <w:rFonts w:ascii="Courier New" w:hAnsi="Courier New"/>
      </w:rPr>
    </w:lvl>
    <w:lvl w:ilvl="2" w:tplc="1A7C8DDE">
      <w:start w:val="1"/>
      <w:numFmt w:val="bullet"/>
      <w:lvlText w:val=""/>
      <w:lvlJc w:val="left"/>
      <w:pPr>
        <w:tabs>
          <w:tab w:val="num" w:pos="2160"/>
        </w:tabs>
        <w:ind w:left="2160" w:hanging="360"/>
      </w:pPr>
      <w:rPr>
        <w:rFonts w:ascii="Wingdings" w:hAnsi="Wingdings"/>
      </w:rPr>
    </w:lvl>
    <w:lvl w:ilvl="3" w:tplc="0F300672">
      <w:start w:val="1"/>
      <w:numFmt w:val="bullet"/>
      <w:lvlText w:val=""/>
      <w:lvlJc w:val="left"/>
      <w:pPr>
        <w:tabs>
          <w:tab w:val="num" w:pos="2880"/>
        </w:tabs>
        <w:ind w:left="2880" w:hanging="360"/>
      </w:pPr>
      <w:rPr>
        <w:rFonts w:ascii="Symbol" w:hAnsi="Symbol"/>
      </w:rPr>
    </w:lvl>
    <w:lvl w:ilvl="4" w:tplc="88EE8F52">
      <w:start w:val="1"/>
      <w:numFmt w:val="bullet"/>
      <w:lvlText w:val="o"/>
      <w:lvlJc w:val="left"/>
      <w:pPr>
        <w:tabs>
          <w:tab w:val="num" w:pos="3600"/>
        </w:tabs>
        <w:ind w:left="3600" w:hanging="360"/>
      </w:pPr>
      <w:rPr>
        <w:rFonts w:ascii="Courier New" w:hAnsi="Courier New"/>
      </w:rPr>
    </w:lvl>
    <w:lvl w:ilvl="5" w:tplc="C02A97A6">
      <w:start w:val="1"/>
      <w:numFmt w:val="bullet"/>
      <w:lvlText w:val=""/>
      <w:lvlJc w:val="left"/>
      <w:pPr>
        <w:tabs>
          <w:tab w:val="num" w:pos="4320"/>
        </w:tabs>
        <w:ind w:left="4320" w:hanging="360"/>
      </w:pPr>
      <w:rPr>
        <w:rFonts w:ascii="Wingdings" w:hAnsi="Wingdings"/>
      </w:rPr>
    </w:lvl>
    <w:lvl w:ilvl="6" w:tplc="1F9859AE">
      <w:start w:val="1"/>
      <w:numFmt w:val="bullet"/>
      <w:lvlText w:val=""/>
      <w:lvlJc w:val="left"/>
      <w:pPr>
        <w:tabs>
          <w:tab w:val="num" w:pos="5040"/>
        </w:tabs>
        <w:ind w:left="5040" w:hanging="360"/>
      </w:pPr>
      <w:rPr>
        <w:rFonts w:ascii="Symbol" w:hAnsi="Symbol"/>
      </w:rPr>
    </w:lvl>
    <w:lvl w:ilvl="7" w:tplc="C172D15A">
      <w:start w:val="1"/>
      <w:numFmt w:val="bullet"/>
      <w:lvlText w:val="o"/>
      <w:lvlJc w:val="left"/>
      <w:pPr>
        <w:tabs>
          <w:tab w:val="num" w:pos="5760"/>
        </w:tabs>
        <w:ind w:left="5760" w:hanging="360"/>
      </w:pPr>
      <w:rPr>
        <w:rFonts w:ascii="Courier New" w:hAnsi="Courier New"/>
      </w:rPr>
    </w:lvl>
    <w:lvl w:ilvl="8" w:tplc="227C4520">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tplc="56600EE6">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tplc="E820A914">
      <w:start w:val="1"/>
      <w:numFmt w:val="bullet"/>
      <w:lvlText w:val="o"/>
      <w:lvlJc w:val="left"/>
      <w:pPr>
        <w:tabs>
          <w:tab w:val="num" w:pos="1440"/>
        </w:tabs>
        <w:ind w:left="1440" w:hanging="360"/>
      </w:pPr>
      <w:rPr>
        <w:rFonts w:ascii="Courier New" w:hAnsi="Courier New"/>
      </w:rPr>
    </w:lvl>
    <w:lvl w:ilvl="2" w:tplc="D5909588">
      <w:start w:val="1"/>
      <w:numFmt w:val="bullet"/>
      <w:lvlText w:val=""/>
      <w:lvlJc w:val="left"/>
      <w:pPr>
        <w:tabs>
          <w:tab w:val="num" w:pos="2160"/>
        </w:tabs>
        <w:ind w:left="2160" w:hanging="360"/>
      </w:pPr>
      <w:rPr>
        <w:rFonts w:ascii="Wingdings" w:hAnsi="Wingdings"/>
      </w:rPr>
    </w:lvl>
    <w:lvl w:ilvl="3" w:tplc="20C6B79E">
      <w:start w:val="1"/>
      <w:numFmt w:val="bullet"/>
      <w:lvlText w:val=""/>
      <w:lvlJc w:val="left"/>
      <w:pPr>
        <w:tabs>
          <w:tab w:val="num" w:pos="2880"/>
        </w:tabs>
        <w:ind w:left="2880" w:hanging="360"/>
      </w:pPr>
      <w:rPr>
        <w:rFonts w:ascii="Symbol" w:hAnsi="Symbol"/>
      </w:rPr>
    </w:lvl>
    <w:lvl w:ilvl="4" w:tplc="99DE4D28">
      <w:start w:val="1"/>
      <w:numFmt w:val="bullet"/>
      <w:lvlText w:val="o"/>
      <w:lvlJc w:val="left"/>
      <w:pPr>
        <w:tabs>
          <w:tab w:val="num" w:pos="3600"/>
        </w:tabs>
        <w:ind w:left="3600" w:hanging="360"/>
      </w:pPr>
      <w:rPr>
        <w:rFonts w:ascii="Courier New" w:hAnsi="Courier New"/>
      </w:rPr>
    </w:lvl>
    <w:lvl w:ilvl="5" w:tplc="5EF68A66">
      <w:start w:val="1"/>
      <w:numFmt w:val="bullet"/>
      <w:lvlText w:val=""/>
      <w:lvlJc w:val="left"/>
      <w:pPr>
        <w:tabs>
          <w:tab w:val="num" w:pos="4320"/>
        </w:tabs>
        <w:ind w:left="4320" w:hanging="360"/>
      </w:pPr>
      <w:rPr>
        <w:rFonts w:ascii="Wingdings" w:hAnsi="Wingdings"/>
      </w:rPr>
    </w:lvl>
    <w:lvl w:ilvl="6" w:tplc="E2F68760">
      <w:start w:val="1"/>
      <w:numFmt w:val="bullet"/>
      <w:lvlText w:val=""/>
      <w:lvlJc w:val="left"/>
      <w:pPr>
        <w:tabs>
          <w:tab w:val="num" w:pos="5040"/>
        </w:tabs>
        <w:ind w:left="5040" w:hanging="360"/>
      </w:pPr>
      <w:rPr>
        <w:rFonts w:ascii="Symbol" w:hAnsi="Symbol"/>
      </w:rPr>
    </w:lvl>
    <w:lvl w:ilvl="7" w:tplc="064E62D2">
      <w:start w:val="1"/>
      <w:numFmt w:val="bullet"/>
      <w:lvlText w:val="o"/>
      <w:lvlJc w:val="left"/>
      <w:pPr>
        <w:tabs>
          <w:tab w:val="num" w:pos="5760"/>
        </w:tabs>
        <w:ind w:left="5760" w:hanging="360"/>
      </w:pPr>
      <w:rPr>
        <w:rFonts w:ascii="Courier New" w:hAnsi="Courier New"/>
      </w:rPr>
    </w:lvl>
    <w:lvl w:ilvl="8" w:tplc="92FEA87C">
      <w:start w:val="1"/>
      <w:numFmt w:val="bullet"/>
      <w:lvlText w:val=""/>
      <w:lvlJc w:val="left"/>
      <w:pPr>
        <w:tabs>
          <w:tab w:val="num" w:pos="6480"/>
        </w:tabs>
        <w:ind w:left="6480" w:hanging="360"/>
      </w:pPr>
      <w:rPr>
        <w:rFonts w:ascii="Wingdings" w:hAnsi="Wingdings"/>
      </w:rPr>
    </w:lvl>
  </w:abstractNum>
  <w:abstractNum w:abstractNumId="9">
    <w:nsid w:val="0000000A"/>
    <w:multiLevelType w:val="multilevel"/>
    <w:tmpl w:val="0000000A"/>
    <w:lvl w:ilvl="0">
      <w:start w:val="1"/>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2"/>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3"/>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4"/>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5"/>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6"/>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7"/>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8"/>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9"/>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2"/>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3"/>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4"/>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5"/>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6"/>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7"/>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2"/>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hybridMultilevel"/>
    <w:tmpl w:val="0000001C"/>
    <w:lvl w:ilvl="0" w:tplc="894CB0A2">
      <w:start w:val="1"/>
      <w:numFmt w:val="bullet"/>
      <w:lvlText w:val=""/>
      <w:lvlJc w:val="left"/>
      <w:pPr>
        <w:ind w:left="720" w:hanging="360"/>
      </w:pPr>
      <w:rPr>
        <w:rFonts w:ascii="Symbol" w:hAnsi="Symbol"/>
        <w:b w:val="0"/>
        <w:bCs w:val="0"/>
      </w:rPr>
    </w:lvl>
    <w:lvl w:ilvl="1" w:tplc="EB4094AA">
      <w:start w:val="1"/>
      <w:numFmt w:val="bullet"/>
      <w:lvlText w:val="o"/>
      <w:lvlJc w:val="left"/>
      <w:pPr>
        <w:tabs>
          <w:tab w:val="num" w:pos="1440"/>
        </w:tabs>
        <w:ind w:left="1440" w:hanging="360"/>
      </w:pPr>
      <w:rPr>
        <w:rFonts w:ascii="Courier New" w:hAnsi="Courier New"/>
      </w:rPr>
    </w:lvl>
    <w:lvl w:ilvl="2" w:tplc="D9948290">
      <w:start w:val="1"/>
      <w:numFmt w:val="bullet"/>
      <w:lvlText w:val=""/>
      <w:lvlJc w:val="left"/>
      <w:pPr>
        <w:tabs>
          <w:tab w:val="num" w:pos="2160"/>
        </w:tabs>
        <w:ind w:left="2160" w:hanging="360"/>
      </w:pPr>
      <w:rPr>
        <w:rFonts w:ascii="Wingdings" w:hAnsi="Wingdings"/>
      </w:rPr>
    </w:lvl>
    <w:lvl w:ilvl="3" w:tplc="772C701E">
      <w:start w:val="1"/>
      <w:numFmt w:val="bullet"/>
      <w:lvlText w:val=""/>
      <w:lvlJc w:val="left"/>
      <w:pPr>
        <w:tabs>
          <w:tab w:val="num" w:pos="2880"/>
        </w:tabs>
        <w:ind w:left="2880" w:hanging="360"/>
      </w:pPr>
      <w:rPr>
        <w:rFonts w:ascii="Symbol" w:hAnsi="Symbol"/>
      </w:rPr>
    </w:lvl>
    <w:lvl w:ilvl="4" w:tplc="96DABA98">
      <w:start w:val="1"/>
      <w:numFmt w:val="bullet"/>
      <w:lvlText w:val="o"/>
      <w:lvlJc w:val="left"/>
      <w:pPr>
        <w:tabs>
          <w:tab w:val="num" w:pos="3600"/>
        </w:tabs>
        <w:ind w:left="3600" w:hanging="360"/>
      </w:pPr>
      <w:rPr>
        <w:rFonts w:ascii="Courier New" w:hAnsi="Courier New"/>
      </w:rPr>
    </w:lvl>
    <w:lvl w:ilvl="5" w:tplc="EDE63072">
      <w:start w:val="1"/>
      <w:numFmt w:val="bullet"/>
      <w:lvlText w:val=""/>
      <w:lvlJc w:val="left"/>
      <w:pPr>
        <w:tabs>
          <w:tab w:val="num" w:pos="4320"/>
        </w:tabs>
        <w:ind w:left="4320" w:hanging="360"/>
      </w:pPr>
      <w:rPr>
        <w:rFonts w:ascii="Wingdings" w:hAnsi="Wingdings"/>
      </w:rPr>
    </w:lvl>
    <w:lvl w:ilvl="6" w:tplc="D51E5FA2">
      <w:start w:val="1"/>
      <w:numFmt w:val="bullet"/>
      <w:lvlText w:val=""/>
      <w:lvlJc w:val="left"/>
      <w:pPr>
        <w:tabs>
          <w:tab w:val="num" w:pos="5040"/>
        </w:tabs>
        <w:ind w:left="5040" w:hanging="360"/>
      </w:pPr>
      <w:rPr>
        <w:rFonts w:ascii="Symbol" w:hAnsi="Symbol"/>
      </w:rPr>
    </w:lvl>
    <w:lvl w:ilvl="7" w:tplc="6908D09A">
      <w:start w:val="1"/>
      <w:numFmt w:val="bullet"/>
      <w:lvlText w:val="o"/>
      <w:lvlJc w:val="left"/>
      <w:pPr>
        <w:tabs>
          <w:tab w:val="num" w:pos="5760"/>
        </w:tabs>
        <w:ind w:left="5760" w:hanging="360"/>
      </w:pPr>
      <w:rPr>
        <w:rFonts w:ascii="Courier New" w:hAnsi="Courier New"/>
      </w:rPr>
    </w:lvl>
    <w:lvl w:ilvl="8" w:tplc="5E962CAE">
      <w:start w:val="1"/>
      <w:numFmt w:val="bullet"/>
      <w:lvlText w:val=""/>
      <w:lvlJc w:val="left"/>
      <w:pPr>
        <w:tabs>
          <w:tab w:val="num" w:pos="6480"/>
        </w:tabs>
        <w:ind w:left="6480" w:hanging="360"/>
      </w:pPr>
      <w:rPr>
        <w:rFonts w:ascii="Wingdings" w:hAnsi="Wingdings"/>
      </w:rPr>
    </w:lvl>
  </w:abstractNum>
  <w:abstractNum w:abstractNumId="28">
    <w:nsid w:val="0000001D"/>
    <w:multiLevelType w:val="multilevel"/>
    <w:tmpl w:val="0000001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3"/>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hybridMultilevel"/>
    <w:tmpl w:val="00000021"/>
    <w:lvl w:ilvl="0" w:tplc="94DA063A">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tplc="353ED24E">
      <w:start w:val="1"/>
      <w:numFmt w:val="bullet"/>
      <w:lvlText w:val="o"/>
      <w:lvlJc w:val="left"/>
      <w:pPr>
        <w:tabs>
          <w:tab w:val="num" w:pos="1440"/>
        </w:tabs>
        <w:ind w:left="1440" w:hanging="360"/>
      </w:pPr>
      <w:rPr>
        <w:rFonts w:ascii="Courier New" w:hAnsi="Courier New"/>
      </w:rPr>
    </w:lvl>
    <w:lvl w:ilvl="2" w:tplc="9BFA3808">
      <w:start w:val="1"/>
      <w:numFmt w:val="bullet"/>
      <w:lvlText w:val=""/>
      <w:lvlJc w:val="left"/>
      <w:pPr>
        <w:tabs>
          <w:tab w:val="num" w:pos="2160"/>
        </w:tabs>
        <w:ind w:left="2160" w:hanging="360"/>
      </w:pPr>
      <w:rPr>
        <w:rFonts w:ascii="Wingdings" w:hAnsi="Wingdings"/>
      </w:rPr>
    </w:lvl>
    <w:lvl w:ilvl="3" w:tplc="F59017F2">
      <w:start w:val="1"/>
      <w:numFmt w:val="bullet"/>
      <w:lvlText w:val=""/>
      <w:lvlJc w:val="left"/>
      <w:pPr>
        <w:tabs>
          <w:tab w:val="num" w:pos="2880"/>
        </w:tabs>
        <w:ind w:left="2880" w:hanging="360"/>
      </w:pPr>
      <w:rPr>
        <w:rFonts w:ascii="Symbol" w:hAnsi="Symbol"/>
      </w:rPr>
    </w:lvl>
    <w:lvl w:ilvl="4" w:tplc="04A22FA4">
      <w:start w:val="1"/>
      <w:numFmt w:val="bullet"/>
      <w:lvlText w:val="o"/>
      <w:lvlJc w:val="left"/>
      <w:pPr>
        <w:tabs>
          <w:tab w:val="num" w:pos="3600"/>
        </w:tabs>
        <w:ind w:left="3600" w:hanging="360"/>
      </w:pPr>
      <w:rPr>
        <w:rFonts w:ascii="Courier New" w:hAnsi="Courier New"/>
      </w:rPr>
    </w:lvl>
    <w:lvl w:ilvl="5" w:tplc="F0B617AE">
      <w:start w:val="1"/>
      <w:numFmt w:val="bullet"/>
      <w:lvlText w:val=""/>
      <w:lvlJc w:val="left"/>
      <w:pPr>
        <w:tabs>
          <w:tab w:val="num" w:pos="4320"/>
        </w:tabs>
        <w:ind w:left="4320" w:hanging="360"/>
      </w:pPr>
      <w:rPr>
        <w:rFonts w:ascii="Wingdings" w:hAnsi="Wingdings"/>
      </w:rPr>
    </w:lvl>
    <w:lvl w:ilvl="6" w:tplc="D10EB266">
      <w:start w:val="1"/>
      <w:numFmt w:val="bullet"/>
      <w:lvlText w:val=""/>
      <w:lvlJc w:val="left"/>
      <w:pPr>
        <w:tabs>
          <w:tab w:val="num" w:pos="5040"/>
        </w:tabs>
        <w:ind w:left="5040" w:hanging="360"/>
      </w:pPr>
      <w:rPr>
        <w:rFonts w:ascii="Symbol" w:hAnsi="Symbol"/>
      </w:rPr>
    </w:lvl>
    <w:lvl w:ilvl="7" w:tplc="A9EAE9F4">
      <w:start w:val="1"/>
      <w:numFmt w:val="bullet"/>
      <w:lvlText w:val="o"/>
      <w:lvlJc w:val="left"/>
      <w:pPr>
        <w:tabs>
          <w:tab w:val="num" w:pos="5760"/>
        </w:tabs>
        <w:ind w:left="5760" w:hanging="360"/>
      </w:pPr>
      <w:rPr>
        <w:rFonts w:ascii="Courier New" w:hAnsi="Courier New"/>
      </w:rPr>
    </w:lvl>
    <w:lvl w:ilvl="8" w:tplc="D2C0A144">
      <w:start w:val="1"/>
      <w:numFmt w:val="bullet"/>
      <w:lvlText w:val=""/>
      <w:lvlJc w:val="left"/>
      <w:pPr>
        <w:tabs>
          <w:tab w:val="num" w:pos="6480"/>
        </w:tabs>
        <w:ind w:left="6480" w:hanging="360"/>
      </w:pPr>
      <w:rPr>
        <w:rFonts w:ascii="Wingdings" w:hAnsi="Wingdings"/>
      </w:rPr>
    </w:lvl>
  </w:abstractNum>
  <w:abstractNum w:abstractNumId="33">
    <w:nsid w:val="00000022"/>
    <w:multiLevelType w:val="multilevel"/>
    <w:tmpl w:val="00000022"/>
    <w:lvl w:ilvl="0">
      <w:start w:val="4"/>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hybridMultilevel"/>
    <w:tmpl w:val="00000023"/>
    <w:lvl w:ilvl="0" w:tplc="D732474C">
      <w:start w:val="1"/>
      <w:numFmt w:val="bullet"/>
      <w:lvlText w:val=""/>
      <w:lvlJc w:val="left"/>
      <w:pPr>
        <w:ind w:left="720" w:hanging="360"/>
      </w:pPr>
      <w:rPr>
        <w:rFonts w:ascii="Symbol" w:hAnsi="Symbol"/>
        <w:b w:val="0"/>
        <w:bCs w:val="0"/>
      </w:rPr>
    </w:lvl>
    <w:lvl w:ilvl="1" w:tplc="858E2962">
      <w:start w:val="1"/>
      <w:numFmt w:val="bullet"/>
      <w:lvlText w:val="o"/>
      <w:lvlJc w:val="left"/>
      <w:pPr>
        <w:tabs>
          <w:tab w:val="num" w:pos="1440"/>
        </w:tabs>
        <w:ind w:left="1440" w:hanging="360"/>
      </w:pPr>
      <w:rPr>
        <w:rFonts w:ascii="Courier New" w:hAnsi="Courier New"/>
      </w:rPr>
    </w:lvl>
    <w:lvl w:ilvl="2" w:tplc="F028C98E">
      <w:start w:val="1"/>
      <w:numFmt w:val="bullet"/>
      <w:lvlText w:val=""/>
      <w:lvlJc w:val="left"/>
      <w:pPr>
        <w:tabs>
          <w:tab w:val="num" w:pos="2160"/>
        </w:tabs>
        <w:ind w:left="2160" w:hanging="360"/>
      </w:pPr>
      <w:rPr>
        <w:rFonts w:ascii="Wingdings" w:hAnsi="Wingdings"/>
      </w:rPr>
    </w:lvl>
    <w:lvl w:ilvl="3" w:tplc="02E0B6EC">
      <w:start w:val="1"/>
      <w:numFmt w:val="bullet"/>
      <w:lvlText w:val=""/>
      <w:lvlJc w:val="left"/>
      <w:pPr>
        <w:tabs>
          <w:tab w:val="num" w:pos="2880"/>
        </w:tabs>
        <w:ind w:left="2880" w:hanging="360"/>
      </w:pPr>
      <w:rPr>
        <w:rFonts w:ascii="Symbol" w:hAnsi="Symbol"/>
      </w:rPr>
    </w:lvl>
    <w:lvl w:ilvl="4" w:tplc="ED9E8B1C">
      <w:start w:val="1"/>
      <w:numFmt w:val="bullet"/>
      <w:lvlText w:val="o"/>
      <w:lvlJc w:val="left"/>
      <w:pPr>
        <w:tabs>
          <w:tab w:val="num" w:pos="3600"/>
        </w:tabs>
        <w:ind w:left="3600" w:hanging="360"/>
      </w:pPr>
      <w:rPr>
        <w:rFonts w:ascii="Courier New" w:hAnsi="Courier New"/>
      </w:rPr>
    </w:lvl>
    <w:lvl w:ilvl="5" w:tplc="51661E94">
      <w:start w:val="1"/>
      <w:numFmt w:val="bullet"/>
      <w:lvlText w:val=""/>
      <w:lvlJc w:val="left"/>
      <w:pPr>
        <w:tabs>
          <w:tab w:val="num" w:pos="4320"/>
        </w:tabs>
        <w:ind w:left="4320" w:hanging="360"/>
      </w:pPr>
      <w:rPr>
        <w:rFonts w:ascii="Wingdings" w:hAnsi="Wingdings"/>
      </w:rPr>
    </w:lvl>
    <w:lvl w:ilvl="6" w:tplc="87DCAD96">
      <w:start w:val="1"/>
      <w:numFmt w:val="bullet"/>
      <w:lvlText w:val=""/>
      <w:lvlJc w:val="left"/>
      <w:pPr>
        <w:tabs>
          <w:tab w:val="num" w:pos="5040"/>
        </w:tabs>
        <w:ind w:left="5040" w:hanging="360"/>
      </w:pPr>
      <w:rPr>
        <w:rFonts w:ascii="Symbol" w:hAnsi="Symbol"/>
      </w:rPr>
    </w:lvl>
    <w:lvl w:ilvl="7" w:tplc="E7041D38">
      <w:start w:val="1"/>
      <w:numFmt w:val="bullet"/>
      <w:lvlText w:val="o"/>
      <w:lvlJc w:val="left"/>
      <w:pPr>
        <w:tabs>
          <w:tab w:val="num" w:pos="5760"/>
        </w:tabs>
        <w:ind w:left="5760" w:hanging="360"/>
      </w:pPr>
      <w:rPr>
        <w:rFonts w:ascii="Courier New" w:hAnsi="Courier New"/>
      </w:rPr>
    </w:lvl>
    <w:lvl w:ilvl="8" w:tplc="587AD27A">
      <w:start w:val="1"/>
      <w:numFmt w:val="bullet"/>
      <w:lvlText w:val=""/>
      <w:lvlJc w:val="left"/>
      <w:pPr>
        <w:tabs>
          <w:tab w:val="num" w:pos="6480"/>
        </w:tabs>
        <w:ind w:left="6480" w:hanging="360"/>
      </w:pPr>
      <w:rPr>
        <w:rFonts w:ascii="Wingdings" w:hAnsi="Wingdings"/>
      </w:rPr>
    </w:lvl>
  </w:abstractNum>
  <w:abstractNum w:abstractNumId="35">
    <w:nsid w:val="00000024"/>
    <w:multiLevelType w:val="multilevel"/>
    <w:tmpl w:val="00000024"/>
    <w:lvl w:ilvl="0">
      <w:start w:val="5"/>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3"/>
      <w:numFmt w:val="decimal"/>
      <w:lvlText w:val="1.1.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152594"/>
    <w:rsid w:val="001C5AAA"/>
    <w:rsid w:val="00382AAF"/>
    <w:rsid w:val="00A77B3E"/>
    <w:rsid w:val="00CA2A55"/>
    <w:rsid w:val="00F75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6A008A2-C637-4CFA-8CDD-662DB659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05BCE"/>
    <w:pPr>
      <w:spacing w:after="120"/>
    </w:pPr>
  </w:style>
  <w:style w:type="paragraph" w:styleId="TOC1">
    <w:name w:val="toc 1"/>
    <w:basedOn w:val="Normal"/>
    <w:next w:val="Normal"/>
    <w:autoRedefine/>
    <w:rsid w:val="00805BCE"/>
  </w:style>
  <w:style w:type="character" w:styleId="Hyperlink">
    <w:name w:val="Hyperlink"/>
    <w:basedOn w:val="DefaultParagraphFont"/>
    <w:rsid w:val="00EF7B96"/>
    <w:rPr>
      <w:color w:val="0000FF"/>
      <w:u w:val="single"/>
    </w:rPr>
  </w:style>
  <w:style w:type="paragraph" w:styleId="TOC2">
    <w:name w:val="toc 2"/>
    <w:basedOn w:val="Normal"/>
    <w:next w:val="Normal"/>
    <w:autoRedefine/>
    <w:rsid w:val="00805BCE"/>
    <w:pPr>
      <w:ind w:left="240"/>
    </w:pPr>
  </w:style>
  <w:style w:type="character" w:styleId="FootnoteReference">
    <w:name w:val="footnote reference"/>
    <w:basedOn w:val="DefaultParagraphFont"/>
    <w:rsid w:val="00805BCE"/>
    <w:rPr>
      <w:vertAlign w:val="superscript"/>
    </w:rPr>
  </w:style>
  <w:style w:type="paragraph" w:styleId="FootnoteText">
    <w:name w:val="footnote text"/>
    <w:basedOn w:val="Normal"/>
    <w:rsid w:val="00805BCE"/>
    <w:rPr>
      <w:sz w:val="20"/>
      <w:szCs w:val="20"/>
    </w:rPr>
  </w:style>
  <w:style w:type="paragraph" w:styleId="TOC3">
    <w:name w:val="toc 3"/>
    <w:basedOn w:val="Normal"/>
    <w:next w:val="Normal"/>
    <w:autoRedefine/>
    <w:rsid w:val="00805BCE"/>
    <w:pPr>
      <w:ind w:left="480"/>
    </w:pPr>
  </w:style>
  <w:style w:type="paragraph" w:styleId="Header">
    <w:name w:val="header"/>
    <w:basedOn w:val="Normal"/>
    <w:link w:val="HeaderChar"/>
    <w:unhideWhenUsed/>
    <w:rsid w:val="001C5AA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1C5AAA"/>
    <w:rPr>
      <w:sz w:val="18"/>
      <w:szCs w:val="18"/>
    </w:rPr>
  </w:style>
  <w:style w:type="paragraph" w:styleId="Footer">
    <w:name w:val="footer"/>
    <w:basedOn w:val="Normal"/>
    <w:link w:val="FooterChar"/>
    <w:unhideWhenUsed/>
    <w:rsid w:val="001C5AAA"/>
    <w:pPr>
      <w:tabs>
        <w:tab w:val="center" w:pos="4153"/>
        <w:tab w:val="right" w:pos="8306"/>
      </w:tabs>
      <w:snapToGrid w:val="0"/>
    </w:pPr>
    <w:rPr>
      <w:sz w:val="18"/>
      <w:szCs w:val="18"/>
    </w:rPr>
  </w:style>
  <w:style w:type="character" w:customStyle="1" w:styleId="FooterChar">
    <w:name w:val="Footer Char"/>
    <w:basedOn w:val="DefaultParagraphFont"/>
    <w:link w:val="Footer"/>
    <w:rsid w:val="001C5A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46</Pages>
  <Words>4378</Words>
  <Characters>24960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LD</cp:lastModifiedBy>
  <cp:revision>2</cp:revision>
  <dcterms:created xsi:type="dcterms:W3CDTF">2026-01-20T03:14:00Z</dcterms:created>
  <dcterms:modified xsi:type="dcterms:W3CDTF">2026-01-20T04:17:00Z</dcterms:modified>
</cp:coreProperties>
</file>